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spacing w:after="120"/>
        <w:jc w:val="center"/>
        <w:rPr>
          <w:rFonts w:cs="Arial"/>
          <w:b/>
          <w:szCs w:val="21"/>
        </w:rPr>
      </w:pPr>
      <w:r>
        <w:rPr>
          <w:rFonts w:cs="Arial"/>
          <w:b/>
          <w:szCs w:val="21"/>
        </w:rPr>
        <w:t>January 18, 2016</w:t>
      </w:r>
    </w:p>
    <w:p>
      <w:pPr>
        <w:pStyle w:val="BodyText"/>
        <w:spacing w:after="120"/>
        <w:jc w:val="center"/>
        <w:rPr>
          <w:rFonts w:cs="Arial"/>
          <w:b/>
          <w:szCs w:val="21"/>
        </w:rPr>
      </w:pPr>
      <w:r>
        <w:rPr>
          <w:rFonts w:cs="Arial"/>
          <w:b/>
          <w:szCs w:val="21"/>
        </w:rPr>
        <w:t>Comments on Review of CCWG-Accountability Draft Annexes 2 and 12</w:t>
      </w:r>
    </w:p>
    <w:tbl>
      <w:tblPr>
        <w:tblStyle w:val="TableGrid"/>
        <w:tblW w:w="0" w:type="auto"/>
        <w:tblLook w:val="04A0"/>
      </w:tblPr>
      <w:tblGrid>
        <w:gridCol w:w="2358"/>
        <w:gridCol w:w="11160"/>
      </w:tblGrid>
      <w:tr>
        <w:trPr>
          <w:tblHeader/>
        </w:trPr>
        <w:tc>
          <w:tcPr>
            <w:tcW w:w="2358" w:type="dxa"/>
            <w:shd w:val="clear" w:color="auto" w:fill="8DB3E2" w:themeFill="text2" w:themeFillTint="66"/>
          </w:tcPr>
          <w:p>
            <w:pPr>
              <w:pStyle w:val="BodyText"/>
              <w:spacing w:before="120" w:after="120"/>
              <w:jc w:val="center"/>
              <w:rPr>
                <w:rFonts w:cs="Arial"/>
                <w:b/>
                <w:sz w:val="20"/>
                <w:szCs w:val="20"/>
              </w:rPr>
            </w:pPr>
            <w:r>
              <w:rPr>
                <w:rFonts w:cs="Arial"/>
                <w:b/>
                <w:sz w:val="20"/>
                <w:szCs w:val="20"/>
              </w:rPr>
              <w:t>Draft Annexes</w:t>
            </w:r>
          </w:p>
        </w:tc>
        <w:tc>
          <w:tcPr>
            <w:tcW w:w="11160" w:type="dxa"/>
            <w:shd w:val="clear" w:color="auto" w:fill="8DB3E2" w:themeFill="text2" w:themeFillTint="66"/>
          </w:tcPr>
          <w:p>
            <w:pPr>
              <w:pStyle w:val="BodyText"/>
              <w:spacing w:before="120" w:after="120"/>
              <w:jc w:val="center"/>
              <w:rPr>
                <w:rFonts w:cs="Arial"/>
                <w:b/>
                <w:sz w:val="20"/>
                <w:szCs w:val="20"/>
              </w:rPr>
            </w:pPr>
            <w:r>
              <w:rPr>
                <w:rFonts w:cs="Arial"/>
                <w:b/>
                <w:sz w:val="20"/>
                <w:szCs w:val="20"/>
              </w:rPr>
              <w:t>Suggested Edits</w:t>
            </w:r>
          </w:p>
        </w:tc>
      </w:tr>
      <w:tr>
        <w:tc>
          <w:tcPr>
            <w:tcW w:w="2358" w:type="dxa"/>
            <w:shd w:val="clear" w:color="auto" w:fill="FFFFFF" w:themeFill="background1"/>
          </w:tcPr>
          <w:p>
            <w:pPr>
              <w:pStyle w:val="BodyText"/>
              <w:spacing w:before="120" w:after="120"/>
              <w:rPr>
                <w:rFonts w:cs="Arial"/>
                <w:sz w:val="20"/>
                <w:szCs w:val="20"/>
              </w:rPr>
            </w:pPr>
            <w:r>
              <w:rPr>
                <w:rFonts w:cs="Arial"/>
                <w:sz w:val="20"/>
                <w:szCs w:val="20"/>
              </w:rPr>
              <w:t>Global</w:t>
            </w:r>
          </w:p>
        </w:tc>
        <w:tc>
          <w:tcPr>
            <w:tcW w:w="11160" w:type="dxa"/>
            <w:shd w:val="clear" w:color="auto" w:fill="FFFFFF" w:themeFill="background1"/>
          </w:tcPr>
          <w:p>
            <w:pPr>
              <w:pStyle w:val="BodyText"/>
              <w:spacing w:before="120" w:after="120"/>
              <w:rPr>
                <w:rFonts w:cs="Arial"/>
                <w:sz w:val="20"/>
                <w:szCs w:val="20"/>
              </w:rPr>
            </w:pPr>
            <w:r>
              <w:rPr>
                <w:rFonts w:cs="Arial"/>
                <w:sz w:val="20"/>
                <w:szCs w:val="20"/>
              </w:rPr>
              <w:t>Replace “Icann” with “ICANN”</w:t>
            </w:r>
          </w:p>
        </w:tc>
      </w:tr>
      <w:tr>
        <w:tc>
          <w:tcPr>
            <w:tcW w:w="2358" w:type="dxa"/>
            <w:shd w:val="clear" w:color="auto" w:fill="FFFFFF" w:themeFill="background1"/>
          </w:tcPr>
          <w:p>
            <w:pPr>
              <w:pStyle w:val="BodyText"/>
              <w:spacing w:before="120" w:after="120"/>
              <w:rPr>
                <w:rFonts w:cs="Arial"/>
                <w:sz w:val="20"/>
                <w:szCs w:val="20"/>
              </w:rPr>
            </w:pPr>
            <w:r>
              <w:rPr>
                <w:rFonts w:cs="Arial"/>
                <w:sz w:val="20"/>
                <w:szCs w:val="20"/>
              </w:rPr>
              <w:t>Global</w:t>
            </w:r>
          </w:p>
        </w:tc>
        <w:tc>
          <w:tcPr>
            <w:tcW w:w="11160" w:type="dxa"/>
            <w:shd w:val="clear" w:color="auto" w:fill="FFFFFF" w:themeFill="background1"/>
          </w:tcPr>
          <w:p>
            <w:pPr>
              <w:pStyle w:val="BodyText"/>
              <w:spacing w:before="120" w:after="120"/>
              <w:rPr>
                <w:rFonts w:cs="Arial"/>
                <w:sz w:val="20"/>
                <w:szCs w:val="20"/>
              </w:rPr>
            </w:pPr>
            <w:r>
              <w:rPr>
                <w:rFonts w:cs="Arial"/>
                <w:sz w:val="20"/>
                <w:szCs w:val="20"/>
              </w:rPr>
              <w:t>Consider replacing and/or supplementing the sections discussing “Changes from the Second Draft Proposal on Work Stream 1 Recommendations” with sections discussing changes from the Third Draft Proposal (where appropriate)</w:t>
            </w:r>
          </w:p>
        </w:tc>
      </w:tr>
      <w:tr>
        <w:tc>
          <w:tcPr>
            <w:tcW w:w="2358" w:type="dxa"/>
            <w:tcBorders>
              <w:bottom w:val="single" w:sz="4" w:space="0" w:color="000000" w:themeColor="text1"/>
            </w:tcBorders>
            <w:shd w:val="clear" w:color="auto" w:fill="FFFFFF" w:themeFill="background1"/>
            <w:vAlign w:val="center"/>
          </w:tcPr>
          <w:p>
            <w:pPr>
              <w:pStyle w:val="BodyText"/>
              <w:spacing w:before="120" w:after="120"/>
              <w:rPr>
                <w:rFonts w:cs="Arial"/>
                <w:sz w:val="20"/>
                <w:szCs w:val="20"/>
              </w:rPr>
            </w:pPr>
            <w:r>
              <w:rPr>
                <w:rFonts w:cs="Arial"/>
                <w:sz w:val="20"/>
                <w:szCs w:val="20"/>
              </w:rPr>
              <w:t>Global</w:t>
            </w:r>
          </w:p>
        </w:tc>
        <w:tc>
          <w:tcPr>
            <w:tcW w:w="11160" w:type="dxa"/>
            <w:tcBorders>
              <w:bottom w:val="single" w:sz="4" w:space="0" w:color="000000" w:themeColor="text1"/>
            </w:tcBorders>
            <w:shd w:val="clear" w:color="auto" w:fill="FFFFFF" w:themeFill="background1"/>
            <w:vAlign w:val="center"/>
          </w:tcPr>
          <w:p>
            <w:pPr>
              <w:pStyle w:val="BodyText"/>
              <w:spacing w:before="120" w:after="120"/>
              <w:rPr>
                <w:rFonts w:cs="Arial"/>
                <w:sz w:val="20"/>
                <w:szCs w:val="20"/>
              </w:rPr>
            </w:pPr>
            <w:r>
              <w:rPr>
                <w:rFonts w:cs="Arial"/>
                <w:sz w:val="20"/>
                <w:szCs w:val="20"/>
              </w:rPr>
              <w:t>Consider conforming references to “CWG-Stewardship proposal” and “IANA Stewardship Transition proposal” where appropriate; terms are currently used interchangeably</w:t>
            </w:r>
          </w:p>
        </w:tc>
      </w:tr>
      <w:tr>
        <w:tc>
          <w:tcPr>
            <w:tcW w:w="2358" w:type="dxa"/>
            <w:tcBorders>
              <w:bottom w:val="single" w:sz="4" w:space="0" w:color="000000" w:themeColor="text1"/>
            </w:tcBorders>
            <w:shd w:val="clear" w:color="auto" w:fill="FFFFFF" w:themeFill="background1"/>
            <w:vAlign w:val="center"/>
          </w:tcPr>
          <w:p>
            <w:pPr>
              <w:pStyle w:val="BodyText"/>
              <w:spacing w:before="120" w:after="120"/>
              <w:rPr>
                <w:rFonts w:cs="Arial"/>
                <w:sz w:val="20"/>
                <w:szCs w:val="20"/>
              </w:rPr>
            </w:pPr>
            <w:r>
              <w:rPr>
                <w:rFonts w:cs="Arial"/>
                <w:sz w:val="20"/>
                <w:szCs w:val="20"/>
              </w:rPr>
              <w:t>Global</w:t>
            </w:r>
          </w:p>
        </w:tc>
        <w:tc>
          <w:tcPr>
            <w:tcW w:w="11160" w:type="dxa"/>
            <w:tcBorders>
              <w:bottom w:val="single" w:sz="4" w:space="0" w:color="000000" w:themeColor="text1"/>
            </w:tcBorders>
            <w:shd w:val="clear" w:color="auto" w:fill="FFFFFF" w:themeFill="background1"/>
            <w:vAlign w:val="center"/>
          </w:tcPr>
          <w:p>
            <w:pPr>
              <w:pStyle w:val="BodyText"/>
              <w:spacing w:before="120" w:after="120"/>
              <w:rPr>
                <w:rFonts w:cs="Arial"/>
                <w:sz w:val="20"/>
                <w:szCs w:val="20"/>
              </w:rPr>
            </w:pPr>
            <w:r>
              <w:rPr>
                <w:rFonts w:cs="Arial"/>
                <w:sz w:val="20"/>
                <w:szCs w:val="20"/>
              </w:rPr>
              <w:t>After a name has been selected for the sole designator unincorporated association, references to “Sole Designator,” “Empowered Community” and “community” will need to be updated as appropriate; the name selected should be the only term used to refer to the sole designator unincorporated association.</w:t>
            </w:r>
          </w:p>
        </w:tc>
      </w:tr>
      <w:tr>
        <w:tc>
          <w:tcPr>
            <w:tcW w:w="13518" w:type="dxa"/>
            <w:gridSpan w:val="2"/>
            <w:shd w:val="clear" w:color="auto" w:fill="C6D9F1" w:themeFill="text2" w:themeFillTint="33"/>
          </w:tcPr>
          <w:p>
            <w:pPr>
              <w:pStyle w:val="BodyText"/>
              <w:spacing w:before="120" w:after="120"/>
              <w:rPr>
                <w:rFonts w:cs="Arial"/>
                <w:b/>
                <w:sz w:val="20"/>
                <w:szCs w:val="20"/>
              </w:rPr>
            </w:pPr>
            <w:r>
              <w:rPr>
                <w:rFonts w:cs="Arial"/>
                <w:b/>
                <w:sz w:val="20"/>
                <w:szCs w:val="20"/>
              </w:rPr>
              <w:t xml:space="preserve">Annex 2: Recommendation #2: Empowering the Community Through Consensus: Engagement, Escalation, Enforcement </w:t>
            </w:r>
          </w:p>
          <w:p>
            <w:pPr>
              <w:pStyle w:val="BodyText"/>
              <w:spacing w:before="120" w:after="120"/>
              <w:rPr>
                <w:rFonts w:cs="Arial"/>
                <w:b/>
                <w:sz w:val="20"/>
                <w:szCs w:val="20"/>
              </w:rPr>
            </w:pPr>
            <w:r>
              <w:rPr>
                <w:rFonts w:cs="Arial"/>
                <w:sz w:val="20"/>
                <w:szCs w:val="20"/>
              </w:rPr>
              <w:t>(</w:t>
            </w:r>
            <w:r>
              <w:rPr>
                <w:rFonts w:cs="Arial"/>
                <w:i/>
                <w:sz w:val="20"/>
                <w:szCs w:val="20"/>
              </w:rPr>
              <w:t>Paragraph numbers refer to the 2</w:t>
            </w:r>
            <w:r>
              <w:rPr>
                <w:rFonts w:cs="Arial"/>
                <w:i/>
                <w:sz w:val="20"/>
                <w:szCs w:val="20"/>
                <w:vertAlign w:val="superscript"/>
              </w:rPr>
              <w:t>nd</w:t>
            </w:r>
            <w:r>
              <w:rPr>
                <w:rFonts w:cs="Arial"/>
                <w:i/>
                <w:sz w:val="20"/>
                <w:szCs w:val="20"/>
              </w:rPr>
              <w:t xml:space="preserve"> reading conclusions draft)</w:t>
            </w:r>
          </w:p>
        </w:tc>
      </w:tr>
      <w:tr>
        <w:tc>
          <w:tcPr>
            <w:tcW w:w="2358" w:type="dxa"/>
            <w:shd w:val="clear" w:color="auto" w:fill="FFFFFF" w:themeFill="background1"/>
          </w:tcPr>
          <w:p>
            <w:pPr>
              <w:pStyle w:val="BodyText"/>
              <w:spacing w:before="120" w:after="120"/>
              <w:rPr>
                <w:rFonts w:cs="Arial"/>
                <w:sz w:val="20"/>
                <w:szCs w:val="20"/>
              </w:rPr>
            </w:pPr>
            <w:r>
              <w:rPr>
                <w:rFonts w:cs="Arial"/>
                <w:sz w:val="20"/>
                <w:szCs w:val="20"/>
              </w:rPr>
              <w:t>Generally</w:t>
            </w:r>
          </w:p>
        </w:tc>
        <w:tc>
          <w:tcPr>
            <w:tcW w:w="11160" w:type="dxa"/>
            <w:shd w:val="clear" w:color="auto" w:fill="FFFFFF" w:themeFill="background1"/>
          </w:tcPr>
          <w:p>
            <w:pPr>
              <w:pStyle w:val="BodyText"/>
              <w:spacing w:before="120" w:after="120"/>
              <w:rPr>
                <w:rFonts w:cs="Arial"/>
                <w:sz w:val="20"/>
                <w:szCs w:val="20"/>
              </w:rPr>
            </w:pPr>
            <w:r>
              <w:rPr>
                <w:rFonts w:cs="Arial"/>
                <w:sz w:val="20"/>
                <w:szCs w:val="20"/>
              </w:rPr>
              <w:t>If escalation of the inspection right is required prior to enforcement, add to list of matters for which the community may begin an escalation process and specify what level of consensus support is required (Paragraph 21 of Annex 1 is unclear whether escalation is required prior to enforcement or whether the right can be enforced directly: “initiate an escalating community decision-making process to enforce the demand on the Board”).</w:t>
            </w:r>
          </w:p>
          <w:p>
            <w:pPr>
              <w:pStyle w:val="BodyText"/>
              <w:spacing w:before="120" w:after="120"/>
            </w:pPr>
            <w:r>
              <w:rPr>
                <w:rFonts w:cs="Arial"/>
                <w:sz w:val="20"/>
                <w:szCs w:val="20"/>
              </w:rPr>
              <w:t>The CWG-Stewardship comment letter stated that the final version of the CCWG proposal should provide that the right to reject ICANN Board decisions relating to IANA function reviews (including the triggering of PTI separation) can be exercised an unlimited number of times; this is not specified in the draft annex.</w:t>
            </w:r>
          </w:p>
        </w:tc>
      </w:tr>
      <w:tr>
        <w:tc>
          <w:tcPr>
            <w:tcW w:w="2358" w:type="dxa"/>
            <w:shd w:val="clear" w:color="auto" w:fill="FFFFFF" w:themeFill="background1"/>
          </w:tcPr>
          <w:p>
            <w:pPr>
              <w:pStyle w:val="BodyText"/>
              <w:spacing w:before="120" w:after="120"/>
              <w:rPr>
                <w:rFonts w:cs="Arial"/>
                <w:sz w:val="20"/>
                <w:szCs w:val="20"/>
              </w:rPr>
            </w:pPr>
            <w:r>
              <w:rPr>
                <w:rFonts w:cs="Arial"/>
                <w:sz w:val="20"/>
                <w:szCs w:val="20"/>
              </w:rPr>
              <w:t>Paragraphs 1, 4, 5</w:t>
            </w:r>
          </w:p>
        </w:tc>
        <w:tc>
          <w:tcPr>
            <w:tcW w:w="11160" w:type="dxa"/>
            <w:shd w:val="clear" w:color="auto" w:fill="FFFFFF" w:themeFill="background1"/>
          </w:tcPr>
          <w:p>
            <w:pPr>
              <w:pStyle w:val="BodyText"/>
              <w:spacing w:before="120" w:after="120"/>
              <w:rPr>
                <w:rFonts w:cs="Arial"/>
                <w:sz w:val="20"/>
                <w:szCs w:val="20"/>
              </w:rPr>
            </w:pPr>
            <w:r>
              <w:rPr>
                <w:rFonts w:cs="Arial"/>
                <w:sz w:val="20"/>
                <w:szCs w:val="20"/>
              </w:rPr>
              <w:t xml:space="preserve">“[T]his recommendation would formally require the ICANN Board to undertake an extensive engagement process before taking action on any of the following… </w:t>
            </w:r>
          </w:p>
          <w:p>
            <w:pPr>
              <w:pStyle w:val="BodyText"/>
              <w:numPr>
                <w:ilvl w:val="0"/>
                <w:numId w:val="16"/>
              </w:numPr>
              <w:spacing w:before="120" w:after="120"/>
              <w:rPr>
                <w:rFonts w:cs="Arial"/>
                <w:sz w:val="20"/>
                <w:szCs w:val="20"/>
              </w:rPr>
            </w:pPr>
            <w:r>
              <w:rPr>
                <w:rFonts w:cs="Arial"/>
                <w:sz w:val="20"/>
                <w:szCs w:val="20"/>
              </w:rPr>
              <w:t xml:space="preserve">Approving any modifications to Standard or Fundamental Bylaws </w:t>
            </w:r>
            <w:r>
              <w:rPr>
                <w:rFonts w:asciiTheme="minorHAnsi" w:hAnsiTheme="minorHAnsi" w:cstheme="minorHAnsi"/>
                <w:color w:val="0070C0"/>
                <w:sz w:val="20"/>
                <w:szCs w:val="20"/>
                <w:u w:val="double" w:color="0000FF"/>
              </w:rPr>
              <w:t>or the Articles of Incorporation</w:t>
            </w:r>
            <w:r>
              <w:rPr>
                <w:rFonts w:cs="Arial"/>
                <w:sz w:val="20"/>
                <w:szCs w:val="20"/>
              </w:rPr>
              <w:t>…</w:t>
            </w:r>
          </w:p>
          <w:p>
            <w:pPr>
              <w:pStyle w:val="BodyText"/>
              <w:numPr>
                <w:ilvl w:val="0"/>
                <w:numId w:val="16"/>
              </w:numPr>
              <w:spacing w:before="120" w:after="120"/>
              <w:rPr>
                <w:rFonts w:cs="Arial"/>
                <w:sz w:val="20"/>
                <w:szCs w:val="20"/>
              </w:rPr>
            </w:pPr>
            <w:r>
              <w:rPr>
                <w:rFonts w:cs="Arial"/>
                <w:sz w:val="20"/>
                <w:szCs w:val="20"/>
              </w:rPr>
              <w:t xml:space="preserve">ICANN Board decisions relating to reviews of IANA Functions, including the triggering of </w:t>
            </w:r>
            <w:r>
              <w:rPr>
                <w:rFonts w:cs="Arial"/>
                <w:color w:val="0070C0"/>
                <w:sz w:val="20"/>
                <w:szCs w:val="20"/>
                <w:u w:val="double" w:color="0000FF"/>
              </w:rPr>
              <w:t>any</w:t>
            </w:r>
            <w:r>
              <w:rPr>
                <w:rFonts w:cs="Arial"/>
                <w:color w:val="548DD4" w:themeColor="text2" w:themeTint="99"/>
                <w:sz w:val="20"/>
                <w:szCs w:val="20"/>
                <w:u w:val="single"/>
              </w:rPr>
              <w:t xml:space="preserve"> </w:t>
            </w:r>
            <w:r>
              <w:rPr>
                <w:rFonts w:cs="Arial"/>
                <w:sz w:val="20"/>
                <w:szCs w:val="20"/>
              </w:rPr>
              <w:t xml:space="preserve">Post-Transition IANA (PTI) separation </w:t>
            </w:r>
            <w:r>
              <w:rPr>
                <w:rFonts w:cs="Arial"/>
                <w:color w:val="0070C0"/>
                <w:sz w:val="20"/>
                <w:szCs w:val="20"/>
                <w:u w:val="double" w:color="0000FF"/>
              </w:rPr>
              <w:t>process</w:t>
            </w:r>
            <w:r>
              <w:rPr>
                <w:rFonts w:cs="Arial"/>
                <w:sz w:val="20"/>
                <w:szCs w:val="20"/>
              </w:rPr>
              <w:t>”</w:t>
            </w:r>
          </w:p>
        </w:tc>
      </w:tr>
      <w:tr>
        <w:tc>
          <w:tcPr>
            <w:tcW w:w="2358" w:type="dxa"/>
            <w:shd w:val="clear" w:color="auto" w:fill="FFFFFF" w:themeFill="background1"/>
          </w:tcPr>
          <w:p>
            <w:pPr>
              <w:pStyle w:val="BodyText"/>
              <w:spacing w:before="120" w:after="120"/>
              <w:rPr>
                <w:rFonts w:cs="Arial"/>
                <w:sz w:val="20"/>
                <w:szCs w:val="20"/>
              </w:rPr>
            </w:pPr>
            <w:r>
              <w:rPr>
                <w:rFonts w:cs="Arial"/>
                <w:sz w:val="20"/>
                <w:szCs w:val="20"/>
              </w:rPr>
              <w:lastRenderedPageBreak/>
              <w:t>Paragraphs 1, 5, 45</w:t>
            </w:r>
          </w:p>
        </w:tc>
        <w:tc>
          <w:tcPr>
            <w:tcW w:w="11160" w:type="dxa"/>
            <w:shd w:val="clear" w:color="auto" w:fill="FFFFFF" w:themeFill="background1"/>
          </w:tcPr>
          <w:p>
            <w:pPr>
              <w:pStyle w:val="BodyText"/>
              <w:spacing w:before="120" w:after="120"/>
              <w:rPr>
                <w:rFonts w:cs="Arial"/>
                <w:sz w:val="20"/>
                <w:szCs w:val="20"/>
              </w:rPr>
            </w:pPr>
            <w:r>
              <w:rPr>
                <w:rFonts w:cs="Arial"/>
                <w:sz w:val="20"/>
                <w:szCs w:val="20"/>
              </w:rPr>
              <w:t>“The community may begin an escalation process to…</w:t>
            </w:r>
          </w:p>
          <w:p>
            <w:pPr>
              <w:pStyle w:val="BodyText"/>
              <w:numPr>
                <w:ilvl w:val="0"/>
                <w:numId w:val="16"/>
              </w:numPr>
              <w:spacing w:before="120" w:after="120"/>
              <w:rPr>
                <w:rFonts w:cs="Arial"/>
                <w:sz w:val="20"/>
                <w:szCs w:val="20"/>
              </w:rPr>
            </w:pPr>
            <w:r>
              <w:rPr>
                <w:rFonts w:cs="Arial"/>
                <w:sz w:val="20"/>
                <w:szCs w:val="20"/>
              </w:rPr>
              <w:t xml:space="preserve">Reject ICANN Board decisions relating to reviews of IANA Functions, including the triggering of </w:t>
            </w:r>
            <w:r>
              <w:rPr>
                <w:rFonts w:cs="Arial"/>
                <w:color w:val="0070C0"/>
                <w:sz w:val="20"/>
                <w:szCs w:val="20"/>
                <w:u w:val="double" w:color="0000FF"/>
              </w:rPr>
              <w:t>any</w:t>
            </w:r>
            <w:r>
              <w:rPr>
                <w:rFonts w:cs="Arial"/>
                <w:color w:val="548DD4" w:themeColor="text2" w:themeTint="99"/>
                <w:sz w:val="20"/>
                <w:szCs w:val="20"/>
                <w:u w:val="single"/>
              </w:rPr>
              <w:t xml:space="preserve"> </w:t>
            </w:r>
            <w:r>
              <w:rPr>
                <w:rFonts w:cs="Arial"/>
                <w:sz w:val="20"/>
                <w:szCs w:val="20"/>
              </w:rPr>
              <w:t xml:space="preserve">PTI separation </w:t>
            </w:r>
            <w:r>
              <w:rPr>
                <w:rFonts w:cs="Arial"/>
                <w:color w:val="0070C0"/>
                <w:sz w:val="20"/>
                <w:szCs w:val="20"/>
                <w:u w:val="double" w:color="0000FF"/>
              </w:rPr>
              <w:t>process</w:t>
            </w:r>
            <w:r>
              <w:rPr>
                <w:rFonts w:cs="Arial"/>
                <w:sz w:val="20"/>
                <w:szCs w:val="20"/>
              </w:rPr>
              <w:t>.”</w:t>
            </w:r>
          </w:p>
        </w:tc>
      </w:tr>
      <w:tr>
        <w:tc>
          <w:tcPr>
            <w:tcW w:w="2358" w:type="dxa"/>
            <w:shd w:val="clear" w:color="auto" w:fill="FFFFFF" w:themeFill="background1"/>
          </w:tcPr>
          <w:p>
            <w:pPr>
              <w:pStyle w:val="BodyText"/>
              <w:spacing w:before="120" w:after="120"/>
              <w:rPr>
                <w:rFonts w:cs="Arial"/>
                <w:sz w:val="20"/>
                <w:szCs w:val="20"/>
              </w:rPr>
            </w:pPr>
            <w:r>
              <w:rPr>
                <w:rFonts w:cs="Arial"/>
                <w:sz w:val="20"/>
                <w:szCs w:val="20"/>
              </w:rPr>
              <w:t>Paragraphs 2, 7</w:t>
            </w:r>
          </w:p>
        </w:tc>
        <w:tc>
          <w:tcPr>
            <w:tcW w:w="11160" w:type="dxa"/>
            <w:shd w:val="clear" w:color="auto" w:fill="FFFFFF" w:themeFill="background1"/>
          </w:tcPr>
          <w:p>
            <w:pPr>
              <w:pStyle w:val="BodyText"/>
              <w:spacing w:before="120" w:after="120"/>
              <w:rPr>
                <w:rFonts w:cs="Arial"/>
                <w:sz w:val="20"/>
                <w:szCs w:val="20"/>
              </w:rPr>
            </w:pPr>
            <w:r>
              <w:rPr>
                <w:rFonts w:cs="Arial"/>
                <w:sz w:val="20"/>
                <w:szCs w:val="20"/>
              </w:rPr>
              <w:t>“One of the most standardized versions of the escalation process is required for all Community Powers to “reject,” remove individual Nominating Committee-</w:t>
            </w:r>
            <w:r>
              <w:rPr>
                <w:rFonts w:asciiTheme="minorHAnsi" w:hAnsiTheme="minorHAnsi" w:cstheme="minorHAnsi"/>
                <w:color w:val="0070C0"/>
                <w:sz w:val="20"/>
                <w:szCs w:val="20"/>
                <w:u w:val="double" w:color="0000FF"/>
              </w:rPr>
              <w:t>nominated</w:t>
            </w:r>
            <w:r>
              <w:rPr>
                <w:rFonts w:cs="Arial"/>
                <w:strike/>
                <w:color w:val="FF0000"/>
                <w:sz w:val="20"/>
                <w:szCs w:val="20"/>
              </w:rPr>
              <w:t>appointed</w:t>
            </w:r>
            <w:r>
              <w:rPr>
                <w:rFonts w:cs="Arial"/>
                <w:sz w:val="20"/>
                <w:szCs w:val="20"/>
              </w:rPr>
              <w:t xml:space="preserve"> Board Directors, or recall the entire Board.”</w:t>
            </w:r>
          </w:p>
        </w:tc>
      </w:tr>
      <w:tr>
        <w:tc>
          <w:tcPr>
            <w:tcW w:w="2358" w:type="dxa"/>
            <w:shd w:val="clear" w:color="auto" w:fill="FFFFFF" w:themeFill="background1"/>
          </w:tcPr>
          <w:p>
            <w:pPr>
              <w:pStyle w:val="BodyText"/>
              <w:spacing w:before="120" w:after="120"/>
              <w:rPr>
                <w:rFonts w:cs="Arial"/>
                <w:sz w:val="20"/>
                <w:szCs w:val="20"/>
              </w:rPr>
            </w:pPr>
            <w:r>
              <w:rPr>
                <w:rFonts w:cs="Arial"/>
                <w:sz w:val="20"/>
                <w:szCs w:val="20"/>
              </w:rPr>
              <w:t>Paragraph 3</w:t>
            </w:r>
          </w:p>
        </w:tc>
        <w:tc>
          <w:tcPr>
            <w:tcW w:w="11160" w:type="dxa"/>
            <w:shd w:val="clear" w:color="auto" w:fill="FFFFFF" w:themeFill="background1"/>
          </w:tcPr>
          <w:p>
            <w:pPr>
              <w:pStyle w:val="BodyText"/>
              <w:spacing w:before="120" w:after="120"/>
              <w:rPr>
                <w:rFonts w:cs="Arial"/>
                <w:sz w:val="20"/>
                <w:szCs w:val="20"/>
              </w:rPr>
            </w:pPr>
            <w:r>
              <w:rPr>
                <w:rFonts w:cs="Arial"/>
                <w:sz w:val="20"/>
                <w:szCs w:val="20"/>
              </w:rPr>
              <w:t>“4. An open one</w:t>
            </w:r>
            <w:r>
              <w:rPr>
                <w:rFonts w:asciiTheme="minorHAnsi" w:hAnsiTheme="minorHAnsi" w:cstheme="minorHAnsi"/>
                <w:color w:val="0070C0"/>
                <w:sz w:val="20"/>
                <w:szCs w:val="20"/>
                <w:u w:val="double" w:color="0000FF"/>
              </w:rPr>
              <w:t>- to</w:t>
            </w:r>
            <w:r>
              <w:rPr>
                <w:rFonts w:cs="Arial"/>
                <w:sz w:val="20"/>
                <w:szCs w:val="20"/>
              </w:rPr>
              <w:t xml:space="preserve"> </w:t>
            </w:r>
            <w:r>
              <w:rPr>
                <w:rFonts w:cs="Arial"/>
                <w:strike/>
                <w:color w:val="FF0000"/>
                <w:sz w:val="20"/>
                <w:szCs w:val="20"/>
              </w:rPr>
              <w:t>_</w:t>
            </w:r>
            <w:r>
              <w:rPr>
                <w:rFonts w:cs="Arial"/>
                <w:sz w:val="20"/>
                <w:szCs w:val="20"/>
              </w:rPr>
              <w:t xml:space="preserve"> two-day Community Forum is organized for any interested stakeholder in the community to participate.”</w:t>
            </w:r>
          </w:p>
        </w:tc>
      </w:tr>
      <w:tr>
        <w:tc>
          <w:tcPr>
            <w:tcW w:w="2358" w:type="dxa"/>
            <w:shd w:val="clear" w:color="auto" w:fill="FFFFFF" w:themeFill="background1"/>
          </w:tcPr>
          <w:p>
            <w:pPr>
              <w:pStyle w:val="BodyText"/>
              <w:spacing w:before="120" w:after="120"/>
              <w:rPr>
                <w:rFonts w:cs="Arial"/>
                <w:sz w:val="20"/>
                <w:szCs w:val="20"/>
              </w:rPr>
            </w:pPr>
            <w:r>
              <w:rPr>
                <w:rFonts w:cs="Arial"/>
                <w:sz w:val="20"/>
                <w:szCs w:val="20"/>
              </w:rPr>
              <w:t>Paragraphs 3, 13, 14</w:t>
            </w:r>
          </w:p>
        </w:tc>
        <w:tc>
          <w:tcPr>
            <w:tcW w:w="11160" w:type="dxa"/>
            <w:shd w:val="clear" w:color="auto" w:fill="FFFFFF" w:themeFill="background1"/>
          </w:tcPr>
          <w:p>
            <w:pPr>
              <w:pStyle w:val="BodyText"/>
              <w:spacing w:before="120" w:after="120"/>
              <w:rPr>
                <w:rFonts w:cs="Arial"/>
                <w:sz w:val="20"/>
                <w:szCs w:val="20"/>
              </w:rPr>
            </w:pPr>
            <w:r>
              <w:rPr>
                <w:rFonts w:cs="Arial"/>
                <w:sz w:val="20"/>
                <w:szCs w:val="20"/>
              </w:rPr>
              <w:t>Inconsistency between providing that the Community Forum “will not make decisions nor seek consensus” (with the decision whether to advance the petition up to the SOs/ACs to determine after the Forum) and contemplating that the Empowered Community and ICANN Board may “resolve the issue in the Community Forum”</w:t>
            </w:r>
          </w:p>
          <w:p>
            <w:pPr>
              <w:pStyle w:val="BodyText"/>
              <w:spacing w:before="120" w:after="120"/>
              <w:rPr>
                <w:rFonts w:cs="Arial"/>
                <w:sz w:val="20"/>
                <w:szCs w:val="20"/>
              </w:rPr>
            </w:pPr>
            <w:r>
              <w:rPr>
                <w:rFonts w:cs="Arial"/>
                <w:sz w:val="20"/>
                <w:szCs w:val="20"/>
              </w:rPr>
              <w:t>If issues can be resolved between the Empowered Community and ICANN Board before or at the Community Forum, clarify how resolution occurs (e.g., does this require consensus support of participants? If so, what thresholds apply?)</w:t>
            </w:r>
          </w:p>
        </w:tc>
      </w:tr>
      <w:tr>
        <w:tc>
          <w:tcPr>
            <w:tcW w:w="2358" w:type="dxa"/>
            <w:shd w:val="clear" w:color="auto" w:fill="FFFFFF" w:themeFill="background1"/>
          </w:tcPr>
          <w:p>
            <w:pPr>
              <w:pStyle w:val="BodyText"/>
              <w:spacing w:before="120" w:after="120"/>
              <w:rPr>
                <w:rFonts w:cs="Arial"/>
                <w:sz w:val="20"/>
                <w:szCs w:val="20"/>
              </w:rPr>
            </w:pPr>
            <w:r>
              <w:rPr>
                <w:rFonts w:cs="Arial"/>
                <w:sz w:val="20"/>
                <w:szCs w:val="20"/>
              </w:rPr>
              <w:t>Paragraphs 4, 19-22</w:t>
            </w:r>
          </w:p>
        </w:tc>
        <w:tc>
          <w:tcPr>
            <w:tcW w:w="11160" w:type="dxa"/>
            <w:shd w:val="clear" w:color="auto" w:fill="FFFFFF" w:themeFill="background1"/>
          </w:tcPr>
          <w:p>
            <w:pPr>
              <w:pStyle w:val="BodyText"/>
              <w:spacing w:before="120" w:after="120"/>
              <w:rPr>
                <w:rFonts w:cs="Arial"/>
                <w:sz w:val="20"/>
                <w:szCs w:val="20"/>
              </w:rPr>
            </w:pPr>
            <w:r>
              <w:rPr>
                <w:rFonts w:cs="Arial"/>
                <w:sz w:val="20"/>
                <w:szCs w:val="20"/>
              </w:rPr>
              <w:t>Clarify that the Empowered Community can seek enforcement by a court of the statutory power to remove directors, and that there is no requirement to use the IRP or recall the entire Board to enforce this power</w:t>
            </w:r>
          </w:p>
          <w:p>
            <w:pPr>
              <w:pStyle w:val="BodyText"/>
              <w:spacing w:before="120" w:after="120"/>
              <w:rPr>
                <w:rFonts w:cs="Arial"/>
                <w:sz w:val="20"/>
                <w:szCs w:val="20"/>
              </w:rPr>
            </w:pPr>
            <w:r>
              <w:rPr>
                <w:rFonts w:cs="Arial"/>
                <w:sz w:val="20"/>
                <w:szCs w:val="20"/>
              </w:rPr>
              <w:t>Clarify that the Empowered Community can submit a Request for Reconsideration, the process that must be followed to submit such a Request (e.g., escalation process) and what decisional thresholds apply</w:t>
            </w:r>
          </w:p>
        </w:tc>
      </w:tr>
      <w:tr>
        <w:tc>
          <w:tcPr>
            <w:tcW w:w="2358" w:type="dxa"/>
            <w:shd w:val="clear" w:color="auto" w:fill="FFFFFF" w:themeFill="background1"/>
          </w:tcPr>
          <w:p>
            <w:pPr>
              <w:pStyle w:val="BodyText"/>
              <w:spacing w:before="120" w:after="120"/>
              <w:rPr>
                <w:rFonts w:cs="Arial"/>
                <w:sz w:val="20"/>
                <w:szCs w:val="20"/>
              </w:rPr>
            </w:pPr>
            <w:r>
              <w:rPr>
                <w:rFonts w:cs="Arial"/>
                <w:sz w:val="20"/>
                <w:szCs w:val="20"/>
              </w:rPr>
              <w:t>Paragraph 8</w:t>
            </w:r>
          </w:p>
        </w:tc>
        <w:tc>
          <w:tcPr>
            <w:tcW w:w="11160" w:type="dxa"/>
            <w:shd w:val="clear" w:color="auto" w:fill="FFFFFF" w:themeFill="background1"/>
          </w:tcPr>
          <w:p>
            <w:pPr>
              <w:pStyle w:val="BodyText"/>
              <w:spacing w:before="120" w:after="120"/>
              <w:rPr>
                <w:rFonts w:cs="Arial"/>
                <w:sz w:val="20"/>
                <w:szCs w:val="20"/>
              </w:rPr>
            </w:pPr>
            <w:r>
              <w:rPr>
                <w:rFonts w:cs="Arial"/>
                <w:sz w:val="20"/>
                <w:szCs w:val="20"/>
              </w:rPr>
              <w:t xml:space="preserve">“The power to approve changes to Fundamental Bylaws </w:t>
            </w:r>
            <w:r>
              <w:rPr>
                <w:rFonts w:cs="Arial"/>
                <w:color w:val="0070C0"/>
                <w:sz w:val="20"/>
                <w:szCs w:val="20"/>
                <w:u w:val="double" w:color="0000FF"/>
              </w:rPr>
              <w:t xml:space="preserve">and the Articles of Incorporation </w:t>
            </w:r>
            <w:r>
              <w:rPr>
                <w:rFonts w:cs="Arial"/>
                <w:sz w:val="20"/>
                <w:szCs w:val="20"/>
              </w:rPr>
              <w:t>and remove individual Directors nominated by an SO or AC contain special features…”</w:t>
            </w:r>
          </w:p>
        </w:tc>
      </w:tr>
      <w:tr>
        <w:tc>
          <w:tcPr>
            <w:tcW w:w="2358" w:type="dxa"/>
            <w:shd w:val="clear" w:color="auto" w:fill="FFFFFF" w:themeFill="background1"/>
          </w:tcPr>
          <w:p>
            <w:pPr>
              <w:pStyle w:val="BodyText"/>
              <w:spacing w:before="120" w:after="120"/>
              <w:rPr>
                <w:rFonts w:cs="Arial"/>
                <w:sz w:val="20"/>
                <w:szCs w:val="20"/>
              </w:rPr>
            </w:pPr>
            <w:r>
              <w:rPr>
                <w:rFonts w:cs="Arial"/>
                <w:sz w:val="20"/>
                <w:szCs w:val="20"/>
              </w:rPr>
              <w:t>Paragraph 9</w:t>
            </w:r>
          </w:p>
        </w:tc>
        <w:tc>
          <w:tcPr>
            <w:tcW w:w="11160" w:type="dxa"/>
            <w:shd w:val="clear" w:color="auto" w:fill="FFFFFF" w:themeFill="background1"/>
          </w:tcPr>
          <w:p>
            <w:pPr>
              <w:pStyle w:val="BodyText"/>
              <w:spacing w:before="120" w:after="120"/>
              <w:rPr>
                <w:rFonts w:cs="Arial"/>
                <w:sz w:val="20"/>
                <w:szCs w:val="20"/>
              </w:rPr>
            </w:pPr>
            <w:r>
              <w:rPr>
                <w:rFonts w:cs="Arial"/>
                <w:sz w:val="20"/>
                <w:szCs w:val="20"/>
              </w:rPr>
              <w:t xml:space="preserve">“To exercise any of the rejection powers, such </w:t>
            </w:r>
            <w:r>
              <w:rPr>
                <w:rFonts w:asciiTheme="minorHAnsi" w:hAnsiTheme="minorHAnsi" w:cstheme="minorHAnsi"/>
                <w:color w:val="0070C0"/>
                <w:sz w:val="20"/>
                <w:szCs w:val="20"/>
                <w:u w:val="double" w:color="0000FF"/>
              </w:rPr>
              <w:t xml:space="preserve">as </w:t>
            </w:r>
            <w:r>
              <w:rPr>
                <w:rFonts w:cs="Arial"/>
                <w:sz w:val="20"/>
                <w:szCs w:val="20"/>
              </w:rPr>
              <w:t xml:space="preserve">rejection of a budget, the 21-day period begins at the time the Board publishes its vote on the element </w:t>
            </w:r>
            <w:r>
              <w:rPr>
                <w:rFonts w:asciiTheme="minorHAnsi" w:hAnsiTheme="minorHAnsi" w:cstheme="minorHAnsi"/>
                <w:color w:val="0070C0"/>
                <w:sz w:val="20"/>
                <w:szCs w:val="20"/>
                <w:u w:val="double" w:color="0000FF"/>
              </w:rPr>
              <w:t>that may</w:t>
            </w:r>
            <w:r>
              <w:rPr>
                <w:rFonts w:cs="Arial"/>
                <w:sz w:val="20"/>
                <w:szCs w:val="20"/>
                <w:u w:val="double"/>
              </w:rPr>
              <w:t xml:space="preserve"> </w:t>
            </w:r>
            <w:r>
              <w:rPr>
                <w:rFonts w:cs="Arial"/>
                <w:strike/>
                <w:color w:val="FF0000"/>
                <w:sz w:val="20"/>
                <w:szCs w:val="20"/>
              </w:rPr>
              <w:t xml:space="preserve">to </w:t>
            </w:r>
            <w:r>
              <w:rPr>
                <w:rFonts w:cs="Arial"/>
                <w:sz w:val="20"/>
                <w:szCs w:val="20"/>
              </w:rPr>
              <w:t>be rejected.”</w:t>
            </w:r>
          </w:p>
        </w:tc>
      </w:tr>
      <w:tr>
        <w:tc>
          <w:tcPr>
            <w:tcW w:w="2358" w:type="dxa"/>
            <w:shd w:val="clear" w:color="auto" w:fill="FFFFFF" w:themeFill="background1"/>
          </w:tcPr>
          <w:p>
            <w:pPr>
              <w:pStyle w:val="BodyText"/>
              <w:spacing w:before="120" w:after="120"/>
              <w:rPr>
                <w:rFonts w:cs="Arial"/>
                <w:sz w:val="20"/>
                <w:szCs w:val="20"/>
              </w:rPr>
            </w:pPr>
            <w:r>
              <w:rPr>
                <w:rFonts w:cs="Arial"/>
                <w:sz w:val="20"/>
                <w:szCs w:val="20"/>
              </w:rPr>
              <w:t>Paragraph 11</w:t>
            </w:r>
          </w:p>
        </w:tc>
        <w:tc>
          <w:tcPr>
            <w:tcW w:w="11160" w:type="dxa"/>
            <w:shd w:val="clear" w:color="auto" w:fill="FFFFFF" w:themeFill="background1"/>
          </w:tcPr>
          <w:p>
            <w:pPr>
              <w:pStyle w:val="BodyText"/>
              <w:spacing w:before="120" w:after="120"/>
              <w:rPr>
                <w:rFonts w:cs="Arial"/>
                <w:sz w:val="20"/>
                <w:szCs w:val="20"/>
              </w:rPr>
            </w:pPr>
            <w:r>
              <w:rPr>
                <w:rFonts w:cs="Arial"/>
                <w:sz w:val="20"/>
                <w:szCs w:val="20"/>
              </w:rPr>
              <w:t xml:space="preserve">“To petition for a </w:t>
            </w:r>
            <w:r>
              <w:rPr>
                <w:rFonts w:cs="Arial"/>
                <w:color w:val="0070C0"/>
                <w:sz w:val="20"/>
                <w:szCs w:val="20"/>
                <w:u w:val="double" w:color="0000FF"/>
              </w:rPr>
              <w:t xml:space="preserve">Community Forum </w:t>
            </w:r>
            <w:r>
              <w:rPr>
                <w:rFonts w:cs="Arial"/>
                <w:strike/>
                <w:color w:val="FF0000"/>
                <w:sz w:val="20"/>
                <w:szCs w:val="20"/>
              </w:rPr>
              <w:t>community forum</w:t>
            </w:r>
            <w:r>
              <w:rPr>
                <w:rFonts w:cs="Arial"/>
                <w:sz w:val="20"/>
                <w:szCs w:val="20"/>
              </w:rPr>
              <w:t xml:space="preserve"> to consider the recall of the entire ICANN Board requires three SO</w:t>
            </w:r>
            <w:r>
              <w:rPr>
                <w:rFonts w:cs="Arial"/>
                <w:color w:val="0070C0"/>
                <w:sz w:val="20"/>
                <w:szCs w:val="20"/>
                <w:u w:val="double" w:color="0000FF"/>
              </w:rPr>
              <w:t>s</w:t>
            </w:r>
            <w:r>
              <w:rPr>
                <w:rFonts w:cs="Arial"/>
                <w:sz w:val="20"/>
                <w:szCs w:val="20"/>
              </w:rPr>
              <w:t>/ACs to support the petition.”</w:t>
            </w:r>
          </w:p>
        </w:tc>
      </w:tr>
      <w:tr>
        <w:tc>
          <w:tcPr>
            <w:tcW w:w="2358" w:type="dxa"/>
            <w:shd w:val="clear" w:color="auto" w:fill="FFFFFF" w:themeFill="background1"/>
          </w:tcPr>
          <w:p>
            <w:pPr>
              <w:pStyle w:val="BodyText"/>
              <w:spacing w:before="120" w:after="120"/>
              <w:rPr>
                <w:rFonts w:cs="Arial"/>
                <w:sz w:val="20"/>
                <w:szCs w:val="20"/>
              </w:rPr>
            </w:pPr>
            <w:r>
              <w:rPr>
                <w:rFonts w:cs="Arial"/>
                <w:sz w:val="20"/>
                <w:szCs w:val="20"/>
              </w:rPr>
              <w:t>Paragraph 13</w:t>
            </w:r>
          </w:p>
        </w:tc>
        <w:tc>
          <w:tcPr>
            <w:tcW w:w="11160" w:type="dxa"/>
            <w:shd w:val="clear" w:color="auto" w:fill="FFFFFF" w:themeFill="background1"/>
          </w:tcPr>
          <w:p>
            <w:pPr>
              <w:pStyle w:val="BodyText"/>
              <w:spacing w:before="120" w:after="120"/>
              <w:rPr>
                <w:rFonts w:cs="Arial"/>
                <w:sz w:val="20"/>
                <w:szCs w:val="20"/>
              </w:rPr>
            </w:pPr>
            <w:r>
              <w:rPr>
                <w:rFonts w:cs="Arial"/>
                <w:sz w:val="20"/>
                <w:szCs w:val="20"/>
              </w:rPr>
              <w:t xml:space="preserve">“The Forum is to be held within 21 days of the successful petition </w:t>
            </w:r>
            <w:r>
              <w:rPr>
                <w:rFonts w:cs="Arial"/>
                <w:color w:val="0070C0"/>
                <w:sz w:val="20"/>
                <w:szCs w:val="20"/>
                <w:u w:val="double" w:color="0000FF"/>
              </w:rPr>
              <w:t xml:space="preserve">to hold a Community Forum </w:t>
            </w:r>
            <w:r>
              <w:rPr>
                <w:rFonts w:cs="Arial"/>
                <w:sz w:val="20"/>
                <w:szCs w:val="20"/>
              </w:rPr>
              <w:t>being made.”</w:t>
            </w:r>
          </w:p>
        </w:tc>
      </w:tr>
      <w:tr>
        <w:tc>
          <w:tcPr>
            <w:tcW w:w="2358" w:type="dxa"/>
            <w:shd w:val="clear" w:color="auto" w:fill="FFFFFF" w:themeFill="background1"/>
          </w:tcPr>
          <w:p>
            <w:pPr>
              <w:pStyle w:val="BodyText"/>
              <w:spacing w:before="120" w:after="120"/>
              <w:rPr>
                <w:rFonts w:cs="Arial"/>
                <w:sz w:val="20"/>
                <w:szCs w:val="20"/>
              </w:rPr>
            </w:pPr>
            <w:r>
              <w:rPr>
                <w:rFonts w:cs="Arial"/>
                <w:sz w:val="20"/>
                <w:szCs w:val="20"/>
              </w:rPr>
              <w:t>Paragraphs 13, 21</w:t>
            </w:r>
          </w:p>
        </w:tc>
        <w:tc>
          <w:tcPr>
            <w:tcW w:w="11160" w:type="dxa"/>
            <w:shd w:val="clear" w:color="auto" w:fill="FFFFFF" w:themeFill="background1"/>
          </w:tcPr>
          <w:p>
            <w:pPr>
              <w:pStyle w:val="BodyText"/>
              <w:spacing w:before="120" w:after="120"/>
              <w:rPr>
                <w:rFonts w:cs="Arial"/>
                <w:sz w:val="20"/>
                <w:szCs w:val="20"/>
              </w:rPr>
            </w:pPr>
            <w:r>
              <w:rPr>
                <w:rFonts w:cs="Arial"/>
                <w:sz w:val="20"/>
                <w:szCs w:val="20"/>
              </w:rPr>
              <w:t>Consider clarifying whether “representatives of the ICANN Board” refers to ICANN Directors</w:t>
            </w:r>
          </w:p>
        </w:tc>
      </w:tr>
      <w:tr>
        <w:tc>
          <w:tcPr>
            <w:tcW w:w="2358" w:type="dxa"/>
            <w:shd w:val="clear" w:color="auto" w:fill="FFFFFF" w:themeFill="background1"/>
          </w:tcPr>
          <w:p>
            <w:pPr>
              <w:pStyle w:val="BodyText"/>
              <w:spacing w:before="120" w:after="120"/>
              <w:rPr>
                <w:rFonts w:cs="Arial"/>
                <w:sz w:val="20"/>
                <w:szCs w:val="20"/>
              </w:rPr>
            </w:pPr>
            <w:r>
              <w:rPr>
                <w:rFonts w:cs="Arial"/>
                <w:sz w:val="20"/>
                <w:szCs w:val="20"/>
              </w:rPr>
              <w:t>Paragraph 21</w:t>
            </w:r>
          </w:p>
        </w:tc>
        <w:tc>
          <w:tcPr>
            <w:tcW w:w="11160" w:type="dxa"/>
            <w:shd w:val="clear" w:color="auto" w:fill="FFFFFF" w:themeFill="background1"/>
          </w:tcPr>
          <w:p>
            <w:pPr>
              <w:pStyle w:val="BodyText"/>
              <w:spacing w:before="120" w:after="120"/>
              <w:rPr>
                <w:rFonts w:cs="Arial"/>
                <w:sz w:val="20"/>
                <w:szCs w:val="20"/>
              </w:rPr>
            </w:pPr>
            <w:r>
              <w:rPr>
                <w:rFonts w:cs="Arial"/>
                <w:sz w:val="20"/>
                <w:szCs w:val="20"/>
              </w:rPr>
              <w:t xml:space="preserve">Clarify how the Empowered Community “accepts the results from the mediation phase” (e.g., does this require consensus support? If so, </w:t>
            </w:r>
            <w:r>
              <w:rPr>
                <w:rFonts w:cs="Arial"/>
                <w:sz w:val="20"/>
                <w:szCs w:val="20"/>
              </w:rPr>
              <w:lastRenderedPageBreak/>
              <w:t>what thresholds apply?)</w:t>
            </w:r>
          </w:p>
        </w:tc>
      </w:tr>
      <w:tr>
        <w:tc>
          <w:tcPr>
            <w:tcW w:w="2358" w:type="dxa"/>
            <w:shd w:val="clear" w:color="auto" w:fill="FFFFFF" w:themeFill="background1"/>
          </w:tcPr>
          <w:p>
            <w:pPr>
              <w:pStyle w:val="BodyText"/>
              <w:spacing w:before="120" w:after="120"/>
              <w:rPr>
                <w:rFonts w:cs="Arial"/>
                <w:sz w:val="20"/>
                <w:szCs w:val="20"/>
              </w:rPr>
            </w:pPr>
            <w:r>
              <w:rPr>
                <w:rFonts w:cs="Arial"/>
                <w:sz w:val="20"/>
                <w:szCs w:val="20"/>
              </w:rPr>
              <w:lastRenderedPageBreak/>
              <w:t>Paragraph 22</w:t>
            </w:r>
          </w:p>
        </w:tc>
        <w:tc>
          <w:tcPr>
            <w:tcW w:w="11160" w:type="dxa"/>
            <w:shd w:val="clear" w:color="auto" w:fill="FFFFFF" w:themeFill="background1"/>
          </w:tcPr>
          <w:p>
            <w:pPr>
              <w:pStyle w:val="BodyText"/>
              <w:spacing w:before="120" w:after="120"/>
              <w:rPr>
                <w:rFonts w:cs="Arial"/>
                <w:sz w:val="20"/>
                <w:szCs w:val="20"/>
              </w:rPr>
            </w:pPr>
            <w:r>
              <w:rPr>
                <w:rFonts w:cs="Arial"/>
                <w:sz w:val="20"/>
                <w:szCs w:val="20"/>
              </w:rPr>
              <w:t xml:space="preserve">“• If the requisite threshold of community support is achieved, the Empowered Community </w:t>
            </w:r>
            <w:r>
              <w:rPr>
                <w:rFonts w:cs="Arial"/>
                <w:color w:val="0070C0"/>
                <w:sz w:val="20"/>
                <w:szCs w:val="20"/>
                <w:u w:val="double" w:color="0000FF"/>
              </w:rPr>
              <w:t>will instruct the</w:t>
            </w:r>
            <w:r>
              <w:rPr>
                <w:rFonts w:cs="Arial"/>
                <w:sz w:val="20"/>
                <w:szCs w:val="20"/>
              </w:rPr>
              <w:t xml:space="preserve"> </w:t>
            </w:r>
            <w:r>
              <w:rPr>
                <w:rFonts w:cs="Arial"/>
                <w:color w:val="0070C0"/>
                <w:sz w:val="20"/>
                <w:szCs w:val="20"/>
                <w:u w:val="double" w:color="0000FF"/>
              </w:rPr>
              <w:t>Sole Designator to</w:t>
            </w:r>
            <w:r>
              <w:rPr>
                <w:rFonts w:cs="Arial"/>
                <w:sz w:val="20"/>
                <w:szCs w:val="20"/>
              </w:rPr>
              <w:t xml:space="preserve"> remove</w:t>
            </w:r>
            <w:r>
              <w:rPr>
                <w:rFonts w:cs="Arial"/>
                <w:strike/>
                <w:color w:val="FF0000"/>
                <w:sz w:val="20"/>
                <w:szCs w:val="20"/>
              </w:rPr>
              <w:t>s</w:t>
            </w:r>
            <w:r>
              <w:rPr>
                <w:rFonts w:cs="Arial"/>
                <w:sz w:val="20"/>
                <w:szCs w:val="20"/>
              </w:rPr>
              <w:t xml:space="preserve"> all of the members of the ICANN Board (except the CEO) and replace</w:t>
            </w:r>
            <w:r>
              <w:rPr>
                <w:rFonts w:cs="Arial"/>
                <w:strike/>
                <w:color w:val="FF0000"/>
                <w:sz w:val="20"/>
                <w:szCs w:val="20"/>
              </w:rPr>
              <w:t>s</w:t>
            </w:r>
            <w:r>
              <w:rPr>
                <w:rFonts w:cs="Arial"/>
                <w:sz w:val="20"/>
                <w:szCs w:val="20"/>
              </w:rPr>
              <w:t xml:space="preserve"> them with an Interim Board until a new Board can be seated.</w:t>
            </w:r>
          </w:p>
          <w:p>
            <w:pPr>
              <w:pStyle w:val="BodyText"/>
              <w:spacing w:before="120" w:after="120"/>
              <w:rPr>
                <w:rFonts w:cs="Arial"/>
                <w:sz w:val="20"/>
                <w:szCs w:val="20"/>
              </w:rPr>
            </w:pPr>
            <w:r>
              <w:rPr>
                <w:rFonts w:cs="Arial"/>
                <w:sz w:val="20"/>
                <w:szCs w:val="20"/>
              </w:rPr>
              <w:t xml:space="preserve">  • The </w:t>
            </w:r>
            <w:r>
              <w:rPr>
                <w:rFonts w:cs="Arial"/>
                <w:color w:val="0070C0"/>
                <w:sz w:val="20"/>
                <w:szCs w:val="20"/>
                <w:u w:val="double" w:color="0000FF"/>
              </w:rPr>
              <w:t xml:space="preserve">Sole Designator </w:t>
            </w:r>
            <w:r>
              <w:rPr>
                <w:rFonts w:cs="Arial"/>
                <w:strike/>
                <w:color w:val="FF0000"/>
                <w:sz w:val="20"/>
                <w:szCs w:val="20"/>
              </w:rPr>
              <w:t>Empowered Community</w:t>
            </w:r>
            <w:r>
              <w:rPr>
                <w:rFonts w:cs="Arial"/>
                <w:sz w:val="20"/>
                <w:szCs w:val="20"/>
              </w:rPr>
              <w:t xml:space="preserve"> may legally enforce the power to recall the entire Board in court.”</w:t>
            </w:r>
          </w:p>
        </w:tc>
      </w:tr>
      <w:tr>
        <w:tc>
          <w:tcPr>
            <w:tcW w:w="2358" w:type="dxa"/>
            <w:shd w:val="clear" w:color="auto" w:fill="FFFFFF" w:themeFill="background1"/>
          </w:tcPr>
          <w:p>
            <w:pPr>
              <w:pStyle w:val="BodyText"/>
              <w:spacing w:before="120" w:after="120"/>
              <w:rPr>
                <w:rFonts w:cs="Arial"/>
                <w:sz w:val="20"/>
                <w:szCs w:val="20"/>
              </w:rPr>
            </w:pPr>
            <w:r>
              <w:rPr>
                <w:rFonts w:cs="Arial"/>
                <w:sz w:val="20"/>
                <w:szCs w:val="20"/>
              </w:rPr>
              <w:t>Paragraph 32</w:t>
            </w:r>
          </w:p>
        </w:tc>
        <w:tc>
          <w:tcPr>
            <w:tcW w:w="11160" w:type="dxa"/>
            <w:shd w:val="clear" w:color="auto" w:fill="FFFFFF" w:themeFill="background1"/>
          </w:tcPr>
          <w:p>
            <w:pPr>
              <w:pStyle w:val="BodyText"/>
              <w:spacing w:before="120" w:after="120"/>
              <w:rPr>
                <w:rFonts w:cs="Arial"/>
                <w:sz w:val="20"/>
                <w:szCs w:val="20"/>
              </w:rPr>
            </w:pPr>
            <w:r>
              <w:rPr>
                <w:rFonts w:cs="Arial"/>
                <w:sz w:val="20"/>
                <w:szCs w:val="20"/>
              </w:rPr>
              <w:t xml:space="preserve">“4a. Remove an individual Board Director </w:t>
            </w:r>
            <w:r>
              <w:rPr>
                <w:rFonts w:cs="Arial"/>
                <w:color w:val="0070C0"/>
                <w:sz w:val="20"/>
                <w:szCs w:val="20"/>
                <w:u w:val="double" w:color="0000FF"/>
              </w:rPr>
              <w:t>nominated</w:t>
            </w:r>
            <w:r>
              <w:rPr>
                <w:rFonts w:cs="Arial"/>
                <w:strike/>
                <w:color w:val="FF0000"/>
                <w:sz w:val="20"/>
                <w:szCs w:val="20"/>
              </w:rPr>
              <w:t>appointed</w:t>
            </w:r>
            <w:r>
              <w:rPr>
                <w:rFonts w:cs="Arial"/>
                <w:sz w:val="20"/>
                <w:szCs w:val="20"/>
              </w:rPr>
              <w:t xml:space="preserve"> by a</w:t>
            </w:r>
            <w:r>
              <w:rPr>
                <w:rFonts w:cs="Arial"/>
                <w:color w:val="0070C0"/>
                <w:sz w:val="20"/>
                <w:szCs w:val="20"/>
                <w:u w:val="double" w:color="0000FF"/>
              </w:rPr>
              <w:t>n</w:t>
            </w:r>
            <w:r>
              <w:rPr>
                <w:rFonts w:cs="Arial"/>
                <w:sz w:val="20"/>
                <w:szCs w:val="20"/>
              </w:rPr>
              <w:t xml:space="preserve"> SO or AC </w:t>
            </w:r>
            <w:r>
              <w:rPr>
                <w:rFonts w:cs="Arial"/>
                <w:color w:val="0070C0"/>
                <w:sz w:val="20"/>
                <w:szCs w:val="20"/>
                <w:u w:val="double" w:color="0000FF"/>
              </w:rPr>
              <w:t>(and appointed by the Sole Designator)</w:t>
            </w:r>
            <w:r>
              <w:rPr>
                <w:rFonts w:cs="Arial"/>
                <w:sz w:val="20"/>
                <w:szCs w:val="20"/>
              </w:rPr>
              <w:t>”</w:t>
            </w:r>
          </w:p>
        </w:tc>
      </w:tr>
      <w:tr>
        <w:tc>
          <w:tcPr>
            <w:tcW w:w="2358" w:type="dxa"/>
            <w:shd w:val="clear" w:color="auto" w:fill="FFFFFF" w:themeFill="background1"/>
          </w:tcPr>
          <w:p>
            <w:pPr>
              <w:pStyle w:val="BodyText"/>
              <w:spacing w:before="120" w:after="120"/>
              <w:rPr>
                <w:rFonts w:cs="Arial"/>
                <w:sz w:val="20"/>
                <w:szCs w:val="20"/>
              </w:rPr>
            </w:pPr>
            <w:r>
              <w:rPr>
                <w:rFonts w:cs="Arial"/>
                <w:sz w:val="20"/>
                <w:szCs w:val="20"/>
              </w:rPr>
              <w:t>Paragraph 33, 34</w:t>
            </w:r>
          </w:p>
        </w:tc>
        <w:tc>
          <w:tcPr>
            <w:tcW w:w="11160" w:type="dxa"/>
            <w:shd w:val="clear" w:color="auto" w:fill="FFFFFF" w:themeFill="background1"/>
          </w:tcPr>
          <w:p>
            <w:pPr>
              <w:pStyle w:val="BodyText"/>
              <w:spacing w:before="120" w:after="120"/>
              <w:rPr>
                <w:rFonts w:cs="Arial"/>
                <w:sz w:val="20"/>
                <w:szCs w:val="20"/>
              </w:rPr>
            </w:pPr>
            <w:r>
              <w:rPr>
                <w:rFonts w:cs="Arial"/>
                <w:sz w:val="20"/>
                <w:szCs w:val="20"/>
              </w:rPr>
              <w:t>“Replace “appointing AC/SO” with “nominating AC/SO”</w:t>
            </w:r>
          </w:p>
        </w:tc>
      </w:tr>
      <w:tr>
        <w:tc>
          <w:tcPr>
            <w:tcW w:w="2358" w:type="dxa"/>
            <w:shd w:val="clear" w:color="auto" w:fill="FFFFFF" w:themeFill="background1"/>
          </w:tcPr>
          <w:p>
            <w:pPr>
              <w:pStyle w:val="BodyText"/>
              <w:spacing w:before="120" w:after="120"/>
              <w:rPr>
                <w:rFonts w:cs="Arial"/>
                <w:sz w:val="20"/>
                <w:szCs w:val="20"/>
              </w:rPr>
            </w:pPr>
            <w:r>
              <w:rPr>
                <w:rFonts w:cs="Arial"/>
                <w:sz w:val="20"/>
                <w:szCs w:val="20"/>
              </w:rPr>
              <w:t>Paragraph 35</w:t>
            </w:r>
          </w:p>
        </w:tc>
        <w:tc>
          <w:tcPr>
            <w:tcW w:w="11160" w:type="dxa"/>
            <w:shd w:val="clear" w:color="auto" w:fill="FFFFFF" w:themeFill="background1"/>
          </w:tcPr>
          <w:p>
            <w:pPr>
              <w:pStyle w:val="BodyText"/>
              <w:spacing w:before="120" w:after="120"/>
              <w:rPr>
                <w:rFonts w:cs="Arial"/>
                <w:sz w:val="20"/>
                <w:szCs w:val="20"/>
              </w:rPr>
            </w:pPr>
            <w:r>
              <w:rPr>
                <w:rFonts w:cs="Arial"/>
                <w:sz w:val="20"/>
                <w:szCs w:val="20"/>
              </w:rPr>
              <w:t xml:space="preserve">“4b. Remove an individual Board Director </w:t>
            </w:r>
            <w:r>
              <w:rPr>
                <w:rFonts w:cs="Arial"/>
                <w:color w:val="0070C0"/>
                <w:sz w:val="20"/>
                <w:szCs w:val="20"/>
                <w:u w:val="double" w:color="0000FF"/>
              </w:rPr>
              <w:t>nominated</w:t>
            </w:r>
            <w:r>
              <w:rPr>
                <w:rFonts w:cs="Arial"/>
                <w:strike/>
                <w:color w:val="FF0000"/>
                <w:sz w:val="20"/>
                <w:szCs w:val="20"/>
              </w:rPr>
              <w:t>appointed</w:t>
            </w:r>
            <w:r>
              <w:rPr>
                <w:rFonts w:cs="Arial"/>
                <w:sz w:val="20"/>
                <w:szCs w:val="20"/>
              </w:rPr>
              <w:t xml:space="preserve"> by the Nominating Committee </w:t>
            </w:r>
            <w:r>
              <w:rPr>
                <w:rFonts w:cs="Arial"/>
                <w:color w:val="0070C0"/>
                <w:sz w:val="20"/>
                <w:szCs w:val="20"/>
                <w:u w:val="double" w:color="0000FF"/>
              </w:rPr>
              <w:t>(and appointed by the Sole Designator)</w:t>
            </w:r>
            <w:r>
              <w:rPr>
                <w:rFonts w:cs="Arial"/>
                <w:sz w:val="20"/>
                <w:szCs w:val="20"/>
              </w:rPr>
              <w:t>”</w:t>
            </w:r>
          </w:p>
        </w:tc>
      </w:tr>
      <w:tr>
        <w:tc>
          <w:tcPr>
            <w:tcW w:w="13518" w:type="dxa"/>
            <w:gridSpan w:val="2"/>
            <w:shd w:val="clear" w:color="auto" w:fill="C6D9F1" w:themeFill="text2" w:themeFillTint="33"/>
          </w:tcPr>
          <w:p>
            <w:pPr>
              <w:pStyle w:val="BodyText"/>
              <w:spacing w:before="120" w:after="120"/>
              <w:rPr>
                <w:rFonts w:cs="Arial"/>
                <w:b/>
                <w:sz w:val="20"/>
                <w:szCs w:val="20"/>
              </w:rPr>
            </w:pPr>
            <w:r>
              <w:rPr>
                <w:rFonts w:cs="Arial"/>
                <w:b/>
                <w:sz w:val="20"/>
                <w:szCs w:val="20"/>
              </w:rPr>
              <w:t>Annex 12: Recommendation #12: Committing to Further Accountability Work in Work Stream 2</w:t>
            </w:r>
          </w:p>
          <w:p>
            <w:pPr>
              <w:pStyle w:val="BodyText"/>
              <w:spacing w:before="120" w:after="120"/>
              <w:rPr>
                <w:rFonts w:cs="Arial"/>
                <w:sz w:val="20"/>
                <w:szCs w:val="20"/>
              </w:rPr>
            </w:pPr>
            <w:r>
              <w:rPr>
                <w:rFonts w:cs="Arial"/>
                <w:sz w:val="20"/>
                <w:szCs w:val="20"/>
              </w:rPr>
              <w:t>(</w:t>
            </w:r>
            <w:r>
              <w:rPr>
                <w:rFonts w:cs="Arial"/>
                <w:i/>
                <w:sz w:val="20"/>
                <w:szCs w:val="20"/>
              </w:rPr>
              <w:t>Paragraph numbers refer to the 2</w:t>
            </w:r>
            <w:r>
              <w:rPr>
                <w:rFonts w:cs="Arial"/>
                <w:i/>
                <w:sz w:val="20"/>
                <w:szCs w:val="20"/>
                <w:vertAlign w:val="superscript"/>
              </w:rPr>
              <w:t>nd</w:t>
            </w:r>
            <w:r>
              <w:rPr>
                <w:rFonts w:cs="Arial"/>
                <w:i/>
                <w:sz w:val="20"/>
                <w:szCs w:val="20"/>
              </w:rPr>
              <w:t xml:space="preserve"> reading conclusions draft)</w:t>
            </w:r>
          </w:p>
        </w:tc>
      </w:tr>
      <w:tr>
        <w:tc>
          <w:tcPr>
            <w:tcW w:w="2358" w:type="dxa"/>
            <w:shd w:val="clear" w:color="auto" w:fill="FFFFFF" w:themeFill="background1"/>
          </w:tcPr>
          <w:p>
            <w:pPr>
              <w:pStyle w:val="BodyText"/>
              <w:spacing w:before="120" w:after="120"/>
              <w:rPr>
                <w:rFonts w:cs="Arial"/>
                <w:sz w:val="20"/>
                <w:szCs w:val="20"/>
              </w:rPr>
            </w:pPr>
            <w:r>
              <w:rPr>
                <w:rFonts w:cs="Arial"/>
                <w:sz w:val="20"/>
                <w:szCs w:val="20"/>
              </w:rPr>
              <w:t>Summary</w:t>
            </w:r>
          </w:p>
        </w:tc>
        <w:tc>
          <w:tcPr>
            <w:tcW w:w="11160" w:type="dxa"/>
            <w:shd w:val="clear" w:color="auto" w:fill="FFFFFF" w:themeFill="background1"/>
          </w:tcPr>
          <w:p>
            <w:pPr>
              <w:pStyle w:val="BodyText"/>
              <w:spacing w:before="120" w:after="120"/>
              <w:rPr>
                <w:rFonts w:cs="Arial"/>
                <w:sz w:val="20"/>
                <w:szCs w:val="20"/>
              </w:rPr>
            </w:pPr>
            <w:r>
              <w:rPr>
                <w:rFonts w:cs="Arial"/>
                <w:sz w:val="20"/>
                <w:szCs w:val="20"/>
              </w:rPr>
              <w:t xml:space="preserve">“5. Agreed to incorporate PEG Advisor input to strengthen </w:t>
            </w:r>
            <w:r>
              <w:rPr>
                <w:rFonts w:asciiTheme="minorHAnsi" w:hAnsiTheme="minorHAnsi" w:cstheme="minorHAnsi"/>
                <w:color w:val="0070C0"/>
                <w:sz w:val="20"/>
                <w:szCs w:val="20"/>
                <w:u w:val="double" w:color="0000FF"/>
              </w:rPr>
              <w:t>the</w:t>
            </w:r>
            <w:r>
              <w:rPr>
                <w:rFonts w:cs="Arial"/>
                <w:sz w:val="20"/>
                <w:szCs w:val="20"/>
              </w:rPr>
              <w:t xml:space="preserve"> diversity requirement”</w:t>
            </w:r>
          </w:p>
        </w:tc>
      </w:tr>
      <w:tr>
        <w:tc>
          <w:tcPr>
            <w:tcW w:w="2358" w:type="dxa"/>
            <w:shd w:val="clear" w:color="auto" w:fill="FFFFFF" w:themeFill="background1"/>
          </w:tcPr>
          <w:p>
            <w:pPr>
              <w:pStyle w:val="BodyText"/>
              <w:spacing w:before="120" w:after="120"/>
              <w:rPr>
                <w:rFonts w:cs="Arial"/>
                <w:sz w:val="20"/>
                <w:szCs w:val="20"/>
              </w:rPr>
            </w:pPr>
            <w:r>
              <w:rPr>
                <w:rFonts w:cs="Arial"/>
                <w:sz w:val="20"/>
                <w:szCs w:val="20"/>
              </w:rPr>
              <w:t>Paragraph 4</w:t>
            </w:r>
          </w:p>
        </w:tc>
        <w:tc>
          <w:tcPr>
            <w:tcW w:w="11160" w:type="dxa"/>
            <w:shd w:val="clear" w:color="auto" w:fill="FFFFFF" w:themeFill="background1"/>
          </w:tcPr>
          <w:p>
            <w:pPr>
              <w:pStyle w:val="BodyText"/>
              <w:spacing w:before="120" w:after="120"/>
              <w:rPr>
                <w:rFonts w:cs="Arial"/>
                <w:sz w:val="20"/>
                <w:szCs w:val="20"/>
              </w:rPr>
            </w:pPr>
            <w:r>
              <w:rPr>
                <w:rFonts w:cs="Arial"/>
                <w:sz w:val="20"/>
                <w:szCs w:val="20"/>
              </w:rPr>
              <w:t xml:space="preserve">“To prevent this scenario, the CCWG-Accountability recommends that the ICANN Board adopt an Interim Bylaw that would commit ICANN to </w:t>
            </w:r>
            <w:r>
              <w:rPr>
                <w:rFonts w:asciiTheme="minorHAnsi" w:hAnsiTheme="minorHAnsi" w:cstheme="minorHAnsi"/>
                <w:color w:val="0070C0"/>
                <w:sz w:val="20"/>
                <w:szCs w:val="20"/>
                <w:u w:val="double" w:color="0000FF"/>
              </w:rPr>
              <w:t xml:space="preserve">consider </w:t>
            </w:r>
            <w:r>
              <w:rPr>
                <w:rFonts w:cs="Arial"/>
                <w:strike/>
                <w:color w:val="FF0000"/>
                <w:sz w:val="20"/>
                <w:szCs w:val="20"/>
              </w:rPr>
              <w:t xml:space="preserve">implementing </w:t>
            </w:r>
            <w:r>
              <w:rPr>
                <w:rFonts w:cs="Arial"/>
                <w:sz w:val="20"/>
                <w:szCs w:val="20"/>
              </w:rPr>
              <w:t>the CCWG-Accountability Work Stream 2 recommendations…”</w:t>
            </w:r>
          </w:p>
        </w:tc>
      </w:tr>
      <w:tr>
        <w:tc>
          <w:tcPr>
            <w:tcW w:w="2358" w:type="dxa"/>
            <w:shd w:val="clear" w:color="auto" w:fill="FFFFFF" w:themeFill="background1"/>
          </w:tcPr>
          <w:p>
            <w:pPr>
              <w:pStyle w:val="BodyText"/>
              <w:spacing w:before="120" w:after="120"/>
              <w:rPr>
                <w:rFonts w:cs="Arial"/>
                <w:sz w:val="20"/>
                <w:szCs w:val="20"/>
              </w:rPr>
            </w:pPr>
            <w:r>
              <w:rPr>
                <w:rFonts w:cs="Arial"/>
                <w:sz w:val="20"/>
                <w:szCs w:val="20"/>
              </w:rPr>
              <w:t>Paragraph 5</w:t>
            </w:r>
          </w:p>
        </w:tc>
        <w:tc>
          <w:tcPr>
            <w:tcW w:w="11160" w:type="dxa"/>
            <w:shd w:val="clear" w:color="auto" w:fill="FFFFFF" w:themeFill="background1"/>
          </w:tcPr>
          <w:p>
            <w:pPr>
              <w:pStyle w:val="BodyText"/>
              <w:spacing w:before="120" w:after="120"/>
              <w:rPr>
                <w:rFonts w:cs="Arial"/>
                <w:sz w:val="20"/>
                <w:szCs w:val="20"/>
              </w:rPr>
            </w:pPr>
            <w:r>
              <w:rPr>
                <w:rFonts w:cs="Arial"/>
                <w:sz w:val="20"/>
                <w:szCs w:val="20"/>
              </w:rPr>
              <w:t xml:space="preserve">“Considering enhancements to </w:t>
            </w:r>
            <w:r>
              <w:rPr>
                <w:rFonts w:asciiTheme="minorHAnsi" w:hAnsiTheme="minorHAnsi" w:cstheme="minorHAnsi"/>
                <w:color w:val="0070C0"/>
                <w:sz w:val="20"/>
                <w:szCs w:val="20"/>
                <w:u w:val="double" w:color="0000FF"/>
              </w:rPr>
              <w:t xml:space="preserve">the </w:t>
            </w:r>
            <w:r>
              <w:rPr>
                <w:rFonts w:cs="Arial"/>
                <w:sz w:val="20"/>
                <w:szCs w:val="20"/>
              </w:rPr>
              <w:t>Ombudsman’s role and function”</w:t>
            </w:r>
          </w:p>
          <w:p>
            <w:pPr>
              <w:pStyle w:val="BodyText"/>
              <w:spacing w:before="120" w:after="120"/>
              <w:rPr>
                <w:rFonts w:cs="Arial"/>
                <w:sz w:val="20"/>
                <w:szCs w:val="20"/>
              </w:rPr>
            </w:pPr>
            <w:r>
              <w:rPr>
                <w:rFonts w:cs="Arial"/>
                <w:sz w:val="20"/>
                <w:szCs w:val="20"/>
              </w:rPr>
              <w:t>“</w:t>
            </w:r>
            <w:r>
              <w:rPr>
                <w:rFonts w:cs="Arial"/>
                <w:strike/>
                <w:color w:val="FF0000"/>
                <w:sz w:val="20"/>
                <w:szCs w:val="20"/>
              </w:rPr>
              <w:t>w</w:t>
            </w:r>
            <w:r>
              <w:rPr>
                <w:rFonts w:asciiTheme="minorHAnsi" w:hAnsiTheme="minorHAnsi" w:cstheme="minorHAnsi"/>
                <w:color w:val="0070C0"/>
                <w:sz w:val="20"/>
                <w:szCs w:val="20"/>
                <w:u w:val="double" w:color="0000FF"/>
              </w:rPr>
              <w:t>c</w:t>
            </w:r>
            <w:r>
              <w:rPr>
                <w:rFonts w:cs="Arial"/>
                <w:sz w:val="20"/>
                <w:szCs w:val="20"/>
              </w:rPr>
              <w:t xml:space="preserve">ommunity” </w:t>
            </w:r>
          </w:p>
        </w:tc>
      </w:tr>
      <w:tr>
        <w:tc>
          <w:tcPr>
            <w:tcW w:w="2358" w:type="dxa"/>
            <w:shd w:val="clear" w:color="auto" w:fill="FFFFFF" w:themeFill="background1"/>
          </w:tcPr>
          <w:p>
            <w:pPr>
              <w:pStyle w:val="BodyText"/>
              <w:spacing w:before="120" w:after="120"/>
              <w:rPr>
                <w:rFonts w:cs="Arial"/>
                <w:sz w:val="20"/>
                <w:szCs w:val="20"/>
              </w:rPr>
            </w:pPr>
            <w:r>
              <w:rPr>
                <w:rFonts w:cs="Arial"/>
                <w:sz w:val="20"/>
                <w:szCs w:val="20"/>
              </w:rPr>
              <w:t>Paragraph 9</w:t>
            </w:r>
          </w:p>
        </w:tc>
        <w:tc>
          <w:tcPr>
            <w:tcW w:w="11160" w:type="dxa"/>
            <w:shd w:val="clear" w:color="auto" w:fill="FFFFFF" w:themeFill="background1"/>
          </w:tcPr>
          <w:p>
            <w:pPr>
              <w:pStyle w:val="BodyText"/>
              <w:spacing w:before="120" w:after="120"/>
              <w:rPr>
                <w:rFonts w:cs="Arial"/>
                <w:sz w:val="20"/>
                <w:szCs w:val="20"/>
              </w:rPr>
            </w:pPr>
            <w:r>
              <w:rPr>
                <w:rFonts w:cs="Arial"/>
                <w:sz w:val="20"/>
                <w:szCs w:val="20"/>
              </w:rPr>
              <w:t xml:space="preserve">“The CCWG Accountability acknowledges the specific </w:t>
            </w:r>
            <w:r>
              <w:rPr>
                <w:rFonts w:cs="Arial"/>
                <w:strike/>
                <w:color w:val="FF0000"/>
                <w:sz w:val="20"/>
                <w:szCs w:val="20"/>
              </w:rPr>
              <w:t>A</w:t>
            </w:r>
            <w:r>
              <w:rPr>
                <w:rFonts w:asciiTheme="minorHAnsi" w:hAnsiTheme="minorHAnsi" w:cstheme="minorHAnsi"/>
                <w:color w:val="0070C0"/>
                <w:sz w:val="20"/>
                <w:szCs w:val="20"/>
                <w:u w:val="double" w:color="0000FF"/>
              </w:rPr>
              <w:t>a</w:t>
            </w:r>
            <w:r>
              <w:rPr>
                <w:rFonts w:cs="Arial"/>
                <w:sz w:val="20"/>
                <w:szCs w:val="20"/>
              </w:rPr>
              <w:t>dvice received ...”</w:t>
            </w:r>
          </w:p>
          <w:p>
            <w:pPr>
              <w:pStyle w:val="BodyText"/>
              <w:spacing w:before="120" w:after="120"/>
              <w:rPr>
                <w:rFonts w:cs="Arial"/>
                <w:sz w:val="20"/>
                <w:szCs w:val="20"/>
              </w:rPr>
            </w:pPr>
            <w:r>
              <w:rPr>
                <w:rFonts w:cs="Arial"/>
                <w:sz w:val="20"/>
                <w:szCs w:val="20"/>
              </w:rPr>
              <w:t xml:space="preserve">“Maximally participatory and transparent deliberations by all affected stakeholders are necessary in order to capture </w:t>
            </w:r>
            <w:r>
              <w:rPr>
                <w:rFonts w:asciiTheme="minorHAnsi" w:hAnsiTheme="minorHAnsi" w:cstheme="minorHAnsi"/>
                <w:color w:val="0070C0"/>
                <w:sz w:val="20"/>
                <w:szCs w:val="20"/>
                <w:u w:val="double" w:color="0000FF"/>
              </w:rPr>
              <w:t>the</w:t>
            </w:r>
            <w:r>
              <w:rPr>
                <w:rFonts w:cs="Arial"/>
                <w:sz w:val="20"/>
                <w:szCs w:val="20"/>
              </w:rPr>
              <w:t xml:space="preserve"> diversity of views…”</w:t>
            </w:r>
          </w:p>
        </w:tc>
      </w:tr>
      <w:tr>
        <w:tc>
          <w:tcPr>
            <w:tcW w:w="2358" w:type="dxa"/>
            <w:shd w:val="clear" w:color="auto" w:fill="FFFFFF" w:themeFill="background1"/>
          </w:tcPr>
          <w:p>
            <w:pPr>
              <w:pStyle w:val="BodyText"/>
              <w:spacing w:before="120" w:after="120"/>
              <w:rPr>
                <w:rFonts w:cs="Arial"/>
                <w:sz w:val="20"/>
                <w:szCs w:val="20"/>
              </w:rPr>
            </w:pPr>
            <w:r>
              <w:rPr>
                <w:rFonts w:cs="Arial"/>
                <w:sz w:val="20"/>
                <w:szCs w:val="20"/>
              </w:rPr>
              <w:t>Paragraph 16</w:t>
            </w:r>
          </w:p>
        </w:tc>
        <w:tc>
          <w:tcPr>
            <w:tcW w:w="11160" w:type="dxa"/>
            <w:shd w:val="clear" w:color="auto" w:fill="FFFFFF" w:themeFill="background1"/>
          </w:tcPr>
          <w:p>
            <w:pPr>
              <w:pStyle w:val="BodyText"/>
              <w:spacing w:before="120" w:after="120"/>
              <w:rPr>
                <w:rFonts w:cs="Arial"/>
                <w:sz w:val="20"/>
                <w:szCs w:val="20"/>
              </w:rPr>
            </w:pPr>
            <w:r>
              <w:rPr>
                <w:rFonts w:cs="Arial"/>
                <w:sz w:val="20"/>
                <w:szCs w:val="20"/>
              </w:rPr>
              <w:t xml:space="preserve">“As part of </w:t>
            </w:r>
            <w:r>
              <w:rPr>
                <w:rFonts w:cs="Arial"/>
                <w:strike/>
                <w:color w:val="FF0000"/>
                <w:sz w:val="20"/>
                <w:szCs w:val="20"/>
              </w:rPr>
              <w:t xml:space="preserve">the </w:t>
            </w:r>
            <w:r>
              <w:rPr>
                <w:rFonts w:cs="Arial"/>
                <w:sz w:val="20"/>
                <w:szCs w:val="20"/>
              </w:rPr>
              <w:t>Work Stream 2”</w:t>
            </w:r>
          </w:p>
        </w:tc>
      </w:tr>
      <w:tr>
        <w:tc>
          <w:tcPr>
            <w:tcW w:w="2358" w:type="dxa"/>
            <w:shd w:val="clear" w:color="auto" w:fill="FFFFFF" w:themeFill="background1"/>
          </w:tcPr>
          <w:p>
            <w:pPr>
              <w:pStyle w:val="BodyText"/>
              <w:spacing w:before="120" w:after="120"/>
              <w:rPr>
                <w:rFonts w:cs="Arial"/>
                <w:sz w:val="20"/>
                <w:szCs w:val="20"/>
              </w:rPr>
            </w:pPr>
            <w:r>
              <w:rPr>
                <w:rFonts w:cs="Arial"/>
                <w:sz w:val="20"/>
                <w:szCs w:val="20"/>
              </w:rPr>
              <w:t>Paragraph 22</w:t>
            </w:r>
          </w:p>
        </w:tc>
        <w:tc>
          <w:tcPr>
            <w:tcW w:w="11160" w:type="dxa"/>
            <w:shd w:val="clear" w:color="auto" w:fill="FFFFFF" w:themeFill="background1"/>
          </w:tcPr>
          <w:p>
            <w:pPr>
              <w:pStyle w:val="BodyText"/>
              <w:spacing w:before="120" w:after="120"/>
              <w:rPr>
                <w:rFonts w:cs="Arial"/>
                <w:sz w:val="20"/>
                <w:szCs w:val="20"/>
              </w:rPr>
            </w:pPr>
            <w:r>
              <w:rPr>
                <w:rFonts w:cs="Arial"/>
                <w:sz w:val="20"/>
                <w:szCs w:val="20"/>
              </w:rPr>
              <w:t xml:space="preserve">“ICANN is a </w:t>
            </w:r>
            <w:r>
              <w:rPr>
                <w:rFonts w:asciiTheme="minorHAnsi" w:hAnsiTheme="minorHAnsi" w:cstheme="minorHAnsi"/>
                <w:color w:val="0070C0"/>
                <w:sz w:val="20"/>
                <w:szCs w:val="20"/>
                <w:u w:val="double" w:color="0000FF"/>
              </w:rPr>
              <w:t>nonprofit</w:t>
            </w:r>
            <w:r>
              <w:rPr>
                <w:rFonts w:cs="Arial"/>
                <w:sz w:val="20"/>
                <w:szCs w:val="20"/>
              </w:rPr>
              <w:t xml:space="preserve"> public benefit corporation incorporated in California and subject to </w:t>
            </w:r>
            <w:r>
              <w:rPr>
                <w:rFonts w:asciiTheme="minorHAnsi" w:hAnsiTheme="minorHAnsi" w:cstheme="minorHAnsi"/>
                <w:color w:val="0070C0"/>
                <w:sz w:val="20"/>
                <w:szCs w:val="20"/>
                <w:u w:val="double" w:color="0000FF"/>
              </w:rPr>
              <w:t>applicable</w:t>
            </w:r>
            <w:r>
              <w:rPr>
                <w:rFonts w:cs="Arial"/>
                <w:sz w:val="20"/>
                <w:szCs w:val="20"/>
              </w:rPr>
              <w:t xml:space="preserve"> California state laws, applicable U.S. federal laws and both state and federal court jurisdiction.”</w:t>
            </w:r>
          </w:p>
        </w:tc>
      </w:tr>
      <w:tr>
        <w:tc>
          <w:tcPr>
            <w:tcW w:w="2358" w:type="dxa"/>
            <w:shd w:val="clear" w:color="auto" w:fill="FFFFFF" w:themeFill="background1"/>
          </w:tcPr>
          <w:p>
            <w:pPr>
              <w:pStyle w:val="BodyText"/>
              <w:spacing w:before="120" w:after="120"/>
              <w:rPr>
                <w:rFonts w:cs="Arial"/>
                <w:sz w:val="20"/>
                <w:szCs w:val="20"/>
              </w:rPr>
            </w:pPr>
            <w:r>
              <w:rPr>
                <w:rFonts w:cs="Arial"/>
                <w:sz w:val="20"/>
                <w:szCs w:val="20"/>
              </w:rPr>
              <w:t>Paragraph 24</w:t>
            </w:r>
          </w:p>
        </w:tc>
        <w:tc>
          <w:tcPr>
            <w:tcW w:w="11160" w:type="dxa"/>
            <w:shd w:val="clear" w:color="auto" w:fill="FFFFFF" w:themeFill="background1"/>
          </w:tcPr>
          <w:p>
            <w:pPr>
              <w:pStyle w:val="BodyText"/>
              <w:spacing w:before="120" w:after="120"/>
              <w:rPr>
                <w:rFonts w:cs="Arial"/>
                <w:sz w:val="20"/>
                <w:szCs w:val="20"/>
              </w:rPr>
            </w:pPr>
            <w:r>
              <w:rPr>
                <w:rFonts w:cs="Arial"/>
                <w:sz w:val="20"/>
                <w:szCs w:val="20"/>
              </w:rPr>
              <w:t>“ccTLDs man</w:t>
            </w:r>
            <w:r>
              <w:rPr>
                <w:rFonts w:asciiTheme="minorHAnsi" w:hAnsiTheme="minorHAnsi" w:cstheme="minorHAnsi"/>
                <w:color w:val="0070C0"/>
                <w:sz w:val="20"/>
                <w:szCs w:val="20"/>
                <w:u w:val="double" w:color="0000FF"/>
              </w:rPr>
              <w:t>a</w:t>
            </w:r>
            <w:r>
              <w:rPr>
                <w:rFonts w:cs="Arial"/>
                <w:sz w:val="20"/>
                <w:szCs w:val="20"/>
              </w:rPr>
              <w:t>gers”</w:t>
            </w:r>
          </w:p>
        </w:tc>
      </w:tr>
      <w:tr>
        <w:tc>
          <w:tcPr>
            <w:tcW w:w="2358" w:type="dxa"/>
            <w:shd w:val="clear" w:color="auto" w:fill="FFFFFF" w:themeFill="background1"/>
          </w:tcPr>
          <w:p>
            <w:pPr>
              <w:pStyle w:val="BodyText"/>
              <w:spacing w:before="120" w:after="120"/>
              <w:rPr>
                <w:rFonts w:cs="Arial"/>
                <w:sz w:val="20"/>
                <w:szCs w:val="20"/>
              </w:rPr>
            </w:pPr>
            <w:r>
              <w:rPr>
                <w:rFonts w:cs="Arial"/>
                <w:sz w:val="20"/>
                <w:szCs w:val="20"/>
              </w:rPr>
              <w:lastRenderedPageBreak/>
              <w:t>Paragraphs 24, 34</w:t>
            </w:r>
          </w:p>
        </w:tc>
        <w:tc>
          <w:tcPr>
            <w:tcW w:w="11160" w:type="dxa"/>
            <w:shd w:val="clear" w:color="auto" w:fill="FFFFFF" w:themeFill="background1"/>
          </w:tcPr>
          <w:p>
            <w:pPr>
              <w:pStyle w:val="BodyText"/>
              <w:spacing w:before="120" w:after="120"/>
              <w:rPr>
                <w:rFonts w:cs="Arial"/>
                <w:sz w:val="20"/>
                <w:szCs w:val="20"/>
              </w:rPr>
            </w:pPr>
            <w:r>
              <w:rPr>
                <w:rFonts w:cs="Arial"/>
                <w:sz w:val="20"/>
                <w:szCs w:val="20"/>
              </w:rPr>
              <w:t>Clarify references to “decisions” to also include actions/inaction</w:t>
            </w:r>
          </w:p>
        </w:tc>
      </w:tr>
      <w:tr>
        <w:tc>
          <w:tcPr>
            <w:tcW w:w="2358" w:type="dxa"/>
            <w:shd w:val="clear" w:color="auto" w:fill="FFFFFF" w:themeFill="background1"/>
          </w:tcPr>
          <w:p>
            <w:pPr>
              <w:pStyle w:val="BodyText"/>
              <w:spacing w:before="120" w:after="120"/>
              <w:rPr>
                <w:rFonts w:cs="Arial"/>
                <w:sz w:val="20"/>
                <w:szCs w:val="20"/>
              </w:rPr>
            </w:pPr>
            <w:r>
              <w:rPr>
                <w:rFonts w:cs="Arial"/>
                <w:sz w:val="20"/>
                <w:szCs w:val="20"/>
              </w:rPr>
              <w:t>Paragraph 28</w:t>
            </w:r>
          </w:p>
        </w:tc>
        <w:tc>
          <w:tcPr>
            <w:tcW w:w="11160" w:type="dxa"/>
            <w:shd w:val="clear" w:color="auto" w:fill="FFFFFF" w:themeFill="background1"/>
          </w:tcPr>
          <w:p>
            <w:pPr>
              <w:pStyle w:val="BodyText"/>
              <w:spacing w:before="120" w:after="120"/>
              <w:rPr>
                <w:rFonts w:cs="Arial"/>
                <w:sz w:val="20"/>
                <w:szCs w:val="20"/>
              </w:rPr>
            </w:pPr>
            <w:r>
              <w:rPr>
                <w:rFonts w:cs="Arial"/>
                <w:sz w:val="20"/>
                <w:szCs w:val="20"/>
              </w:rPr>
              <w:t xml:space="preserve">“Recommendation #8: </w:t>
            </w:r>
            <w:r>
              <w:rPr>
                <w:rFonts w:cs="Arial"/>
                <w:strike/>
                <w:color w:val="FF0000"/>
                <w:sz w:val="20"/>
                <w:szCs w:val="20"/>
              </w:rPr>
              <w:t xml:space="preserve">Fortifying </w:t>
            </w:r>
            <w:r>
              <w:rPr>
                <w:rFonts w:asciiTheme="minorHAnsi" w:hAnsiTheme="minorHAnsi" w:cstheme="minorHAnsi"/>
                <w:color w:val="0070C0"/>
                <w:sz w:val="20"/>
                <w:szCs w:val="20"/>
                <w:u w:val="double" w:color="0000FF"/>
              </w:rPr>
              <w:t xml:space="preserve">Improving </w:t>
            </w:r>
            <w:r>
              <w:rPr>
                <w:rFonts w:cs="Arial"/>
                <w:sz w:val="20"/>
                <w:szCs w:val="20"/>
              </w:rPr>
              <w:t>ICANN’s Request for Reconsideration Process”</w:t>
            </w:r>
          </w:p>
        </w:tc>
      </w:tr>
      <w:tr>
        <w:tc>
          <w:tcPr>
            <w:tcW w:w="2358" w:type="dxa"/>
            <w:shd w:val="clear" w:color="auto" w:fill="FFFFFF" w:themeFill="background1"/>
          </w:tcPr>
          <w:p>
            <w:pPr>
              <w:pStyle w:val="BodyText"/>
              <w:spacing w:before="120" w:after="120"/>
              <w:rPr>
                <w:rFonts w:cs="Arial"/>
                <w:sz w:val="20"/>
                <w:szCs w:val="20"/>
              </w:rPr>
            </w:pPr>
            <w:r>
              <w:rPr>
                <w:rFonts w:cs="Arial"/>
                <w:sz w:val="20"/>
                <w:szCs w:val="20"/>
              </w:rPr>
              <w:t>Paragraphs 30, 34</w:t>
            </w:r>
          </w:p>
        </w:tc>
        <w:tc>
          <w:tcPr>
            <w:tcW w:w="11160" w:type="dxa"/>
            <w:shd w:val="clear" w:color="auto" w:fill="FFFFFF" w:themeFill="background1"/>
          </w:tcPr>
          <w:p>
            <w:pPr>
              <w:pStyle w:val="BodyText"/>
              <w:spacing w:before="120" w:after="120"/>
              <w:rPr>
                <w:rFonts w:cs="Arial"/>
                <w:sz w:val="20"/>
                <w:szCs w:val="20"/>
              </w:rPr>
            </w:pPr>
            <w:r>
              <w:rPr>
                <w:rFonts w:cs="Arial"/>
                <w:sz w:val="20"/>
                <w:szCs w:val="20"/>
              </w:rPr>
              <w:t>“…</w:t>
            </w:r>
            <w:r>
              <w:rPr>
                <w:rFonts w:cs="Arial"/>
                <w:strike/>
                <w:color w:val="FF0000"/>
                <w:sz w:val="20"/>
                <w:szCs w:val="20"/>
              </w:rPr>
              <w:t xml:space="preserve">the </w:t>
            </w:r>
            <w:r>
              <w:rPr>
                <w:rFonts w:asciiTheme="minorHAnsi" w:hAnsiTheme="minorHAnsi" w:cstheme="minorHAnsi"/>
                <w:color w:val="0070C0"/>
                <w:sz w:val="20"/>
                <w:szCs w:val="20"/>
                <w:u w:val="double" w:color="0000FF"/>
              </w:rPr>
              <w:t>W</w:t>
            </w:r>
            <w:r>
              <w:rPr>
                <w:rFonts w:cs="Arial"/>
                <w:strike/>
                <w:color w:val="FF0000"/>
                <w:sz w:val="20"/>
                <w:szCs w:val="20"/>
              </w:rPr>
              <w:t>w</w:t>
            </w:r>
            <w:r>
              <w:rPr>
                <w:rFonts w:cs="Arial"/>
                <w:sz w:val="20"/>
                <w:szCs w:val="20"/>
              </w:rPr>
              <w:t xml:space="preserve">ork </w:t>
            </w:r>
            <w:r>
              <w:rPr>
                <w:rFonts w:asciiTheme="minorHAnsi" w:hAnsiTheme="minorHAnsi" w:cstheme="minorHAnsi"/>
                <w:color w:val="0070C0"/>
                <w:sz w:val="20"/>
                <w:szCs w:val="20"/>
                <w:u w:val="double" w:color="0000FF"/>
              </w:rPr>
              <w:t>S</w:t>
            </w:r>
            <w:r>
              <w:rPr>
                <w:rFonts w:cs="Arial"/>
                <w:strike/>
                <w:color w:val="FF0000"/>
                <w:sz w:val="20"/>
                <w:szCs w:val="20"/>
              </w:rPr>
              <w:t>s</w:t>
            </w:r>
            <w:r>
              <w:rPr>
                <w:rFonts w:cs="Arial"/>
                <w:sz w:val="20"/>
                <w:szCs w:val="20"/>
              </w:rPr>
              <w:t>tream 1”</w:t>
            </w:r>
          </w:p>
        </w:tc>
      </w:tr>
      <w:tr>
        <w:tc>
          <w:tcPr>
            <w:tcW w:w="2358" w:type="dxa"/>
            <w:shd w:val="clear" w:color="auto" w:fill="FFFFFF" w:themeFill="background1"/>
          </w:tcPr>
          <w:p>
            <w:pPr>
              <w:pStyle w:val="BodyText"/>
              <w:spacing w:before="120" w:after="120"/>
              <w:rPr>
                <w:rFonts w:cs="Arial"/>
                <w:sz w:val="20"/>
                <w:szCs w:val="20"/>
              </w:rPr>
            </w:pPr>
            <w:r>
              <w:rPr>
                <w:rFonts w:cs="Arial"/>
                <w:sz w:val="20"/>
                <w:szCs w:val="20"/>
              </w:rPr>
              <w:t>Paragraph 31</w:t>
            </w:r>
          </w:p>
        </w:tc>
        <w:tc>
          <w:tcPr>
            <w:tcW w:w="11160" w:type="dxa"/>
            <w:shd w:val="clear" w:color="auto" w:fill="FFFFFF" w:themeFill="background1"/>
          </w:tcPr>
          <w:p>
            <w:pPr>
              <w:pStyle w:val="BodyText"/>
              <w:spacing w:before="120" w:after="120"/>
              <w:rPr>
                <w:rFonts w:cs="Arial"/>
                <w:sz w:val="20"/>
                <w:szCs w:val="20"/>
              </w:rPr>
            </w:pPr>
            <w:r>
              <w:rPr>
                <w:rFonts w:cs="Arial"/>
                <w:sz w:val="20"/>
                <w:szCs w:val="20"/>
              </w:rPr>
              <w:t>Delete (as this paragraph is blank)</w:t>
            </w:r>
          </w:p>
        </w:tc>
      </w:tr>
      <w:tr>
        <w:tc>
          <w:tcPr>
            <w:tcW w:w="2358" w:type="dxa"/>
            <w:shd w:val="clear" w:color="auto" w:fill="FFFFFF" w:themeFill="background1"/>
          </w:tcPr>
          <w:p>
            <w:pPr>
              <w:pStyle w:val="BodyText"/>
              <w:spacing w:before="120" w:after="120"/>
              <w:rPr>
                <w:rFonts w:cs="Arial"/>
                <w:sz w:val="20"/>
                <w:szCs w:val="20"/>
              </w:rPr>
            </w:pPr>
            <w:r>
              <w:rPr>
                <w:rFonts w:cs="Arial"/>
                <w:sz w:val="20"/>
                <w:szCs w:val="20"/>
              </w:rPr>
              <w:t>Paragraph 33</w:t>
            </w:r>
          </w:p>
        </w:tc>
        <w:tc>
          <w:tcPr>
            <w:tcW w:w="11160" w:type="dxa"/>
            <w:shd w:val="clear" w:color="auto" w:fill="FFFFFF" w:themeFill="background1"/>
          </w:tcPr>
          <w:p>
            <w:pPr>
              <w:pStyle w:val="BodyText"/>
              <w:spacing w:before="120" w:after="120"/>
              <w:rPr>
                <w:rFonts w:cs="Arial"/>
                <w:sz w:val="20"/>
                <w:szCs w:val="20"/>
              </w:rPr>
            </w:pPr>
            <w:r>
              <w:rPr>
                <w:rFonts w:cs="Arial"/>
                <w:sz w:val="20"/>
                <w:szCs w:val="20"/>
              </w:rPr>
              <w:t>“Also, enshrining the process and conditions within a Bylaw (even if it</w:t>
            </w:r>
            <w:r>
              <w:rPr>
                <w:rFonts w:cs="Arial"/>
                <w:strike/>
                <w:color w:val="FF0000"/>
                <w:sz w:val="20"/>
                <w:szCs w:val="20"/>
              </w:rPr>
              <w:t>’s</w:t>
            </w:r>
            <w:r>
              <w:rPr>
                <w:rFonts w:cs="Arial"/>
                <w:sz w:val="20"/>
                <w:szCs w:val="20"/>
              </w:rPr>
              <w:t xml:space="preserve"> </w:t>
            </w:r>
            <w:r>
              <w:rPr>
                <w:rFonts w:asciiTheme="minorHAnsi" w:hAnsiTheme="minorHAnsi" w:cstheme="minorHAnsi"/>
                <w:color w:val="0070C0"/>
                <w:sz w:val="20"/>
                <w:szCs w:val="20"/>
                <w:u w:val="double" w:color="0000FF"/>
              </w:rPr>
              <w:t xml:space="preserve">is </w:t>
            </w:r>
            <w:r>
              <w:rPr>
                <w:rFonts w:cs="Arial"/>
                <w:sz w:val="20"/>
                <w:szCs w:val="20"/>
              </w:rPr>
              <w:t>a transition</w:t>
            </w:r>
            <w:r>
              <w:rPr>
                <w:rFonts w:asciiTheme="minorHAnsi" w:hAnsiTheme="minorHAnsi" w:cstheme="minorHAnsi"/>
                <w:color w:val="0070C0"/>
                <w:sz w:val="20"/>
                <w:szCs w:val="20"/>
                <w:u w:val="double" w:color="0000FF"/>
              </w:rPr>
              <w:t>al</w:t>
            </w:r>
            <w:r>
              <w:rPr>
                <w:rFonts w:cs="Arial"/>
                <w:sz w:val="20"/>
                <w:szCs w:val="20"/>
              </w:rPr>
              <w:t xml:space="preserve"> </w:t>
            </w:r>
            <w:r>
              <w:rPr>
                <w:rFonts w:asciiTheme="minorHAnsi" w:hAnsiTheme="minorHAnsi" w:cstheme="minorHAnsi"/>
                <w:color w:val="0070C0"/>
                <w:sz w:val="20"/>
                <w:szCs w:val="20"/>
                <w:u w:val="double" w:color="0000FF"/>
              </w:rPr>
              <w:t>provision</w:t>
            </w:r>
            <w:r>
              <w:rPr>
                <w:rFonts w:cs="Arial"/>
                <w:strike/>
                <w:color w:val="FF0000"/>
                <w:sz w:val="20"/>
                <w:szCs w:val="20"/>
              </w:rPr>
              <w:t>article</w:t>
            </w:r>
            <w:r>
              <w:rPr>
                <w:rFonts w:cs="Arial"/>
                <w:sz w:val="20"/>
                <w:szCs w:val="20"/>
              </w:rPr>
              <w:t>)…”</w:t>
            </w:r>
          </w:p>
        </w:tc>
      </w:tr>
      <w:tr>
        <w:trPr>
          <w:trHeight w:val="899"/>
        </w:trPr>
        <w:tc>
          <w:tcPr>
            <w:tcW w:w="2358" w:type="dxa"/>
            <w:shd w:val="clear" w:color="auto" w:fill="FFFFFF" w:themeFill="background1"/>
          </w:tcPr>
          <w:p>
            <w:pPr>
              <w:pStyle w:val="BodyText"/>
              <w:spacing w:before="120" w:after="120"/>
              <w:rPr>
                <w:rFonts w:cs="Arial"/>
                <w:sz w:val="20"/>
                <w:szCs w:val="20"/>
              </w:rPr>
            </w:pPr>
            <w:r>
              <w:rPr>
                <w:rFonts w:cs="Arial"/>
                <w:sz w:val="20"/>
                <w:szCs w:val="20"/>
              </w:rPr>
              <w:t>Paragraph 38</w:t>
            </w:r>
          </w:p>
        </w:tc>
        <w:tc>
          <w:tcPr>
            <w:tcW w:w="11160" w:type="dxa"/>
            <w:shd w:val="clear" w:color="auto" w:fill="FFFFFF" w:themeFill="background1"/>
          </w:tcPr>
          <w:p>
            <w:pPr>
              <w:pStyle w:val="BodyText"/>
              <w:spacing w:before="120" w:after="120"/>
              <w:rPr>
                <w:rFonts w:cs="Arial"/>
                <w:sz w:val="20"/>
                <w:szCs w:val="20"/>
              </w:rPr>
            </w:pPr>
            <w:r>
              <w:rPr>
                <w:rFonts w:cs="Arial"/>
                <w:sz w:val="20"/>
                <w:szCs w:val="20"/>
              </w:rPr>
              <w:t xml:space="preserve">“Refinement of Proposals by Subgroups, under supervision of the CCWG-Accountability </w:t>
            </w:r>
            <w:r>
              <w:rPr>
                <w:rFonts w:asciiTheme="minorHAnsi" w:hAnsiTheme="minorHAnsi" w:cstheme="minorHAnsi"/>
                <w:color w:val="0070C0"/>
                <w:sz w:val="20"/>
                <w:szCs w:val="20"/>
                <w:u w:val="double" w:color="0000FF"/>
              </w:rPr>
              <w:t>or other CCWG as appropriate</w:t>
            </w:r>
            <w:r>
              <w:rPr>
                <w:rFonts w:cs="Arial"/>
                <w:sz w:val="20"/>
                <w:szCs w:val="20"/>
              </w:rPr>
              <w:t>”</w:t>
            </w:r>
          </w:p>
          <w:p>
            <w:pPr>
              <w:pStyle w:val="BodyText"/>
              <w:spacing w:before="120" w:after="120"/>
              <w:rPr>
                <w:rFonts w:cs="Arial"/>
                <w:sz w:val="20"/>
                <w:szCs w:val="20"/>
              </w:rPr>
            </w:pPr>
            <w:r>
              <w:rPr>
                <w:rFonts w:cs="Arial"/>
                <w:sz w:val="20"/>
                <w:szCs w:val="20"/>
              </w:rPr>
              <w:t>Clarify whether reference in the last bullet should be to ICANN 59 (instead of ICANN 58)</w:t>
            </w:r>
          </w:p>
        </w:tc>
      </w:tr>
    </w:tbl>
    <w:p>
      <w:pPr>
        <w:pStyle w:val="BodyText"/>
      </w:pPr>
    </w:p>
    <w:sectPr>
      <w:headerReference w:type="even" r:id="rId8"/>
      <w:headerReference w:type="default" r:id="rId9"/>
      <w:footerReference w:type="even" r:id="rId10"/>
      <w:footerReference w:type="default" r:id="rId11"/>
      <w:headerReference w:type="first" r:id="rId12"/>
      <w:footerReference w:type="first" r:id="rId13"/>
      <w:pgSz w:w="16834" w:h="11909" w:orient="landscape"/>
      <w:pgMar w:top="126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ptab w:relativeTo="margin" w:alignment="center" w:leader="none"/>
    </w:r>
    <w:fldSimple w:instr=" PAGE   \* MERGEFORMAT ">
      <w:r>
        <w:rPr>
          <w:noProof/>
        </w:rPr>
        <w:t>4</w:t>
      </w:r>
    </w:fldSimple>
  </w:p>
  <w:p>
    <w:pPr>
      <w:pStyle w:val="Footer"/>
    </w:pPr>
    <w:fldSimple w:instr=" DOCPROPERTY &quot;DocID&quot; \* MERGEFORMAT ">
      <w:r>
        <w:rPr>
          <w:rStyle w:val="DocID"/>
        </w:rPr>
        <w:t>ACTIVE 212167740v.3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fldSimple w:instr=" DOCPROPERTY &quot;DocID&quot; \* MERGEFORMAT ">
      <w:r>
        <w:rPr>
          <w:rStyle w:val="DocID"/>
        </w:rPr>
        <w:t>ACTIVE 212167740v.3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rPr>
        <w:b/>
        <w:sz w:val="20"/>
      </w:rPr>
    </w:pPr>
    <w:r>
      <w:rPr>
        <w:b/>
        <w:noProof/>
        <w:sz w:val="20"/>
      </w:rPr>
      <w:drawing>
        <wp:inline distT="0" distB="0" distL="0" distR="0">
          <wp:extent cx="1600200" cy="444500"/>
          <wp:effectExtent l="19050" t="0" r="0" b="0"/>
          <wp:docPr id="4" name="Picture 1" descr="Sidley_logo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dley_logo_blk"/>
                  <pic:cNvPicPr>
                    <a:picLocks noChangeAspect="1" noChangeArrowheads="1"/>
                  </pic:cNvPicPr>
                </pic:nvPicPr>
                <pic:blipFill>
                  <a:blip r:embed="rId1"/>
                  <a:srcRect/>
                  <a:stretch>
                    <a:fillRect/>
                  </a:stretch>
                </pic:blipFill>
                <pic:spPr bwMode="auto">
                  <a:xfrm>
                    <a:off x="0" y="0"/>
                    <a:ext cx="1600200" cy="444500"/>
                  </a:xfrm>
                  <a:prstGeom prst="rect">
                    <a:avLst/>
                  </a:prstGeom>
                  <a:noFill/>
                  <a:ln w="9525">
                    <a:noFill/>
                    <a:miter lim="800000"/>
                    <a:headEnd/>
                    <a:tailEnd/>
                  </a:ln>
                </pic:spPr>
              </pic:pic>
            </a:graphicData>
          </a:graphic>
        </wp:inline>
      </w:drawing>
    </w:r>
    <w:r>
      <w:rPr>
        <w:b/>
        <w:sz w:val="20"/>
      </w:rPr>
      <w:tab/>
    </w:r>
    <w:r>
      <w:rPr>
        <w:b/>
        <w:sz w:val="20"/>
      </w:rPr>
      <w:tab/>
    </w:r>
    <w:r>
      <w:rPr>
        <w:b/>
        <w:sz w:val="20"/>
      </w:rPr>
      <w:tab/>
    </w:r>
    <w:r>
      <w:rPr>
        <w:b/>
        <w:sz w:val="20"/>
      </w:rPr>
      <w:tab/>
    </w:r>
    <w:r>
      <w:rPr>
        <w:b/>
        <w:noProof/>
        <w:sz w:val="20"/>
      </w:rPr>
      <w:drawing>
        <wp:inline distT="0" distB="0" distL="0" distR="0">
          <wp:extent cx="1552575" cy="578020"/>
          <wp:effectExtent l="19050" t="0" r="9525" b="0"/>
          <wp:docPr id="1" name="Picture 2" descr="C:\Users\thilton\AppData\Local\Microsoft\Windows\Temporary Internet Files\Content.Outlook\SROZ4A74\adler_logo.jpg"/>
          <wp:cNvGraphicFramePr/>
          <a:graphic xmlns:a="http://schemas.openxmlformats.org/drawingml/2006/main">
            <a:graphicData uri="http://schemas.openxmlformats.org/drawingml/2006/picture">
              <pic:pic xmlns:pic="http://schemas.openxmlformats.org/drawingml/2006/picture">
                <pic:nvPicPr>
                  <pic:cNvPr id="1027" name="Picture 3" descr="C:\Users\thilton\AppData\Local\Microsoft\Windows\Temporary Internet Files\Content.Outlook\SROZ4A74\adler_logo.jpg"/>
                  <pic:cNvPicPr>
                    <a:picLocks noChangeAspect="1" noChangeArrowheads="1"/>
                  </pic:cNvPicPr>
                </pic:nvPicPr>
                <pic:blipFill>
                  <a:blip r:embed="rId2" cstate="print"/>
                  <a:srcRect/>
                  <a:stretch>
                    <a:fillRect/>
                  </a:stretch>
                </pic:blipFill>
                <pic:spPr bwMode="auto">
                  <a:xfrm>
                    <a:off x="0" y="0"/>
                    <a:ext cx="1555436" cy="57908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CE6CA8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1DC7DC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6C076F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D926732"/>
    <w:lvl w:ilvl="0">
      <w:start w:val="1"/>
      <w:numFmt w:val="decimal"/>
      <w:pStyle w:val="ListNumber2"/>
      <w:lvlText w:val="%1."/>
      <w:lvlJc w:val="left"/>
      <w:pPr>
        <w:tabs>
          <w:tab w:val="num" w:pos="720"/>
        </w:tabs>
        <w:ind w:left="720" w:hanging="360"/>
      </w:pPr>
    </w:lvl>
  </w:abstractNum>
  <w:abstractNum w:abstractNumId="4">
    <w:nsid w:val="FFFFFF80"/>
    <w:multiLevelType w:val="singleLevel"/>
    <w:tmpl w:val="A19C7F0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5045CF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92A53A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D54979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nsid w:val="01861899"/>
    <w:multiLevelType w:val="hybridMultilevel"/>
    <w:tmpl w:val="B0646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5E0C56"/>
    <w:multiLevelType w:val="hybridMultilevel"/>
    <w:tmpl w:val="CB307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0D52E5"/>
    <w:multiLevelType w:val="hybridMultilevel"/>
    <w:tmpl w:val="F7E0E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4">
    <w:nsid w:val="3FF0288B"/>
    <w:multiLevelType w:val="hybridMultilevel"/>
    <w:tmpl w:val="CE261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C25261"/>
    <w:multiLevelType w:val="hybridMultilevel"/>
    <w:tmpl w:val="533EF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E768AE"/>
    <w:multiLevelType w:val="hybridMultilevel"/>
    <w:tmpl w:val="40DA7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8">
    <w:nsid w:val="65F37133"/>
    <w:multiLevelType w:val="hybridMultilevel"/>
    <w:tmpl w:val="FA66E6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num w:numId="1">
    <w:abstractNumId w:val="19"/>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7"/>
  </w:num>
  <w:num w:numId="13">
    <w:abstractNumId w:val="18"/>
  </w:num>
  <w:num w:numId="14">
    <w:abstractNumId w:val="11"/>
  </w:num>
  <w:num w:numId="15">
    <w:abstractNumId w:val="10"/>
  </w:num>
  <w:num w:numId="16">
    <w:abstractNumId w:val="14"/>
  </w:num>
  <w:num w:numId="17">
    <w:abstractNumId w:val="16"/>
  </w:num>
  <w:num w:numId="18">
    <w:abstractNumId w:val="15"/>
  </w:num>
  <w:num w:numId="19">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attachedTemplate r:id="rId1"/>
  <w:stylePaneSortMethod w:val="0000"/>
  <w:doNotTrackMoves/>
  <w:doNotTrackFormatting/>
  <w:defaultTabStop w:val="720"/>
  <w:drawingGridHorizontalSpacing w:val="110"/>
  <w:displayHorizontalDrawingGridEvery w:val="2"/>
  <w:characterSpacingControl w:val="doNotCompress"/>
  <w:hdrShapeDefaults>
    <o:shapedefaults v:ext="edit" spidmax="95233"/>
  </w:hdrShapeDefaults>
  <w:footnotePr>
    <w:footnote w:id="-1"/>
    <w:footnote w:id="0"/>
  </w:footnotePr>
  <w:endnotePr>
    <w:endnote w:id="-1"/>
    <w:endnote w:id="0"/>
  </w:endnotePr>
  <w:compat/>
  <w:docVars>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astSchemeChoice" w:val="Harvard"/>
    <w:docVar w:name="LastSchemeUniqueID" w:val="99"/>
    <w:docVar w:name="LegacyDocIDRemoved" w:val="True"/>
    <w:docVar w:name="Option0True" w:val="False"/>
    <w:docVar w:name="Option1True" w:val="False"/>
    <w:docVar w:name="Option2True" w:val="False"/>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pPr>
      <w:spacing w:after="0"/>
    </w:pPr>
    <w:rPr>
      <w:rFonts w:ascii="Calibri" w:hAnsi="Calibri" w:cs="Times New Roman"/>
      <w:sz w:val="22"/>
      <w:szCs w:val="22"/>
    </w:rPr>
  </w:style>
  <w:style w:type="paragraph" w:styleId="Heading1">
    <w:name w:val="heading 1"/>
    <w:basedOn w:val="Normal"/>
    <w:link w:val="Heading1Char"/>
    <w:uiPriority w:val="9"/>
    <w:qFormat/>
    <w:pPr>
      <w:numPr>
        <w:numId w:val="12"/>
      </w:numPr>
      <w:tabs>
        <w:tab w:val="clear" w:pos="720"/>
      </w:tabs>
      <w:spacing w:after="240"/>
      <w:outlineLvl w:val="0"/>
    </w:pPr>
    <w:rPr>
      <w:rFonts w:ascii="Times New Roman" w:eastAsiaTheme="majorEastAsia" w:hAnsi="Times New Roman"/>
      <w:bCs/>
      <w:sz w:val="24"/>
      <w:szCs w:val="28"/>
    </w:rPr>
  </w:style>
  <w:style w:type="paragraph" w:styleId="Heading2">
    <w:name w:val="heading 2"/>
    <w:basedOn w:val="Normal"/>
    <w:link w:val="Heading2Char"/>
    <w:uiPriority w:val="9"/>
    <w:semiHidden/>
    <w:unhideWhenUsed/>
    <w:qFormat/>
    <w:pPr>
      <w:numPr>
        <w:ilvl w:val="1"/>
        <w:numId w:val="12"/>
      </w:numPr>
      <w:spacing w:after="240"/>
      <w:outlineLvl w:val="1"/>
    </w:pPr>
    <w:rPr>
      <w:rFonts w:ascii="Times New Roman" w:eastAsiaTheme="majorEastAsia" w:hAnsi="Times New Roman"/>
      <w:bCs/>
      <w:sz w:val="24"/>
      <w:szCs w:val="26"/>
    </w:rPr>
  </w:style>
  <w:style w:type="paragraph" w:styleId="Heading3">
    <w:name w:val="heading 3"/>
    <w:basedOn w:val="Normal"/>
    <w:link w:val="Heading3Char"/>
    <w:uiPriority w:val="9"/>
    <w:semiHidden/>
    <w:unhideWhenUsed/>
    <w:qFormat/>
    <w:pPr>
      <w:numPr>
        <w:ilvl w:val="2"/>
        <w:numId w:val="12"/>
      </w:numPr>
      <w:spacing w:after="240"/>
      <w:outlineLvl w:val="2"/>
    </w:pPr>
    <w:rPr>
      <w:rFonts w:ascii="Times New Roman" w:eastAsiaTheme="majorEastAsia" w:hAnsi="Times New Roman"/>
      <w:bCs/>
      <w:sz w:val="24"/>
      <w:szCs w:val="24"/>
    </w:rPr>
  </w:style>
  <w:style w:type="paragraph" w:styleId="Heading4">
    <w:name w:val="heading 4"/>
    <w:basedOn w:val="Normal"/>
    <w:link w:val="Heading4Char"/>
    <w:uiPriority w:val="9"/>
    <w:semiHidden/>
    <w:unhideWhenUsed/>
    <w:qFormat/>
    <w:pPr>
      <w:numPr>
        <w:ilvl w:val="3"/>
        <w:numId w:val="12"/>
      </w:numPr>
      <w:spacing w:after="240"/>
      <w:outlineLvl w:val="3"/>
    </w:pPr>
    <w:rPr>
      <w:rFonts w:ascii="Times New Roman" w:eastAsiaTheme="majorEastAsia" w:hAnsi="Times New Roman"/>
      <w:bCs/>
      <w:iCs/>
      <w:sz w:val="24"/>
      <w:szCs w:val="24"/>
    </w:rPr>
  </w:style>
  <w:style w:type="paragraph" w:styleId="Heading5">
    <w:name w:val="heading 5"/>
    <w:basedOn w:val="Normal"/>
    <w:link w:val="Heading5Char"/>
    <w:uiPriority w:val="9"/>
    <w:semiHidden/>
    <w:unhideWhenUsed/>
    <w:qFormat/>
    <w:pPr>
      <w:numPr>
        <w:ilvl w:val="4"/>
        <w:numId w:val="12"/>
      </w:numPr>
      <w:spacing w:after="240"/>
      <w:outlineLvl w:val="4"/>
    </w:pPr>
    <w:rPr>
      <w:rFonts w:ascii="Times New Roman" w:eastAsiaTheme="majorEastAsia" w:hAnsi="Times New Roman"/>
      <w:sz w:val="24"/>
      <w:szCs w:val="24"/>
    </w:rPr>
  </w:style>
  <w:style w:type="paragraph" w:styleId="Heading6">
    <w:name w:val="heading 6"/>
    <w:basedOn w:val="Normal"/>
    <w:link w:val="Heading6Char"/>
    <w:uiPriority w:val="9"/>
    <w:semiHidden/>
    <w:unhideWhenUsed/>
    <w:qFormat/>
    <w:pPr>
      <w:numPr>
        <w:ilvl w:val="5"/>
        <w:numId w:val="12"/>
      </w:numPr>
      <w:spacing w:after="240"/>
      <w:outlineLvl w:val="5"/>
    </w:pPr>
    <w:rPr>
      <w:rFonts w:ascii="Times New Roman" w:eastAsiaTheme="majorEastAsia" w:hAnsi="Times New Roman"/>
      <w:iCs/>
      <w:sz w:val="24"/>
      <w:szCs w:val="24"/>
    </w:rPr>
  </w:style>
  <w:style w:type="paragraph" w:styleId="Heading7">
    <w:name w:val="heading 7"/>
    <w:basedOn w:val="Normal"/>
    <w:link w:val="Heading7Char"/>
    <w:uiPriority w:val="9"/>
    <w:semiHidden/>
    <w:unhideWhenUsed/>
    <w:qFormat/>
    <w:pPr>
      <w:numPr>
        <w:ilvl w:val="6"/>
        <w:numId w:val="12"/>
      </w:numPr>
      <w:spacing w:after="240"/>
      <w:outlineLvl w:val="6"/>
    </w:pPr>
    <w:rPr>
      <w:rFonts w:ascii="Times New Roman" w:eastAsiaTheme="majorEastAsia" w:hAnsi="Times New Roman"/>
      <w:iCs/>
      <w:sz w:val="24"/>
      <w:szCs w:val="24"/>
    </w:rPr>
  </w:style>
  <w:style w:type="paragraph" w:styleId="Heading8">
    <w:name w:val="heading 8"/>
    <w:basedOn w:val="Normal"/>
    <w:link w:val="Heading8Char"/>
    <w:uiPriority w:val="9"/>
    <w:semiHidden/>
    <w:unhideWhenUsed/>
    <w:qFormat/>
    <w:pPr>
      <w:numPr>
        <w:ilvl w:val="7"/>
        <w:numId w:val="12"/>
      </w:numPr>
      <w:spacing w:after="240"/>
      <w:outlineLvl w:val="7"/>
    </w:pPr>
    <w:rPr>
      <w:rFonts w:ascii="Times New Roman" w:eastAsiaTheme="majorEastAsia" w:hAnsi="Times New Roman"/>
      <w:sz w:val="24"/>
      <w:szCs w:val="20"/>
    </w:rPr>
  </w:style>
  <w:style w:type="paragraph" w:styleId="Heading9">
    <w:name w:val="heading 9"/>
    <w:basedOn w:val="Normal"/>
    <w:link w:val="Heading9Char"/>
    <w:uiPriority w:val="9"/>
    <w:semiHidden/>
    <w:unhideWhenUsed/>
    <w:qFormat/>
    <w:pPr>
      <w:numPr>
        <w:ilvl w:val="8"/>
        <w:numId w:val="12"/>
      </w:numPr>
      <w:spacing w:after="240"/>
      <w:outlineLvl w:val="8"/>
    </w:pPr>
    <w:rPr>
      <w:rFonts w:ascii="Times New Roman" w:eastAsiaTheme="majorEastAsia" w:hAnsi="Times New Roman"/>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semiHidden/>
    <w:unhideWhenUsed/>
    <w:pPr>
      <w:tabs>
        <w:tab w:val="center" w:pos="4680"/>
        <w:tab w:val="right" w:pos="9360"/>
      </w:tabs>
    </w:pPr>
    <w:rPr>
      <w:rFonts w:ascii="Times New Roman" w:hAnsi="Times New Roman" w:cstheme="minorBidi"/>
      <w:sz w:val="24"/>
      <w:szCs w:val="24"/>
    </w:rPr>
  </w:style>
  <w:style w:type="character" w:customStyle="1" w:styleId="HeaderChar">
    <w:name w:val="Header Char"/>
    <w:basedOn w:val="DefaultParagraphFont"/>
    <w:link w:val="Header"/>
    <w:uiPriority w:val="99"/>
    <w:semiHidden/>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pPr>
    <w:rPr>
      <w:rFonts w:ascii="Times New Roman" w:hAnsi="Times New Roman" w:cstheme="minorBidi"/>
      <w:sz w:val="24"/>
      <w:szCs w:val="24"/>
    </w:r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pPr>
      <w:spacing w:after="240"/>
    </w:pPr>
    <w:rPr>
      <w:rFonts w:ascii="Times New Roman" w:hAnsi="Times New Roman" w:cstheme="minorBidi"/>
      <w:sz w:val="24"/>
      <w:szCs w:val="24"/>
    </w:rPr>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line="480" w:lineRule="auto"/>
    </w:pPr>
    <w:rPr>
      <w:rFonts w:ascii="Times New Roman" w:hAnsi="Times New Roman" w:cstheme="minorBidi"/>
      <w:sz w:val="24"/>
      <w:szCs w:val="24"/>
    </w:r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spacing w:after="240"/>
      <w:ind w:firstLine="720"/>
    </w:pPr>
    <w:rPr>
      <w:rFonts w:ascii="Times New Roman" w:hAnsi="Times New Roman" w:cstheme="minorBidi"/>
      <w:sz w:val="24"/>
      <w:szCs w:val="24"/>
    </w:rPr>
  </w:style>
  <w:style w:type="character" w:customStyle="1" w:styleId="BodyTextFirstIndentChar">
    <w:name w:val="Body Text First Indent Char"/>
    <w:basedOn w:val="BodyTextChar"/>
    <w:link w:val="BodyTextFirstIndent"/>
  </w:style>
  <w:style w:type="paragraph" w:styleId="ListBullet">
    <w:name w:val="List Bullet"/>
    <w:basedOn w:val="Normal"/>
    <w:qFormat/>
    <w:pPr>
      <w:numPr>
        <w:numId w:val="2"/>
      </w:numPr>
      <w:spacing w:after="240"/>
      <w:contextualSpacing/>
    </w:pPr>
    <w:rPr>
      <w:rFonts w:ascii="Times New Roman" w:hAnsi="Times New Roman" w:cstheme="minorBidi"/>
      <w:sz w:val="24"/>
      <w:szCs w:val="24"/>
    </w:rPr>
  </w:style>
  <w:style w:type="paragraph" w:styleId="ListNumber">
    <w:name w:val="List Number"/>
    <w:basedOn w:val="Normal"/>
    <w:qFormat/>
    <w:pPr>
      <w:numPr>
        <w:numId w:val="3"/>
      </w:numPr>
      <w:spacing w:after="240"/>
      <w:contextualSpacing/>
    </w:pPr>
    <w:rPr>
      <w:rFonts w:ascii="Times New Roman" w:hAnsi="Times New Roman" w:cstheme="minorBidi"/>
      <w:sz w:val="24"/>
      <w:szCs w:val="24"/>
    </w:rPr>
  </w:style>
  <w:style w:type="paragraph" w:styleId="ListContinue">
    <w:name w:val="List Continue"/>
    <w:basedOn w:val="Normal"/>
    <w:qFormat/>
    <w:pPr>
      <w:spacing w:after="240"/>
      <w:ind w:left="720"/>
    </w:pPr>
    <w:rPr>
      <w:rFonts w:ascii="Times New Roman" w:hAnsi="Times New Roman" w:cstheme="minorBidi"/>
      <w:sz w:val="24"/>
      <w:szCs w:val="24"/>
    </w:rPr>
  </w:style>
  <w:style w:type="paragraph" w:styleId="Title">
    <w:name w:val="Title"/>
    <w:basedOn w:val="Normal"/>
    <w:next w:val="BodyTextFirstIndent"/>
    <w:link w:val="TitleChar"/>
    <w:uiPriority w:val="10"/>
    <w:qFormat/>
    <w:pPr>
      <w:keepNext/>
      <w:spacing w:after="240"/>
      <w:jc w:val="center"/>
    </w:pPr>
    <w:rPr>
      <w:rFonts w:ascii="Times New Roman" w:eastAsiaTheme="majorEastAsia" w:hAnsi="Times New Roman" w:cstheme="majorBidi"/>
      <w:b/>
      <w:kern w:val="28"/>
      <w:sz w:val="24"/>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spacing w:after="240"/>
    </w:pPr>
    <w:rPr>
      <w:rFonts w:ascii="Times New Roman" w:hAnsi="Times New Roman" w:cstheme="minorBidi"/>
      <w:b/>
      <w:sz w:val="24"/>
      <w:szCs w:val="24"/>
    </w:rPr>
  </w:style>
  <w:style w:type="paragraph" w:styleId="BlockText">
    <w:name w:val="Block Text"/>
    <w:basedOn w:val="Normal"/>
    <w:pPr>
      <w:spacing w:after="240"/>
      <w:ind w:left="1440" w:right="1440"/>
    </w:pPr>
    <w:rPr>
      <w:rFonts w:ascii="Times New Roman" w:eastAsiaTheme="minorEastAsia" w:hAnsi="Times New Roman" w:cstheme="minorBidi"/>
      <w:iCs/>
      <w:sz w:val="24"/>
      <w:szCs w:val="24"/>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spacing w:after="240"/>
      <w:jc w:val="center"/>
    </w:pPr>
    <w:rPr>
      <w:rFonts w:ascii="Times New Roman" w:eastAsia="Times New Roman" w:hAnsi="Times New Roman"/>
      <w:b/>
      <w:sz w:val="24"/>
      <w:szCs w:val="20"/>
    </w:rPr>
  </w:style>
  <w:style w:type="paragraph" w:customStyle="1" w:styleId="TOCPage">
    <w:name w:val="TOC Page"/>
    <w:basedOn w:val="Normal"/>
    <w:semiHidden/>
    <w:unhideWhenUsed/>
    <w:pPr>
      <w:spacing w:after="240"/>
      <w:jc w:val="right"/>
    </w:pPr>
    <w:rPr>
      <w:rFonts w:ascii="Times New Roman" w:eastAsia="Times New Roman" w:hAnsi="Times New Roman"/>
      <w:b/>
      <w:sz w:val="24"/>
      <w:szCs w:val="20"/>
    </w:rPr>
  </w:style>
  <w:style w:type="paragraph" w:styleId="TOC1">
    <w:name w:val="toc 1"/>
    <w:basedOn w:val="Normal"/>
    <w:next w:val="Normal"/>
    <w:autoRedefine/>
    <w:uiPriority w:val="39"/>
    <w:semiHidden/>
    <w:unhideWhenUsed/>
    <w:pPr>
      <w:tabs>
        <w:tab w:val="left" w:pos="720"/>
        <w:tab w:val="right" w:leader="dot" w:pos="9360"/>
      </w:tabs>
      <w:spacing w:after="240"/>
      <w:ind w:left="720" w:hanging="720"/>
    </w:pPr>
    <w:rPr>
      <w:rFonts w:ascii="Times New Roman" w:hAnsi="Times New Roman" w:cstheme="minorBidi"/>
      <w:sz w:val="24"/>
      <w:szCs w:val="24"/>
    </w:rPr>
  </w:style>
  <w:style w:type="paragraph" w:styleId="TOC2">
    <w:name w:val="toc 2"/>
    <w:basedOn w:val="Normal"/>
    <w:next w:val="Normal"/>
    <w:autoRedefine/>
    <w:uiPriority w:val="39"/>
    <w:semiHidden/>
    <w:unhideWhenUsed/>
    <w:pPr>
      <w:tabs>
        <w:tab w:val="left" w:pos="1440"/>
        <w:tab w:val="right" w:leader="dot" w:pos="9360"/>
      </w:tabs>
      <w:spacing w:after="240"/>
      <w:ind w:left="1440" w:hanging="720"/>
    </w:pPr>
    <w:rPr>
      <w:rFonts w:ascii="Times New Roman" w:hAnsi="Times New Roman" w:cstheme="minorBidi"/>
      <w:sz w:val="24"/>
      <w:szCs w:val="24"/>
    </w:rPr>
  </w:style>
  <w:style w:type="paragraph" w:styleId="TOC3">
    <w:name w:val="toc 3"/>
    <w:basedOn w:val="Normal"/>
    <w:next w:val="Normal"/>
    <w:autoRedefine/>
    <w:uiPriority w:val="39"/>
    <w:semiHidden/>
    <w:unhideWhenUsed/>
    <w:pPr>
      <w:tabs>
        <w:tab w:val="left" w:pos="2160"/>
        <w:tab w:val="right" w:leader="dot" w:pos="9360"/>
      </w:tabs>
      <w:spacing w:after="240"/>
      <w:ind w:left="2160" w:hanging="720"/>
    </w:pPr>
    <w:rPr>
      <w:rFonts w:ascii="Times New Roman" w:hAnsi="Times New Roman" w:cstheme="minorBidi"/>
      <w:sz w:val="24"/>
      <w:szCs w:val="24"/>
    </w:rPr>
  </w:style>
  <w:style w:type="paragraph" w:styleId="TOC4">
    <w:name w:val="toc 4"/>
    <w:basedOn w:val="Normal"/>
    <w:next w:val="Normal"/>
    <w:autoRedefine/>
    <w:uiPriority w:val="39"/>
    <w:semiHidden/>
    <w:unhideWhenUsed/>
    <w:pPr>
      <w:tabs>
        <w:tab w:val="left" w:pos="2880"/>
        <w:tab w:val="right" w:leader="dot" w:pos="9360"/>
      </w:tabs>
      <w:spacing w:after="240"/>
      <w:ind w:left="2880" w:hanging="720"/>
    </w:pPr>
    <w:rPr>
      <w:rFonts w:ascii="Times New Roman" w:hAnsi="Times New Roman" w:cstheme="minorBidi"/>
      <w:sz w:val="24"/>
      <w:szCs w:val="24"/>
    </w:rPr>
  </w:style>
  <w:style w:type="paragraph" w:styleId="TOC5">
    <w:name w:val="toc 5"/>
    <w:basedOn w:val="Normal"/>
    <w:next w:val="Normal"/>
    <w:autoRedefine/>
    <w:uiPriority w:val="39"/>
    <w:semiHidden/>
    <w:unhideWhenUsed/>
    <w:pPr>
      <w:tabs>
        <w:tab w:val="left" w:pos="3600"/>
        <w:tab w:val="right" w:leader="dot" w:pos="9360"/>
      </w:tabs>
      <w:spacing w:after="240"/>
      <w:ind w:left="3600" w:hanging="720"/>
    </w:pPr>
    <w:rPr>
      <w:rFonts w:ascii="Times New Roman" w:hAnsi="Times New Roman" w:cstheme="minorBidi"/>
      <w:sz w:val="24"/>
      <w:szCs w:val="24"/>
    </w:rPr>
  </w:style>
  <w:style w:type="paragraph" w:styleId="TOC6">
    <w:name w:val="toc 6"/>
    <w:basedOn w:val="Normal"/>
    <w:next w:val="Normal"/>
    <w:autoRedefine/>
    <w:uiPriority w:val="39"/>
    <w:semiHidden/>
    <w:unhideWhenUsed/>
    <w:pPr>
      <w:tabs>
        <w:tab w:val="left" w:pos="4320"/>
        <w:tab w:val="right" w:leader="dot" w:pos="9360"/>
      </w:tabs>
      <w:spacing w:after="240"/>
      <w:ind w:left="4320" w:hanging="720"/>
    </w:pPr>
    <w:rPr>
      <w:rFonts w:ascii="Times New Roman" w:hAnsi="Times New Roman" w:cstheme="minorBidi"/>
      <w:sz w:val="24"/>
      <w:szCs w:val="24"/>
    </w:rPr>
  </w:style>
  <w:style w:type="paragraph" w:styleId="TOC7">
    <w:name w:val="toc 7"/>
    <w:basedOn w:val="Normal"/>
    <w:next w:val="Normal"/>
    <w:autoRedefine/>
    <w:uiPriority w:val="39"/>
    <w:semiHidden/>
    <w:unhideWhenUsed/>
    <w:pPr>
      <w:tabs>
        <w:tab w:val="left" w:pos="5040"/>
        <w:tab w:val="right" w:leader="dot" w:pos="9360"/>
      </w:tabs>
      <w:spacing w:after="240"/>
      <w:ind w:left="5040" w:hanging="720"/>
    </w:pPr>
    <w:rPr>
      <w:rFonts w:ascii="Times New Roman" w:hAnsi="Times New Roman" w:cstheme="minorBidi"/>
      <w:sz w:val="24"/>
      <w:szCs w:val="24"/>
    </w:rPr>
  </w:style>
  <w:style w:type="paragraph" w:styleId="TOC8">
    <w:name w:val="toc 8"/>
    <w:basedOn w:val="Normal"/>
    <w:next w:val="Normal"/>
    <w:autoRedefine/>
    <w:uiPriority w:val="39"/>
    <w:semiHidden/>
    <w:unhideWhenUsed/>
    <w:pPr>
      <w:tabs>
        <w:tab w:val="left" w:pos="5760"/>
        <w:tab w:val="right" w:leader="dot" w:pos="9360"/>
      </w:tabs>
      <w:spacing w:after="240"/>
      <w:ind w:left="5760" w:hanging="720"/>
    </w:pPr>
    <w:rPr>
      <w:rFonts w:ascii="Times New Roman" w:hAnsi="Times New Roman" w:cstheme="minorBidi"/>
      <w:sz w:val="24"/>
      <w:szCs w:val="24"/>
    </w:rPr>
  </w:style>
  <w:style w:type="paragraph" w:styleId="TOC9">
    <w:name w:val="toc 9"/>
    <w:basedOn w:val="Normal"/>
    <w:next w:val="Normal"/>
    <w:autoRedefine/>
    <w:uiPriority w:val="39"/>
    <w:semiHidden/>
    <w:unhideWhenUsed/>
    <w:pPr>
      <w:tabs>
        <w:tab w:val="left" w:pos="5760"/>
        <w:tab w:val="right" w:leader="dot" w:pos="9360"/>
      </w:tabs>
      <w:spacing w:after="240"/>
      <w:ind w:left="5760" w:hanging="720"/>
    </w:pPr>
    <w:rPr>
      <w:rFonts w:ascii="Times New Roman" w:hAnsi="Times New Roman" w:cstheme="minorBidi"/>
      <w:sz w:val="24"/>
      <w:szCs w:val="24"/>
    </w:rPr>
  </w:style>
  <w:style w:type="paragraph" w:styleId="FootnoteText">
    <w:name w:val="footnote text"/>
    <w:basedOn w:val="Normal"/>
    <w:link w:val="FootnoteTextChar"/>
    <w:uiPriority w:val="99"/>
    <w:semiHidden/>
    <w:unhideWhenUsed/>
    <w:pPr>
      <w:spacing w:after="240"/>
    </w:pPr>
    <w:rPr>
      <w:rFonts w:ascii="Times New Roman" w:hAnsi="Times New Roman" w:cstheme="minorBidi"/>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pPr>
      <w:spacing w:after="240"/>
    </w:pPr>
    <w:rPr>
      <w:rFonts w:ascii="Times New Roman" w:hAnsi="Times New Roman" w:cstheme="minorBidi"/>
      <w:sz w:val="24"/>
      <w:szCs w:val="24"/>
    </w:rPr>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spacing w:after="240"/>
      <w:ind w:left="240" w:hanging="240"/>
    </w:pPr>
    <w:rPr>
      <w:rFonts w:ascii="Times New Roman" w:hAnsi="Times New Roman" w:cstheme="minorBidi"/>
      <w:sz w:val="24"/>
      <w:szCs w:val="24"/>
    </w:rPr>
  </w:style>
  <w:style w:type="paragraph" w:styleId="TOAHeading">
    <w:name w:val="toa heading"/>
    <w:basedOn w:val="Normal"/>
    <w:next w:val="Normal"/>
    <w:uiPriority w:val="99"/>
    <w:semiHidden/>
    <w:unhideWhenUsed/>
    <w:pPr>
      <w:spacing w:before="120" w:after="240"/>
    </w:pPr>
    <w:rPr>
      <w:rFonts w:asciiTheme="majorHAnsi" w:eastAsiaTheme="majorEastAsia" w:hAnsiTheme="majorHAnsi" w:cstheme="majorBidi"/>
      <w:b/>
      <w:bCs/>
      <w:sz w:val="24"/>
      <w:szCs w:val="24"/>
    </w:rPr>
  </w:style>
  <w:style w:type="paragraph" w:styleId="Signature">
    <w:name w:val="Signature"/>
    <w:basedOn w:val="Normal"/>
    <w:link w:val="SignatureChar"/>
    <w:uiPriority w:val="99"/>
    <w:semiHidden/>
    <w:unhideWhenUsed/>
    <w:pPr>
      <w:spacing w:after="240"/>
      <w:ind w:left="4320"/>
    </w:pPr>
    <w:rPr>
      <w:rFonts w:ascii="Times New Roman" w:hAnsi="Times New Roman" w:cstheme="minorBidi"/>
      <w:sz w:val="24"/>
      <w:szCs w:val="24"/>
    </w:r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pPr>
      <w:spacing w:after="240"/>
    </w:pPr>
    <w:rPr>
      <w:rFonts w:ascii="Times New Roman" w:hAnsi="Times New Roman" w:cstheme="minorBidi"/>
      <w:sz w:val="24"/>
      <w:szCs w:val="24"/>
    </w:rPr>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rPr>
      <w:rFonts w:ascii="Times New Roman" w:hAnsi="Times New Roman" w:cstheme="minorBidi"/>
      <w:sz w:val="24"/>
      <w:szCs w:val="24"/>
    </w:r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line="480" w:lineRule="auto"/>
      <w:ind w:firstLine="720"/>
    </w:pPr>
    <w:rPr>
      <w:rFonts w:ascii="Times New Roman" w:hAnsi="Times New Roman" w:cstheme="minorBidi"/>
      <w:sz w:val="24"/>
      <w:szCs w:val="24"/>
    </w:r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pPr>
      <w:spacing w:after="240"/>
    </w:pPr>
    <w:rPr>
      <w:rFonts w:ascii="Times New Roman" w:hAnsi="Times New Roman" w:cstheme="minorBidi"/>
      <w:sz w:val="24"/>
      <w:szCs w:val="24"/>
    </w:rPr>
  </w:style>
  <w:style w:type="paragraph" w:styleId="BodyText3">
    <w:name w:val="Body Text 3"/>
    <w:basedOn w:val="Normal"/>
    <w:link w:val="BodyText3Char"/>
    <w:uiPriority w:val="99"/>
    <w:semiHidden/>
    <w:unhideWhenUsed/>
    <w:pPr>
      <w:spacing w:after="120"/>
    </w:pPr>
    <w:rPr>
      <w:rFonts w:ascii="Times New Roman" w:hAnsi="Times New Roman" w:cstheme="minorBidi"/>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rPr>
      <w:rFonts w:ascii="Times New Roman" w:hAnsi="Times New Roman" w:cstheme="minorBidi"/>
      <w:sz w:val="24"/>
      <w:szCs w:val="24"/>
    </w:r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rFonts w:ascii="Times New Roman" w:hAnsi="Times New Roman" w:cstheme="minorBidi"/>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rFonts w:ascii="Times New Roman" w:hAnsi="Times New Roman" w:cstheme="minorBidi"/>
      <w:b/>
      <w:bCs/>
      <w:color w:val="4F81BD" w:themeColor="accent1"/>
      <w:sz w:val="18"/>
      <w:szCs w:val="18"/>
    </w:rPr>
  </w:style>
  <w:style w:type="paragraph" w:styleId="Closing">
    <w:name w:val="Closing"/>
    <w:basedOn w:val="Normal"/>
    <w:link w:val="ClosingChar"/>
    <w:uiPriority w:val="99"/>
    <w:semiHidden/>
    <w:unhideWhenUsed/>
    <w:pPr>
      <w:ind w:left="4320"/>
    </w:pPr>
    <w:rPr>
      <w:rFonts w:ascii="Times New Roman" w:hAnsi="Times New Roman" w:cstheme="minorBidi"/>
      <w:sz w:val="24"/>
      <w:szCs w:val="24"/>
    </w:r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240"/>
    </w:pPr>
    <w:rPr>
      <w:rFonts w:ascii="Times New Roman" w:hAnsi="Times New Roman" w:cstheme="minorBidi"/>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Date">
    <w:name w:val="Date"/>
    <w:basedOn w:val="Normal"/>
    <w:next w:val="Normal"/>
    <w:link w:val="DateChar"/>
    <w:uiPriority w:val="99"/>
    <w:semiHidden/>
    <w:unhideWhenUsed/>
    <w:pPr>
      <w:spacing w:after="240"/>
    </w:pPr>
    <w:rPr>
      <w:rFonts w:ascii="Times New Roman" w:hAnsi="Times New Roman" w:cstheme="minorBidi"/>
      <w:sz w:val="24"/>
      <w:szCs w:val="24"/>
    </w:r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rPr>
      <w:rFonts w:ascii="Times New Roman" w:hAnsi="Times New Roman" w:cstheme="minorBidi"/>
      <w:sz w:val="24"/>
      <w:szCs w:val="24"/>
    </w:r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rFonts w:ascii="Times New Roman" w:hAnsi="Times New Roman" w:cstheme="minorBidi"/>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rFonts w:ascii="Times New Roman" w:hAnsi="Times New Roman" w:cstheme="minorBidi"/>
      <w:i/>
      <w:iCs/>
      <w:sz w:val="24"/>
      <w:szCs w:val="24"/>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ind w:left="240" w:hanging="240"/>
    </w:pPr>
    <w:rPr>
      <w:rFonts w:ascii="Times New Roman" w:hAnsi="Times New Roman" w:cstheme="minorBidi"/>
      <w:sz w:val="24"/>
      <w:szCs w:val="24"/>
    </w:rPr>
  </w:style>
  <w:style w:type="paragraph" w:styleId="Index2">
    <w:name w:val="index 2"/>
    <w:basedOn w:val="Normal"/>
    <w:next w:val="Normal"/>
    <w:autoRedefine/>
    <w:uiPriority w:val="99"/>
    <w:semiHidden/>
    <w:unhideWhenUsed/>
    <w:pPr>
      <w:ind w:left="480" w:hanging="240"/>
    </w:pPr>
    <w:rPr>
      <w:rFonts w:ascii="Times New Roman" w:hAnsi="Times New Roman" w:cstheme="minorBidi"/>
      <w:sz w:val="24"/>
      <w:szCs w:val="24"/>
    </w:rPr>
  </w:style>
  <w:style w:type="paragraph" w:styleId="Index3">
    <w:name w:val="index 3"/>
    <w:basedOn w:val="Normal"/>
    <w:next w:val="Normal"/>
    <w:autoRedefine/>
    <w:uiPriority w:val="99"/>
    <w:semiHidden/>
    <w:unhideWhenUsed/>
    <w:pPr>
      <w:ind w:left="720" w:hanging="240"/>
    </w:pPr>
    <w:rPr>
      <w:rFonts w:ascii="Times New Roman" w:hAnsi="Times New Roman" w:cstheme="minorBidi"/>
      <w:sz w:val="24"/>
      <w:szCs w:val="24"/>
    </w:rPr>
  </w:style>
  <w:style w:type="paragraph" w:styleId="Index4">
    <w:name w:val="index 4"/>
    <w:basedOn w:val="Normal"/>
    <w:next w:val="Normal"/>
    <w:autoRedefine/>
    <w:uiPriority w:val="99"/>
    <w:semiHidden/>
    <w:unhideWhenUsed/>
    <w:pPr>
      <w:ind w:left="960" w:hanging="240"/>
    </w:pPr>
    <w:rPr>
      <w:rFonts w:ascii="Times New Roman" w:hAnsi="Times New Roman" w:cstheme="minorBidi"/>
      <w:sz w:val="24"/>
      <w:szCs w:val="24"/>
    </w:rPr>
  </w:style>
  <w:style w:type="paragraph" w:styleId="Index5">
    <w:name w:val="index 5"/>
    <w:basedOn w:val="Normal"/>
    <w:next w:val="Normal"/>
    <w:autoRedefine/>
    <w:uiPriority w:val="99"/>
    <w:semiHidden/>
    <w:unhideWhenUsed/>
    <w:pPr>
      <w:ind w:left="1200" w:hanging="240"/>
    </w:pPr>
    <w:rPr>
      <w:rFonts w:ascii="Times New Roman" w:hAnsi="Times New Roman" w:cstheme="minorBidi"/>
      <w:sz w:val="24"/>
      <w:szCs w:val="24"/>
    </w:rPr>
  </w:style>
  <w:style w:type="paragraph" w:styleId="Index6">
    <w:name w:val="index 6"/>
    <w:basedOn w:val="Normal"/>
    <w:next w:val="Normal"/>
    <w:autoRedefine/>
    <w:uiPriority w:val="99"/>
    <w:semiHidden/>
    <w:unhideWhenUsed/>
    <w:pPr>
      <w:ind w:left="1440" w:hanging="240"/>
    </w:pPr>
    <w:rPr>
      <w:rFonts w:ascii="Times New Roman" w:hAnsi="Times New Roman" w:cstheme="minorBidi"/>
      <w:sz w:val="24"/>
      <w:szCs w:val="24"/>
    </w:rPr>
  </w:style>
  <w:style w:type="paragraph" w:styleId="Index7">
    <w:name w:val="index 7"/>
    <w:basedOn w:val="Normal"/>
    <w:next w:val="Normal"/>
    <w:autoRedefine/>
    <w:uiPriority w:val="99"/>
    <w:semiHidden/>
    <w:unhideWhenUsed/>
    <w:pPr>
      <w:ind w:left="1680" w:hanging="240"/>
    </w:pPr>
    <w:rPr>
      <w:rFonts w:ascii="Times New Roman" w:hAnsi="Times New Roman" w:cstheme="minorBidi"/>
      <w:sz w:val="24"/>
      <w:szCs w:val="24"/>
    </w:rPr>
  </w:style>
  <w:style w:type="paragraph" w:styleId="Index8">
    <w:name w:val="index 8"/>
    <w:basedOn w:val="Normal"/>
    <w:next w:val="Normal"/>
    <w:autoRedefine/>
    <w:uiPriority w:val="99"/>
    <w:semiHidden/>
    <w:unhideWhenUsed/>
    <w:pPr>
      <w:ind w:left="1920" w:hanging="240"/>
    </w:pPr>
    <w:rPr>
      <w:rFonts w:ascii="Times New Roman" w:hAnsi="Times New Roman" w:cstheme="minorBidi"/>
      <w:sz w:val="24"/>
      <w:szCs w:val="24"/>
    </w:rPr>
  </w:style>
  <w:style w:type="paragraph" w:styleId="Index9">
    <w:name w:val="index 9"/>
    <w:basedOn w:val="Normal"/>
    <w:next w:val="Normal"/>
    <w:autoRedefine/>
    <w:uiPriority w:val="99"/>
    <w:semiHidden/>
    <w:unhideWhenUsed/>
    <w:pPr>
      <w:ind w:left="2160" w:hanging="240"/>
    </w:pPr>
    <w:rPr>
      <w:rFonts w:ascii="Times New Roman" w:hAnsi="Times New Roman" w:cstheme="minorBidi"/>
      <w:sz w:val="24"/>
      <w:szCs w:val="24"/>
    </w:rPr>
  </w:style>
  <w:style w:type="paragraph" w:styleId="IndexHeading">
    <w:name w:val="index heading"/>
    <w:basedOn w:val="Normal"/>
    <w:next w:val="Index1"/>
    <w:uiPriority w:val="99"/>
    <w:semiHidden/>
    <w:unhideWhenUsed/>
    <w:pPr>
      <w:spacing w:after="240"/>
    </w:pPr>
    <w:rPr>
      <w:rFonts w:asciiTheme="majorHAnsi" w:eastAsiaTheme="majorEastAsia" w:hAnsiTheme="majorHAnsi" w:cstheme="majorBidi"/>
      <w:b/>
      <w:bCs/>
      <w:sz w:val="24"/>
      <w:szCs w:val="24"/>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rFonts w:ascii="Times New Roman" w:hAnsi="Times New Roman" w:cstheme="minorBidi"/>
      <w:b/>
      <w:bCs/>
      <w:i/>
      <w:iCs/>
      <w:color w:val="4F81BD" w:themeColor="accent1"/>
      <w:sz w:val="24"/>
      <w:szCs w:val="24"/>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spacing w:after="240"/>
      <w:ind w:left="360" w:hanging="360"/>
      <w:contextualSpacing/>
    </w:pPr>
    <w:rPr>
      <w:rFonts w:ascii="Times New Roman" w:hAnsi="Times New Roman" w:cstheme="minorBidi"/>
      <w:sz w:val="24"/>
      <w:szCs w:val="24"/>
    </w:rPr>
  </w:style>
  <w:style w:type="paragraph" w:styleId="List2">
    <w:name w:val="List 2"/>
    <w:basedOn w:val="Normal"/>
    <w:uiPriority w:val="99"/>
    <w:semiHidden/>
    <w:unhideWhenUsed/>
    <w:pPr>
      <w:spacing w:after="240"/>
      <w:ind w:left="720" w:hanging="360"/>
      <w:contextualSpacing/>
    </w:pPr>
    <w:rPr>
      <w:rFonts w:ascii="Times New Roman" w:hAnsi="Times New Roman" w:cstheme="minorBidi"/>
      <w:sz w:val="24"/>
      <w:szCs w:val="24"/>
    </w:rPr>
  </w:style>
  <w:style w:type="paragraph" w:styleId="List3">
    <w:name w:val="List 3"/>
    <w:basedOn w:val="Normal"/>
    <w:uiPriority w:val="99"/>
    <w:semiHidden/>
    <w:unhideWhenUsed/>
    <w:pPr>
      <w:spacing w:after="240"/>
      <w:ind w:left="1080" w:hanging="360"/>
      <w:contextualSpacing/>
    </w:pPr>
    <w:rPr>
      <w:rFonts w:ascii="Times New Roman" w:hAnsi="Times New Roman" w:cstheme="minorBidi"/>
      <w:sz w:val="24"/>
      <w:szCs w:val="24"/>
    </w:rPr>
  </w:style>
  <w:style w:type="paragraph" w:styleId="List4">
    <w:name w:val="List 4"/>
    <w:basedOn w:val="Normal"/>
    <w:uiPriority w:val="99"/>
    <w:semiHidden/>
    <w:unhideWhenUsed/>
    <w:pPr>
      <w:spacing w:after="240"/>
      <w:ind w:left="1440" w:hanging="360"/>
      <w:contextualSpacing/>
    </w:pPr>
    <w:rPr>
      <w:rFonts w:ascii="Times New Roman" w:hAnsi="Times New Roman" w:cstheme="minorBidi"/>
      <w:sz w:val="24"/>
      <w:szCs w:val="24"/>
    </w:rPr>
  </w:style>
  <w:style w:type="paragraph" w:styleId="List5">
    <w:name w:val="List 5"/>
    <w:basedOn w:val="Normal"/>
    <w:uiPriority w:val="99"/>
    <w:semiHidden/>
    <w:unhideWhenUsed/>
    <w:pPr>
      <w:spacing w:after="240"/>
      <w:ind w:left="1800" w:hanging="360"/>
      <w:contextualSpacing/>
    </w:pPr>
    <w:rPr>
      <w:rFonts w:ascii="Times New Roman" w:hAnsi="Times New Roman" w:cstheme="minorBidi"/>
      <w:sz w:val="24"/>
      <w:szCs w:val="24"/>
    </w:rPr>
  </w:style>
  <w:style w:type="paragraph" w:styleId="ListBullet2">
    <w:name w:val="List Bullet 2"/>
    <w:basedOn w:val="Normal"/>
    <w:uiPriority w:val="99"/>
    <w:semiHidden/>
    <w:unhideWhenUsed/>
    <w:pPr>
      <w:numPr>
        <w:numId w:val="4"/>
      </w:numPr>
      <w:spacing w:after="240"/>
      <w:contextualSpacing/>
    </w:pPr>
    <w:rPr>
      <w:rFonts w:ascii="Times New Roman" w:hAnsi="Times New Roman" w:cstheme="minorBidi"/>
      <w:sz w:val="24"/>
      <w:szCs w:val="24"/>
    </w:rPr>
  </w:style>
  <w:style w:type="paragraph" w:styleId="ListBullet3">
    <w:name w:val="List Bullet 3"/>
    <w:basedOn w:val="Normal"/>
    <w:uiPriority w:val="99"/>
    <w:semiHidden/>
    <w:unhideWhenUsed/>
    <w:pPr>
      <w:numPr>
        <w:numId w:val="5"/>
      </w:numPr>
      <w:spacing w:after="240"/>
      <w:contextualSpacing/>
    </w:pPr>
    <w:rPr>
      <w:rFonts w:ascii="Times New Roman" w:hAnsi="Times New Roman" w:cstheme="minorBidi"/>
      <w:sz w:val="24"/>
      <w:szCs w:val="24"/>
    </w:rPr>
  </w:style>
  <w:style w:type="paragraph" w:styleId="ListBullet4">
    <w:name w:val="List Bullet 4"/>
    <w:basedOn w:val="Normal"/>
    <w:uiPriority w:val="99"/>
    <w:semiHidden/>
    <w:unhideWhenUsed/>
    <w:pPr>
      <w:numPr>
        <w:numId w:val="6"/>
      </w:numPr>
      <w:spacing w:after="240"/>
      <w:contextualSpacing/>
    </w:pPr>
    <w:rPr>
      <w:rFonts w:ascii="Times New Roman" w:hAnsi="Times New Roman" w:cstheme="minorBidi"/>
      <w:sz w:val="24"/>
      <w:szCs w:val="24"/>
    </w:rPr>
  </w:style>
  <w:style w:type="paragraph" w:styleId="ListBullet5">
    <w:name w:val="List Bullet 5"/>
    <w:basedOn w:val="Normal"/>
    <w:uiPriority w:val="99"/>
    <w:semiHidden/>
    <w:unhideWhenUsed/>
    <w:pPr>
      <w:numPr>
        <w:numId w:val="7"/>
      </w:numPr>
      <w:spacing w:after="240"/>
      <w:contextualSpacing/>
    </w:pPr>
    <w:rPr>
      <w:rFonts w:ascii="Times New Roman" w:hAnsi="Times New Roman" w:cstheme="minorBidi"/>
      <w:sz w:val="24"/>
      <w:szCs w:val="24"/>
    </w:rPr>
  </w:style>
  <w:style w:type="paragraph" w:styleId="ListContinue2">
    <w:name w:val="List Continue 2"/>
    <w:basedOn w:val="Normal"/>
    <w:uiPriority w:val="99"/>
    <w:semiHidden/>
    <w:unhideWhenUsed/>
    <w:pPr>
      <w:spacing w:after="120"/>
      <w:ind w:left="720"/>
      <w:contextualSpacing/>
    </w:pPr>
    <w:rPr>
      <w:rFonts w:ascii="Times New Roman" w:hAnsi="Times New Roman" w:cstheme="minorBidi"/>
      <w:sz w:val="24"/>
      <w:szCs w:val="24"/>
    </w:rPr>
  </w:style>
  <w:style w:type="paragraph" w:styleId="ListContinue3">
    <w:name w:val="List Continue 3"/>
    <w:basedOn w:val="Normal"/>
    <w:uiPriority w:val="99"/>
    <w:semiHidden/>
    <w:unhideWhenUsed/>
    <w:pPr>
      <w:spacing w:after="120"/>
      <w:ind w:left="1080"/>
      <w:contextualSpacing/>
    </w:pPr>
    <w:rPr>
      <w:rFonts w:ascii="Times New Roman" w:hAnsi="Times New Roman" w:cstheme="minorBidi"/>
      <w:sz w:val="24"/>
      <w:szCs w:val="24"/>
    </w:rPr>
  </w:style>
  <w:style w:type="paragraph" w:styleId="ListContinue4">
    <w:name w:val="List Continue 4"/>
    <w:basedOn w:val="Normal"/>
    <w:uiPriority w:val="99"/>
    <w:semiHidden/>
    <w:unhideWhenUsed/>
    <w:pPr>
      <w:spacing w:after="120"/>
      <w:ind w:left="1440"/>
      <w:contextualSpacing/>
    </w:pPr>
    <w:rPr>
      <w:rFonts w:ascii="Times New Roman" w:hAnsi="Times New Roman" w:cstheme="minorBidi"/>
      <w:sz w:val="24"/>
      <w:szCs w:val="24"/>
    </w:rPr>
  </w:style>
  <w:style w:type="paragraph" w:styleId="ListContinue5">
    <w:name w:val="List Continue 5"/>
    <w:basedOn w:val="Normal"/>
    <w:uiPriority w:val="99"/>
    <w:semiHidden/>
    <w:unhideWhenUsed/>
    <w:pPr>
      <w:spacing w:after="120"/>
      <w:ind w:left="1800"/>
      <w:contextualSpacing/>
    </w:pPr>
    <w:rPr>
      <w:rFonts w:ascii="Times New Roman" w:hAnsi="Times New Roman" w:cstheme="minorBidi"/>
      <w:sz w:val="24"/>
      <w:szCs w:val="24"/>
    </w:rPr>
  </w:style>
  <w:style w:type="paragraph" w:styleId="ListNumber2">
    <w:name w:val="List Number 2"/>
    <w:basedOn w:val="Normal"/>
    <w:uiPriority w:val="99"/>
    <w:semiHidden/>
    <w:unhideWhenUsed/>
    <w:pPr>
      <w:numPr>
        <w:numId w:val="8"/>
      </w:numPr>
      <w:spacing w:after="240"/>
      <w:contextualSpacing/>
    </w:pPr>
    <w:rPr>
      <w:rFonts w:ascii="Times New Roman" w:hAnsi="Times New Roman" w:cstheme="minorBidi"/>
      <w:sz w:val="24"/>
      <w:szCs w:val="24"/>
    </w:rPr>
  </w:style>
  <w:style w:type="paragraph" w:styleId="ListNumber3">
    <w:name w:val="List Number 3"/>
    <w:basedOn w:val="Normal"/>
    <w:uiPriority w:val="99"/>
    <w:semiHidden/>
    <w:unhideWhenUsed/>
    <w:pPr>
      <w:numPr>
        <w:numId w:val="9"/>
      </w:numPr>
      <w:spacing w:after="240"/>
      <w:contextualSpacing/>
    </w:pPr>
    <w:rPr>
      <w:rFonts w:ascii="Times New Roman" w:hAnsi="Times New Roman" w:cstheme="minorBidi"/>
      <w:sz w:val="24"/>
      <w:szCs w:val="24"/>
    </w:rPr>
  </w:style>
  <w:style w:type="paragraph" w:styleId="ListNumber4">
    <w:name w:val="List Number 4"/>
    <w:basedOn w:val="Normal"/>
    <w:uiPriority w:val="99"/>
    <w:semiHidden/>
    <w:unhideWhenUsed/>
    <w:pPr>
      <w:numPr>
        <w:numId w:val="10"/>
      </w:numPr>
      <w:spacing w:after="240"/>
      <w:contextualSpacing/>
    </w:pPr>
    <w:rPr>
      <w:rFonts w:ascii="Times New Roman" w:hAnsi="Times New Roman" w:cstheme="minorBidi"/>
      <w:sz w:val="24"/>
      <w:szCs w:val="24"/>
    </w:rPr>
  </w:style>
  <w:style w:type="paragraph" w:styleId="ListNumber5">
    <w:name w:val="List Number 5"/>
    <w:basedOn w:val="Normal"/>
    <w:uiPriority w:val="99"/>
    <w:semiHidden/>
    <w:unhideWhenUsed/>
    <w:pPr>
      <w:numPr>
        <w:numId w:val="11"/>
      </w:numPr>
      <w:spacing w:after="240"/>
      <w:contextualSpacing/>
    </w:pPr>
    <w:rPr>
      <w:rFonts w:ascii="Times New Roman" w:hAnsi="Times New Roman" w:cstheme="minorBidi"/>
      <w:sz w:val="24"/>
      <w:szCs w:val="24"/>
    </w:rPr>
  </w:style>
  <w:style w:type="paragraph" w:styleId="ListParagraph">
    <w:name w:val="List Paragraph"/>
    <w:basedOn w:val="Normal"/>
    <w:uiPriority w:val="34"/>
    <w:unhideWhenUsed/>
    <w:qFormat/>
    <w:pPr>
      <w:spacing w:after="240"/>
      <w:ind w:left="720"/>
      <w:contextualSpacing/>
    </w:pPr>
    <w:rPr>
      <w:rFonts w:ascii="Times New Roman" w:hAnsi="Times New Roman" w:cstheme="minorBidi"/>
      <w:sz w:val="24"/>
      <w:szCs w:val="24"/>
    </w:r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pPr>
      <w:spacing w:after="240"/>
    </w:pPr>
    <w:rPr>
      <w:rFonts w:ascii="Times New Roman" w:hAnsi="Times New Roman"/>
      <w:sz w:val="24"/>
      <w:szCs w:val="24"/>
    </w:rPr>
  </w:style>
  <w:style w:type="paragraph" w:styleId="NormalIndent">
    <w:name w:val="Normal Indent"/>
    <w:basedOn w:val="Normal"/>
    <w:uiPriority w:val="99"/>
    <w:semiHidden/>
    <w:unhideWhenUsed/>
    <w:pPr>
      <w:spacing w:after="240"/>
      <w:ind w:left="720"/>
    </w:pPr>
    <w:rPr>
      <w:rFonts w:ascii="Times New Roman" w:hAnsi="Times New Roman" w:cstheme="minorBidi"/>
      <w:sz w:val="24"/>
      <w:szCs w:val="24"/>
    </w:rPr>
  </w:style>
  <w:style w:type="paragraph" w:styleId="NoteHeading">
    <w:name w:val="Note Heading"/>
    <w:basedOn w:val="Normal"/>
    <w:next w:val="Normal"/>
    <w:link w:val="NoteHeadingChar"/>
    <w:uiPriority w:val="99"/>
    <w:semiHidden/>
    <w:unhideWhenUsed/>
    <w:rPr>
      <w:rFonts w:ascii="Times New Roman" w:hAnsi="Times New Roman" w:cstheme="minorBidi"/>
      <w:sz w:val="24"/>
      <w:szCs w:val="24"/>
    </w:r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pPr>
      <w:spacing w:after="240"/>
    </w:pPr>
    <w:rPr>
      <w:rFonts w:ascii="Times New Roman" w:hAnsi="Times New Roman" w:cstheme="minorBidi"/>
      <w:i/>
      <w:iCs/>
      <w:color w:val="000000" w:themeColor="text1"/>
      <w:sz w:val="24"/>
      <w:szCs w:val="24"/>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spacing w:after="24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styleId="Revision">
    <w:name w:val="Revision"/>
    <w:hidden/>
    <w:uiPriority w:val="99"/>
    <w:semiHidden/>
    <w:pPr>
      <w:spacing w:after="0"/>
    </w:pPr>
    <w:rPr>
      <w:rFonts w:ascii="Calibri" w:hAnsi="Calibri" w:cs="Times New Roman"/>
      <w:sz w:val="22"/>
      <w:szCs w:val="22"/>
    </w:rPr>
  </w:style>
  <w:style w:type="paragraph" w:customStyle="1" w:styleId="Default">
    <w:name w:val="Default"/>
    <w:pPr>
      <w:autoSpaceDE w:val="0"/>
      <w:autoSpaceDN w:val="0"/>
      <w:adjustRightInd w:val="0"/>
      <w:spacing w:after="0"/>
    </w:pPr>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w:divs>
    <w:div w:id="718673186">
      <w:bodyDiv w:val="1"/>
      <w:marLeft w:val="0"/>
      <w:marRight w:val="0"/>
      <w:marTop w:val="0"/>
      <w:marBottom w:val="0"/>
      <w:divBdr>
        <w:top w:val="none" w:sz="0" w:space="0" w:color="auto"/>
        <w:left w:val="none" w:sz="0" w:space="0" w:color="auto"/>
        <w:bottom w:val="none" w:sz="0" w:space="0" w:color="auto"/>
        <w:right w:val="none" w:sz="0" w:space="0" w:color="auto"/>
      </w:divBdr>
    </w:div>
    <w:div w:id="1140070679">
      <w:bodyDiv w:val="1"/>
      <w:marLeft w:val="0"/>
      <w:marRight w:val="0"/>
      <w:marTop w:val="0"/>
      <w:marBottom w:val="0"/>
      <w:divBdr>
        <w:top w:val="none" w:sz="0" w:space="0" w:color="auto"/>
        <w:left w:val="none" w:sz="0" w:space="0" w:color="auto"/>
        <w:bottom w:val="none" w:sz="0" w:space="0" w:color="auto"/>
        <w:right w:val="none" w:sz="0" w:space="0" w:color="auto"/>
      </w:divBdr>
    </w:div>
    <w:div w:id="1197543387">
      <w:bodyDiv w:val="1"/>
      <w:marLeft w:val="0"/>
      <w:marRight w:val="0"/>
      <w:marTop w:val="0"/>
      <w:marBottom w:val="0"/>
      <w:divBdr>
        <w:top w:val="none" w:sz="0" w:space="0" w:color="auto"/>
        <w:left w:val="none" w:sz="0" w:space="0" w:color="auto"/>
        <w:bottom w:val="none" w:sz="0" w:space="0" w:color="auto"/>
        <w:right w:val="none" w:sz="0" w:space="0" w:color="auto"/>
      </w:divBdr>
    </w:div>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Sidley\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0A536A-31A8-4408-AB79-1D9FDF476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65</TotalTime>
  <Pages>4</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Sidley Austin LLP</Company>
  <LinksUpToDate>false</LinksUpToDate>
  <CharactersWithSpaces>7134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RGrapsas</dc:creator>
  <cp:lastModifiedBy>Greeley, Amy E.</cp:lastModifiedBy>
  <cp:revision>27</cp:revision>
  <cp:lastPrinted>2016-01-17T11:21:00Z</cp:lastPrinted>
  <dcterms:created xsi:type="dcterms:W3CDTF">2016-01-18T21:26:00Z</dcterms:created>
  <dcterms:modified xsi:type="dcterms:W3CDTF">2016-01-18T23:59:00Z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ACTIVE 212167740v.3</vt:lpwstr>
  </property>
  <property fmtid="{D5CDD505-2E9C-101B-9397-08002B2CF9AE}" pid="4" name="_AdHocReviewCycleID">
    <vt:i4>-287822973</vt:i4>
  </property>
  <property fmtid="{D5CDD505-2E9C-101B-9397-08002B2CF9AE}" pid="5" name="_NewReviewCycle">
    <vt:lpwstr/>
  </property>
  <property fmtid="{D5CDD505-2E9C-101B-9397-08002B2CF9AE}" pid="6" name="_EmailSubject">
    <vt:lpwstr>Lawyers' Comments on Annexes 2 (Escalation Timeframes) and 12 (Work Stream 2) </vt:lpwstr>
  </property>
  <property fmtid="{D5CDD505-2E9C-101B-9397-08002B2CF9AE}" pid="7" name="_AuthorEmail">
    <vt:lpwstr>holly.gregory@sidley.com</vt:lpwstr>
  </property>
  <property fmtid="{D5CDD505-2E9C-101B-9397-08002B2CF9AE}" pid="8" name="_AuthorEmailDisplayName">
    <vt:lpwstr>Gregory, Holly</vt:lpwstr>
  </property>
  <property fmtid="{D5CDD505-2E9C-101B-9397-08002B2CF9AE}" pid="9" name="_PreviousAdHocReviewCycleID">
    <vt:i4>2093815992</vt:i4>
  </property>
</Properties>
</file>