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00F0E" w14:textId="39091969" w:rsidR="00E40044" w:rsidRPr="00405643" w:rsidRDefault="0013101C">
      <w:pPr>
        <w:rPr>
          <w:rFonts w:asciiTheme="majorHAnsi" w:hAnsiTheme="majorHAnsi"/>
          <w:b/>
          <w:sz w:val="20"/>
          <w:szCs w:val="20"/>
        </w:rPr>
      </w:pPr>
      <w:r>
        <w:rPr>
          <w:rFonts w:asciiTheme="majorHAnsi" w:hAnsiTheme="majorHAnsi"/>
          <w:b/>
          <w:sz w:val="20"/>
          <w:szCs w:val="20"/>
        </w:rPr>
        <w:t xml:space="preserve">For discussion by </w:t>
      </w:r>
      <w:r w:rsidR="00525E93" w:rsidRPr="00405643">
        <w:rPr>
          <w:rFonts w:asciiTheme="majorHAnsi" w:hAnsiTheme="majorHAnsi"/>
          <w:b/>
          <w:sz w:val="20"/>
          <w:szCs w:val="20"/>
        </w:rPr>
        <w:t>CCWG-Accountability</w:t>
      </w:r>
      <w:r>
        <w:rPr>
          <w:rFonts w:asciiTheme="majorHAnsi" w:hAnsiTheme="majorHAnsi"/>
          <w:b/>
          <w:sz w:val="20"/>
          <w:szCs w:val="20"/>
        </w:rPr>
        <w:t xml:space="preserve">: Synchronizing </w:t>
      </w:r>
      <w:r w:rsidR="00525E93" w:rsidRPr="00405643">
        <w:rPr>
          <w:rFonts w:asciiTheme="majorHAnsi" w:hAnsiTheme="majorHAnsi"/>
          <w:b/>
          <w:sz w:val="20"/>
          <w:szCs w:val="20"/>
        </w:rPr>
        <w:t xml:space="preserve">Work Stream 2 </w:t>
      </w:r>
      <w:r w:rsidR="00405643" w:rsidRPr="00405643">
        <w:rPr>
          <w:rFonts w:asciiTheme="majorHAnsi" w:hAnsiTheme="majorHAnsi"/>
          <w:b/>
          <w:sz w:val="20"/>
          <w:szCs w:val="20"/>
        </w:rPr>
        <w:t>and</w:t>
      </w:r>
      <w:r>
        <w:rPr>
          <w:rFonts w:asciiTheme="majorHAnsi" w:hAnsiTheme="majorHAnsi"/>
          <w:b/>
          <w:sz w:val="20"/>
          <w:szCs w:val="20"/>
        </w:rPr>
        <w:t xml:space="preserve"> next scheduled ATRT</w:t>
      </w:r>
    </w:p>
    <w:p w14:paraId="547E6FD1" w14:textId="77777777" w:rsidR="00525E93" w:rsidRPr="00A558A6" w:rsidRDefault="00525E93">
      <w:pPr>
        <w:rPr>
          <w:rFonts w:asciiTheme="majorHAnsi" w:hAnsiTheme="majorHAnsi"/>
          <w:sz w:val="20"/>
          <w:szCs w:val="20"/>
        </w:rPr>
      </w:pPr>
    </w:p>
    <w:p w14:paraId="65AC7A1E" w14:textId="435C2264" w:rsidR="0013101C" w:rsidRPr="0013101C" w:rsidRDefault="00D5499C" w:rsidP="0013101C">
      <w:pPr>
        <w:rPr>
          <w:rFonts w:asciiTheme="majorHAnsi" w:hAnsiTheme="majorHAnsi"/>
          <w:sz w:val="20"/>
          <w:szCs w:val="20"/>
        </w:rPr>
      </w:pPr>
      <w:r>
        <w:rPr>
          <w:rFonts w:asciiTheme="majorHAnsi" w:hAnsiTheme="majorHAnsi"/>
          <w:sz w:val="20"/>
          <w:szCs w:val="20"/>
        </w:rPr>
        <w:t>Several</w:t>
      </w:r>
      <w:r w:rsidR="0013101C" w:rsidRPr="00A558A6">
        <w:rPr>
          <w:rFonts w:asciiTheme="majorHAnsi" w:hAnsiTheme="majorHAnsi"/>
          <w:sz w:val="20"/>
          <w:szCs w:val="20"/>
        </w:rPr>
        <w:t xml:space="preserve"> of our approved W</w:t>
      </w:r>
      <w:r w:rsidR="0013101C">
        <w:rPr>
          <w:rFonts w:asciiTheme="majorHAnsi" w:hAnsiTheme="majorHAnsi"/>
          <w:sz w:val="20"/>
          <w:szCs w:val="20"/>
        </w:rPr>
        <w:t xml:space="preserve">ork Stream 2 (WS2) accountability </w:t>
      </w:r>
      <w:r w:rsidR="0013101C" w:rsidRPr="00A558A6">
        <w:rPr>
          <w:rFonts w:asciiTheme="majorHAnsi" w:hAnsiTheme="majorHAnsi"/>
          <w:sz w:val="20"/>
          <w:szCs w:val="20"/>
        </w:rPr>
        <w:t xml:space="preserve">tasks </w:t>
      </w:r>
      <w:r w:rsidR="0013101C">
        <w:rPr>
          <w:rFonts w:asciiTheme="majorHAnsi" w:hAnsiTheme="majorHAnsi"/>
          <w:sz w:val="20"/>
          <w:szCs w:val="20"/>
        </w:rPr>
        <w:t xml:space="preserve">are within the scope of the </w:t>
      </w:r>
      <w:r w:rsidR="0013101C" w:rsidRPr="00A558A6">
        <w:rPr>
          <w:rFonts w:asciiTheme="majorHAnsi" w:hAnsiTheme="majorHAnsi"/>
          <w:sz w:val="20"/>
          <w:szCs w:val="20"/>
        </w:rPr>
        <w:t xml:space="preserve">next Accountability and Transparency Review Team (ATRT3), </w:t>
      </w:r>
      <w:r w:rsidR="0013101C">
        <w:rPr>
          <w:rFonts w:asciiTheme="majorHAnsi" w:hAnsiTheme="majorHAnsi"/>
          <w:sz w:val="20"/>
          <w:szCs w:val="20"/>
        </w:rPr>
        <w:t xml:space="preserve">which is </w:t>
      </w:r>
      <w:r w:rsidR="0013101C" w:rsidRPr="00A558A6">
        <w:rPr>
          <w:rFonts w:asciiTheme="majorHAnsi" w:hAnsiTheme="majorHAnsi"/>
          <w:sz w:val="20"/>
          <w:szCs w:val="20"/>
        </w:rPr>
        <w:t xml:space="preserve">currently </w:t>
      </w:r>
      <w:r w:rsidR="0013101C">
        <w:rPr>
          <w:rFonts w:asciiTheme="majorHAnsi" w:hAnsiTheme="majorHAnsi"/>
          <w:sz w:val="20"/>
          <w:szCs w:val="20"/>
        </w:rPr>
        <w:t>scheduled</w:t>
      </w:r>
      <w:r w:rsidR="0013101C" w:rsidRPr="00A558A6">
        <w:rPr>
          <w:rFonts w:asciiTheme="majorHAnsi" w:hAnsiTheme="majorHAnsi"/>
          <w:sz w:val="20"/>
          <w:szCs w:val="20"/>
        </w:rPr>
        <w:t xml:space="preserve"> to begin Jan-2017. </w:t>
      </w:r>
      <w:r w:rsidR="0013101C">
        <w:rPr>
          <w:rFonts w:asciiTheme="majorHAnsi" w:hAnsiTheme="majorHAnsi"/>
          <w:sz w:val="20"/>
          <w:szCs w:val="20"/>
        </w:rPr>
        <w:t xml:space="preserve">  </w:t>
      </w:r>
      <w:r w:rsidR="0013101C" w:rsidRPr="0013101C">
        <w:rPr>
          <w:rFonts w:asciiTheme="majorHAnsi" w:hAnsiTheme="majorHAnsi"/>
          <w:sz w:val="20"/>
          <w:szCs w:val="20"/>
        </w:rPr>
        <w:t xml:space="preserve">The CCWG </w:t>
      </w:r>
      <w:r>
        <w:rPr>
          <w:rFonts w:asciiTheme="majorHAnsi" w:hAnsiTheme="majorHAnsi"/>
          <w:sz w:val="20"/>
          <w:szCs w:val="20"/>
        </w:rPr>
        <w:t xml:space="preserve">may wish to consider </w:t>
      </w:r>
      <w:r w:rsidR="0013101C" w:rsidRPr="0013101C">
        <w:rPr>
          <w:rFonts w:asciiTheme="majorHAnsi" w:hAnsiTheme="majorHAnsi"/>
          <w:sz w:val="20"/>
          <w:szCs w:val="20"/>
        </w:rPr>
        <w:t xml:space="preserve">whether </w:t>
      </w:r>
      <w:r w:rsidR="0013101C">
        <w:rPr>
          <w:rFonts w:asciiTheme="majorHAnsi" w:hAnsiTheme="majorHAnsi"/>
          <w:sz w:val="20"/>
          <w:szCs w:val="20"/>
        </w:rPr>
        <w:t xml:space="preserve">to recommend </w:t>
      </w:r>
      <w:r w:rsidR="0013101C" w:rsidRPr="0013101C">
        <w:rPr>
          <w:rFonts w:asciiTheme="majorHAnsi" w:hAnsiTheme="majorHAnsi"/>
          <w:sz w:val="20"/>
          <w:szCs w:val="20"/>
        </w:rPr>
        <w:t>delay</w:t>
      </w:r>
      <w:r w:rsidR="0013101C">
        <w:rPr>
          <w:rFonts w:asciiTheme="majorHAnsi" w:hAnsiTheme="majorHAnsi"/>
          <w:sz w:val="20"/>
          <w:szCs w:val="20"/>
        </w:rPr>
        <w:t>ing</w:t>
      </w:r>
      <w:r>
        <w:rPr>
          <w:rFonts w:asciiTheme="majorHAnsi" w:hAnsiTheme="majorHAnsi"/>
          <w:sz w:val="20"/>
          <w:szCs w:val="20"/>
        </w:rPr>
        <w:t xml:space="preserve"> the start of ATRT3 in order </w:t>
      </w:r>
      <w:r w:rsidR="0013101C">
        <w:rPr>
          <w:rFonts w:asciiTheme="majorHAnsi" w:hAnsiTheme="majorHAnsi"/>
          <w:sz w:val="20"/>
          <w:szCs w:val="20"/>
        </w:rPr>
        <w:t xml:space="preserve">to </w:t>
      </w:r>
      <w:r w:rsidR="0013101C" w:rsidRPr="0013101C">
        <w:rPr>
          <w:rFonts w:asciiTheme="majorHAnsi" w:hAnsiTheme="majorHAnsi"/>
          <w:sz w:val="20"/>
          <w:szCs w:val="20"/>
        </w:rPr>
        <w:t xml:space="preserve">allow </w:t>
      </w:r>
      <w:r>
        <w:rPr>
          <w:rFonts w:asciiTheme="majorHAnsi" w:hAnsiTheme="majorHAnsi"/>
          <w:sz w:val="20"/>
          <w:szCs w:val="20"/>
        </w:rPr>
        <w:t>WS2</w:t>
      </w:r>
      <w:r w:rsidR="0013101C">
        <w:rPr>
          <w:rFonts w:asciiTheme="majorHAnsi" w:hAnsiTheme="majorHAnsi"/>
          <w:sz w:val="20"/>
          <w:szCs w:val="20"/>
        </w:rPr>
        <w:t xml:space="preserve"> accountability items </w:t>
      </w:r>
      <w:r w:rsidR="0013101C" w:rsidRPr="0013101C">
        <w:rPr>
          <w:rFonts w:asciiTheme="majorHAnsi" w:hAnsiTheme="majorHAnsi"/>
          <w:sz w:val="20"/>
          <w:szCs w:val="20"/>
        </w:rPr>
        <w:t>to</w:t>
      </w:r>
      <w:r w:rsidR="0013101C">
        <w:rPr>
          <w:rFonts w:asciiTheme="majorHAnsi" w:hAnsiTheme="majorHAnsi"/>
          <w:sz w:val="20"/>
          <w:szCs w:val="20"/>
        </w:rPr>
        <w:t xml:space="preserve"> be completed first.</w:t>
      </w:r>
    </w:p>
    <w:p w14:paraId="10E3F7E4" w14:textId="77777777" w:rsidR="00234D65" w:rsidRDefault="00234D65">
      <w:pPr>
        <w:rPr>
          <w:rFonts w:asciiTheme="majorHAnsi" w:hAnsiTheme="majorHAnsi"/>
          <w:sz w:val="20"/>
          <w:szCs w:val="20"/>
        </w:rPr>
      </w:pPr>
    </w:p>
    <w:p w14:paraId="598411D4" w14:textId="5AF1E3FA" w:rsidR="00AB22F0" w:rsidRPr="00C46158" w:rsidRDefault="00F24132" w:rsidP="00AB22F0">
      <w:pPr>
        <w:rPr>
          <w:rFonts w:asciiTheme="majorHAnsi" w:hAnsiTheme="majorHAnsi"/>
          <w:b/>
          <w:bCs/>
          <w:sz w:val="20"/>
          <w:szCs w:val="20"/>
        </w:rPr>
      </w:pPr>
      <w:r>
        <w:rPr>
          <w:rFonts w:asciiTheme="majorHAnsi" w:hAnsiTheme="majorHAnsi"/>
          <w:bCs/>
          <w:sz w:val="20"/>
          <w:szCs w:val="20"/>
        </w:rPr>
        <w:t xml:space="preserve">Currently ICANN is </w:t>
      </w:r>
      <w:r w:rsidR="0013101C">
        <w:rPr>
          <w:rFonts w:asciiTheme="majorHAnsi" w:hAnsiTheme="majorHAnsi"/>
          <w:bCs/>
          <w:sz w:val="20"/>
          <w:szCs w:val="20"/>
        </w:rPr>
        <w:t>obligated</w:t>
      </w:r>
      <w:r w:rsidR="00AB22F0" w:rsidRPr="00AB22F0">
        <w:rPr>
          <w:rFonts w:asciiTheme="majorHAnsi" w:hAnsiTheme="majorHAnsi"/>
          <w:bCs/>
          <w:sz w:val="20"/>
          <w:szCs w:val="20"/>
        </w:rPr>
        <w:t xml:space="preserve"> </w:t>
      </w:r>
      <w:r w:rsidR="0013101C">
        <w:rPr>
          <w:rFonts w:asciiTheme="majorHAnsi" w:hAnsiTheme="majorHAnsi"/>
          <w:bCs/>
          <w:sz w:val="20"/>
          <w:szCs w:val="20"/>
        </w:rPr>
        <w:t xml:space="preserve">to </w:t>
      </w:r>
      <w:r>
        <w:rPr>
          <w:rFonts w:asciiTheme="majorHAnsi" w:hAnsiTheme="majorHAnsi"/>
          <w:bCs/>
          <w:sz w:val="20"/>
          <w:szCs w:val="20"/>
        </w:rPr>
        <w:t xml:space="preserve">the </w:t>
      </w:r>
      <w:r w:rsidRPr="00F24132">
        <w:rPr>
          <w:rFonts w:asciiTheme="majorHAnsi" w:hAnsiTheme="majorHAnsi"/>
          <w:bCs/>
          <w:sz w:val="20"/>
          <w:szCs w:val="20"/>
        </w:rPr>
        <w:t>2009</w:t>
      </w:r>
      <w:r>
        <w:rPr>
          <w:rFonts w:asciiTheme="majorHAnsi" w:hAnsiTheme="majorHAnsi"/>
          <w:bCs/>
          <w:sz w:val="20"/>
          <w:szCs w:val="20"/>
        </w:rPr>
        <w:t xml:space="preserve"> </w:t>
      </w:r>
      <w:hyperlink r:id="rId8" w:history="1">
        <w:r w:rsidRPr="00F24132">
          <w:rPr>
            <w:rStyle w:val="Hyperlink"/>
            <w:rFonts w:asciiTheme="majorHAnsi" w:hAnsiTheme="majorHAnsi"/>
            <w:bCs/>
            <w:sz w:val="20"/>
            <w:szCs w:val="20"/>
          </w:rPr>
          <w:t>Affirmation of Commitments</w:t>
        </w:r>
      </w:hyperlink>
      <w:r w:rsidRPr="00C46158">
        <w:rPr>
          <w:rFonts w:asciiTheme="majorHAnsi" w:hAnsiTheme="majorHAnsi"/>
          <w:bCs/>
          <w:sz w:val="20"/>
          <w:szCs w:val="20"/>
        </w:rPr>
        <w:t xml:space="preserve"> </w:t>
      </w:r>
      <w:r w:rsidRPr="00AB22F0">
        <w:rPr>
          <w:rFonts w:asciiTheme="majorHAnsi" w:hAnsiTheme="majorHAnsi"/>
          <w:bCs/>
          <w:sz w:val="20"/>
          <w:szCs w:val="20"/>
        </w:rPr>
        <w:t>with NTIA</w:t>
      </w:r>
      <w:r w:rsidR="0013101C">
        <w:rPr>
          <w:rFonts w:asciiTheme="majorHAnsi" w:hAnsiTheme="majorHAnsi"/>
          <w:bCs/>
          <w:sz w:val="20"/>
          <w:szCs w:val="20"/>
        </w:rPr>
        <w:t xml:space="preserve"> (AoC).  </w:t>
      </w:r>
      <w:r w:rsidR="00AB22F0" w:rsidRPr="00AB22F0">
        <w:rPr>
          <w:rFonts w:asciiTheme="majorHAnsi" w:hAnsiTheme="majorHAnsi"/>
          <w:bCs/>
          <w:sz w:val="20"/>
          <w:szCs w:val="20"/>
        </w:rPr>
        <w:t>ICANN</w:t>
      </w:r>
      <w:r w:rsidR="0013101C">
        <w:rPr>
          <w:rFonts w:asciiTheme="majorHAnsi" w:hAnsiTheme="majorHAnsi"/>
          <w:bCs/>
          <w:sz w:val="20"/>
          <w:szCs w:val="20"/>
        </w:rPr>
        <w:t>’s</w:t>
      </w:r>
      <w:r w:rsidR="00AB22F0" w:rsidRPr="00AB22F0">
        <w:rPr>
          <w:rFonts w:asciiTheme="majorHAnsi" w:hAnsiTheme="majorHAnsi"/>
          <w:bCs/>
          <w:sz w:val="20"/>
          <w:szCs w:val="20"/>
        </w:rPr>
        <w:t xml:space="preserve"> Board made a commitment to NTIA to </w:t>
      </w:r>
      <w:r w:rsidR="0013101C">
        <w:rPr>
          <w:rFonts w:asciiTheme="majorHAnsi" w:hAnsiTheme="majorHAnsi"/>
          <w:bCs/>
          <w:sz w:val="20"/>
          <w:szCs w:val="20"/>
        </w:rPr>
        <w:t>begin</w:t>
      </w:r>
      <w:r w:rsidR="00AB22F0" w:rsidRPr="00AB22F0">
        <w:rPr>
          <w:rFonts w:asciiTheme="majorHAnsi" w:hAnsiTheme="majorHAnsi"/>
          <w:bCs/>
          <w:sz w:val="20"/>
          <w:szCs w:val="20"/>
        </w:rPr>
        <w:t xml:space="preserve"> ATRT3 in January 2017</w:t>
      </w:r>
      <w:r w:rsidR="00D5499C">
        <w:rPr>
          <w:rFonts w:asciiTheme="majorHAnsi" w:hAnsiTheme="majorHAnsi"/>
          <w:bCs/>
          <w:sz w:val="20"/>
          <w:szCs w:val="20"/>
        </w:rPr>
        <w:t xml:space="preserve">, as </w:t>
      </w:r>
      <w:r w:rsidR="00AB22F0" w:rsidRPr="00AB22F0">
        <w:rPr>
          <w:rFonts w:asciiTheme="majorHAnsi" w:hAnsiTheme="majorHAnsi"/>
          <w:bCs/>
          <w:sz w:val="20"/>
          <w:szCs w:val="20"/>
        </w:rPr>
        <w:t xml:space="preserve">documented in the </w:t>
      </w:r>
      <w:hyperlink r:id="rId9" w:history="1">
        <w:r w:rsidR="00AB22F0" w:rsidRPr="00AB22F0">
          <w:rPr>
            <w:rStyle w:val="Hyperlink"/>
            <w:rFonts w:asciiTheme="majorHAnsi" w:hAnsiTheme="majorHAnsi"/>
            <w:bCs/>
            <w:sz w:val="20"/>
            <w:szCs w:val="20"/>
          </w:rPr>
          <w:t>letter</w:t>
        </w:r>
      </w:hyperlink>
      <w:r w:rsidR="00AB22F0" w:rsidRPr="00AB22F0">
        <w:rPr>
          <w:rFonts w:asciiTheme="majorHAnsi" w:hAnsiTheme="majorHAnsi"/>
          <w:bCs/>
          <w:sz w:val="20"/>
          <w:szCs w:val="20"/>
        </w:rPr>
        <w:t xml:space="preserve"> dated 28</w:t>
      </w:r>
      <w:r w:rsidR="0013101C">
        <w:rPr>
          <w:rFonts w:asciiTheme="majorHAnsi" w:hAnsiTheme="majorHAnsi"/>
          <w:bCs/>
          <w:sz w:val="20"/>
          <w:szCs w:val="20"/>
        </w:rPr>
        <w:t>-</w:t>
      </w:r>
      <w:r w:rsidR="00AB22F0" w:rsidRPr="00AB22F0">
        <w:rPr>
          <w:rFonts w:asciiTheme="majorHAnsi" w:hAnsiTheme="majorHAnsi"/>
          <w:bCs/>
          <w:sz w:val="20"/>
          <w:szCs w:val="20"/>
        </w:rPr>
        <w:t>Jan</w:t>
      </w:r>
      <w:r w:rsidR="0013101C">
        <w:rPr>
          <w:rFonts w:asciiTheme="majorHAnsi" w:hAnsiTheme="majorHAnsi"/>
          <w:bCs/>
          <w:sz w:val="20"/>
          <w:szCs w:val="20"/>
        </w:rPr>
        <w:t>-</w:t>
      </w:r>
      <w:r w:rsidR="00AB22F0" w:rsidRPr="00AB22F0">
        <w:rPr>
          <w:rFonts w:asciiTheme="majorHAnsi" w:hAnsiTheme="majorHAnsi"/>
          <w:bCs/>
          <w:sz w:val="20"/>
          <w:szCs w:val="20"/>
        </w:rPr>
        <w:t xml:space="preserve">2016 from Fadi </w:t>
      </w:r>
      <w:r w:rsidR="0013101C">
        <w:rPr>
          <w:rFonts w:asciiTheme="majorHAnsi" w:hAnsiTheme="majorHAnsi"/>
          <w:bCs/>
          <w:sz w:val="20"/>
          <w:szCs w:val="20"/>
        </w:rPr>
        <w:t xml:space="preserve">Chehade </w:t>
      </w:r>
      <w:r w:rsidR="00AB22F0" w:rsidRPr="00AB22F0">
        <w:rPr>
          <w:rFonts w:asciiTheme="majorHAnsi" w:hAnsiTheme="majorHAnsi"/>
          <w:bCs/>
          <w:sz w:val="20"/>
          <w:szCs w:val="20"/>
        </w:rPr>
        <w:t>to Larry Strickling</w:t>
      </w:r>
      <w:r w:rsidR="0013101C">
        <w:rPr>
          <w:rFonts w:asciiTheme="majorHAnsi" w:hAnsiTheme="majorHAnsi"/>
          <w:bCs/>
          <w:sz w:val="20"/>
          <w:szCs w:val="20"/>
        </w:rPr>
        <w:t>:</w:t>
      </w:r>
      <w:r w:rsidR="00AB22F0" w:rsidRPr="00AB22F0">
        <w:rPr>
          <w:rFonts w:asciiTheme="majorHAnsi" w:hAnsiTheme="majorHAnsi"/>
          <w:bCs/>
          <w:sz w:val="20"/>
          <w:szCs w:val="20"/>
        </w:rPr>
        <w:t xml:space="preserve">  </w:t>
      </w:r>
    </w:p>
    <w:p w14:paraId="33D492A7" w14:textId="77777777" w:rsidR="00AB22F0" w:rsidRDefault="00AB22F0" w:rsidP="00AB22F0">
      <w:pPr>
        <w:rPr>
          <w:rFonts w:asciiTheme="majorHAnsi" w:hAnsiTheme="majorHAnsi"/>
          <w:bCs/>
          <w:sz w:val="20"/>
          <w:szCs w:val="20"/>
        </w:rPr>
      </w:pPr>
    </w:p>
    <w:p w14:paraId="3AACD9F1" w14:textId="77777777" w:rsidR="00AB22F0" w:rsidRPr="00AB22F0" w:rsidRDefault="00AB22F0" w:rsidP="0013101C">
      <w:pPr>
        <w:ind w:left="720"/>
        <w:rPr>
          <w:rFonts w:asciiTheme="majorHAnsi" w:hAnsiTheme="majorHAnsi"/>
          <w:bCs/>
          <w:sz w:val="20"/>
          <w:szCs w:val="20"/>
        </w:rPr>
      </w:pPr>
      <w:r w:rsidRPr="00AB22F0">
        <w:rPr>
          <w:rFonts w:asciiTheme="majorHAnsi" w:hAnsiTheme="majorHAnsi"/>
          <w:bCs/>
          <w:sz w:val="20"/>
          <w:szCs w:val="20"/>
        </w:rPr>
        <w:t>“The Board also endorsed starting the third Accountability and Transparency Review (ATRT3) with a call for volunteers in July 2017, based on the proposed trigger of three years from the time that the Board took action on the recommendations of the prior Review Team. Given the amount of time that will have passed since the submission of the ATRT2 recommendations, we believe that the call for volunteers should take place in January 2017. In the interim, ICANN staff will publish a thorough report on implementation of the ATRT2 recommendations by the third quarter of 2016.”</w:t>
      </w:r>
    </w:p>
    <w:p w14:paraId="0F3DDDEC" w14:textId="77777777" w:rsidR="00C46158" w:rsidRDefault="00C46158" w:rsidP="00AB22F0">
      <w:pPr>
        <w:rPr>
          <w:rFonts w:asciiTheme="majorHAnsi" w:hAnsiTheme="majorHAnsi"/>
          <w:bCs/>
          <w:sz w:val="20"/>
          <w:szCs w:val="20"/>
        </w:rPr>
      </w:pPr>
    </w:p>
    <w:p w14:paraId="7B065C0A" w14:textId="45220850" w:rsidR="00AB22F0" w:rsidRPr="00AB22F0" w:rsidRDefault="00AB22F0">
      <w:pPr>
        <w:rPr>
          <w:rFonts w:asciiTheme="majorHAnsi" w:hAnsiTheme="majorHAnsi"/>
          <w:bCs/>
          <w:sz w:val="20"/>
          <w:szCs w:val="20"/>
        </w:rPr>
      </w:pPr>
      <w:r w:rsidRPr="00AB22F0">
        <w:rPr>
          <w:rFonts w:asciiTheme="majorHAnsi" w:hAnsiTheme="majorHAnsi"/>
          <w:bCs/>
          <w:sz w:val="20"/>
          <w:szCs w:val="20"/>
        </w:rPr>
        <w:t xml:space="preserve">The </w:t>
      </w:r>
      <w:r w:rsidR="0013101C">
        <w:rPr>
          <w:rFonts w:asciiTheme="majorHAnsi" w:hAnsiTheme="majorHAnsi"/>
          <w:bCs/>
          <w:sz w:val="20"/>
          <w:szCs w:val="20"/>
        </w:rPr>
        <w:t>decision</w:t>
      </w:r>
      <w:r w:rsidRPr="00AB22F0">
        <w:rPr>
          <w:rFonts w:asciiTheme="majorHAnsi" w:hAnsiTheme="majorHAnsi"/>
          <w:bCs/>
          <w:sz w:val="20"/>
          <w:szCs w:val="20"/>
        </w:rPr>
        <w:t xml:space="preserve"> to start ATRT3 in Jan 2017 rather than July 2017 stemmed from </w:t>
      </w:r>
      <w:r w:rsidRPr="00C46158">
        <w:rPr>
          <w:rFonts w:asciiTheme="majorHAnsi" w:hAnsiTheme="majorHAnsi"/>
          <w:bCs/>
          <w:sz w:val="20"/>
          <w:szCs w:val="20"/>
        </w:rPr>
        <w:t>community’s concern about too much time passing since ATRT2 recommendations were issued</w:t>
      </w:r>
      <w:r w:rsidR="0013101C">
        <w:rPr>
          <w:rFonts w:asciiTheme="majorHAnsi" w:hAnsiTheme="majorHAnsi"/>
          <w:bCs/>
          <w:sz w:val="20"/>
          <w:szCs w:val="20"/>
        </w:rPr>
        <w:t xml:space="preserve">. </w:t>
      </w:r>
      <w:r w:rsidRPr="00C46158">
        <w:rPr>
          <w:rFonts w:asciiTheme="majorHAnsi" w:hAnsiTheme="majorHAnsi"/>
          <w:bCs/>
          <w:sz w:val="20"/>
          <w:szCs w:val="20"/>
        </w:rPr>
        <w:t> </w:t>
      </w:r>
      <w:r w:rsidRPr="00AB22F0">
        <w:rPr>
          <w:rFonts w:asciiTheme="majorHAnsi" w:hAnsiTheme="majorHAnsi"/>
          <w:bCs/>
          <w:sz w:val="20"/>
          <w:szCs w:val="20"/>
        </w:rPr>
        <w:t xml:space="preserve">Community members </w:t>
      </w:r>
      <w:r w:rsidR="00D5499C">
        <w:rPr>
          <w:rFonts w:asciiTheme="majorHAnsi" w:hAnsiTheme="majorHAnsi"/>
          <w:bCs/>
          <w:sz w:val="20"/>
          <w:szCs w:val="20"/>
        </w:rPr>
        <w:t xml:space="preserve">strongly endorse the idea </w:t>
      </w:r>
      <w:r w:rsidRPr="00AB22F0">
        <w:rPr>
          <w:rFonts w:asciiTheme="majorHAnsi" w:hAnsiTheme="majorHAnsi"/>
          <w:bCs/>
          <w:sz w:val="20"/>
          <w:szCs w:val="20"/>
        </w:rPr>
        <w:t>that subsequent Review Team</w:t>
      </w:r>
      <w:r w:rsidR="00D5499C">
        <w:rPr>
          <w:rFonts w:asciiTheme="majorHAnsi" w:hAnsiTheme="majorHAnsi"/>
          <w:bCs/>
          <w:sz w:val="20"/>
          <w:szCs w:val="20"/>
        </w:rPr>
        <w:t>s check</w:t>
      </w:r>
      <w:r w:rsidRPr="00AB22F0">
        <w:rPr>
          <w:rFonts w:asciiTheme="majorHAnsi" w:hAnsiTheme="majorHAnsi"/>
          <w:bCs/>
          <w:sz w:val="20"/>
          <w:szCs w:val="20"/>
        </w:rPr>
        <w:t xml:space="preserve"> on implementation of </w:t>
      </w:r>
      <w:r w:rsidR="00D5499C">
        <w:rPr>
          <w:rFonts w:asciiTheme="majorHAnsi" w:hAnsiTheme="majorHAnsi"/>
          <w:bCs/>
          <w:sz w:val="20"/>
          <w:szCs w:val="20"/>
        </w:rPr>
        <w:t>previous ATRT recommendations</w:t>
      </w:r>
      <w:r w:rsidRPr="00AB22F0">
        <w:rPr>
          <w:rFonts w:asciiTheme="majorHAnsi" w:hAnsiTheme="majorHAnsi"/>
          <w:bCs/>
          <w:sz w:val="20"/>
          <w:szCs w:val="20"/>
        </w:rPr>
        <w:t xml:space="preserve">.  Deferring this assessment for an additional year may be a concern to those stakeholders who </w:t>
      </w:r>
      <w:r w:rsidR="00D5499C">
        <w:rPr>
          <w:rFonts w:asciiTheme="majorHAnsi" w:hAnsiTheme="majorHAnsi"/>
          <w:bCs/>
          <w:sz w:val="20"/>
          <w:szCs w:val="20"/>
        </w:rPr>
        <w:t>advocated</w:t>
      </w:r>
      <w:r w:rsidRPr="00AB22F0">
        <w:rPr>
          <w:rFonts w:asciiTheme="majorHAnsi" w:hAnsiTheme="majorHAnsi"/>
          <w:bCs/>
          <w:sz w:val="20"/>
          <w:szCs w:val="20"/>
        </w:rPr>
        <w:t xml:space="preserve"> the </w:t>
      </w:r>
      <w:r w:rsidR="00D5499C">
        <w:rPr>
          <w:rFonts w:asciiTheme="majorHAnsi" w:hAnsiTheme="majorHAnsi"/>
          <w:bCs/>
          <w:sz w:val="20"/>
          <w:szCs w:val="20"/>
        </w:rPr>
        <w:t>Jan-2017</w:t>
      </w:r>
      <w:r w:rsidRPr="00AB22F0">
        <w:rPr>
          <w:rFonts w:asciiTheme="majorHAnsi" w:hAnsiTheme="majorHAnsi"/>
          <w:bCs/>
          <w:sz w:val="20"/>
          <w:szCs w:val="20"/>
        </w:rPr>
        <w:t xml:space="preserve"> start date.</w:t>
      </w:r>
    </w:p>
    <w:p w14:paraId="3E05D9A1" w14:textId="77777777" w:rsidR="00AB22F0" w:rsidRPr="00A558A6" w:rsidRDefault="00AB22F0">
      <w:pPr>
        <w:rPr>
          <w:rFonts w:asciiTheme="majorHAnsi" w:hAnsiTheme="majorHAnsi"/>
          <w:sz w:val="20"/>
          <w:szCs w:val="20"/>
        </w:rPr>
      </w:pPr>
    </w:p>
    <w:p w14:paraId="14B2A1BA" w14:textId="010CC771" w:rsidR="0022580C" w:rsidRPr="00A558A6" w:rsidRDefault="0022580C" w:rsidP="0022580C">
      <w:pPr>
        <w:rPr>
          <w:rFonts w:asciiTheme="majorHAnsi" w:hAnsiTheme="majorHAnsi"/>
          <w:sz w:val="20"/>
          <w:szCs w:val="20"/>
        </w:rPr>
      </w:pPr>
      <w:r>
        <w:rPr>
          <w:rFonts w:asciiTheme="majorHAnsi" w:hAnsiTheme="majorHAnsi"/>
          <w:sz w:val="20"/>
          <w:szCs w:val="20"/>
        </w:rPr>
        <w:t xml:space="preserve">Regarding timing of ATRT3, note that </w:t>
      </w:r>
      <w:r w:rsidR="00D5499C">
        <w:rPr>
          <w:rFonts w:asciiTheme="majorHAnsi" w:hAnsiTheme="majorHAnsi"/>
          <w:sz w:val="20"/>
          <w:szCs w:val="20"/>
        </w:rPr>
        <w:t xml:space="preserve">the draft new </w:t>
      </w:r>
      <w:r>
        <w:rPr>
          <w:rFonts w:asciiTheme="majorHAnsi" w:hAnsiTheme="majorHAnsi"/>
          <w:sz w:val="20"/>
          <w:szCs w:val="20"/>
        </w:rPr>
        <w:t>bylaws require this review “</w:t>
      </w:r>
      <w:r w:rsidRPr="00A558A6">
        <w:rPr>
          <w:rFonts w:asciiTheme="majorHAnsi" w:hAnsiTheme="majorHAnsi"/>
          <w:sz w:val="20"/>
          <w:szCs w:val="20"/>
        </w:rPr>
        <w:t>be conducted no less frequently than every five years measured from the date the previous Accountability and Transparency Review Team was convened.</w:t>
      </w:r>
      <w:r>
        <w:rPr>
          <w:rFonts w:asciiTheme="majorHAnsi" w:hAnsiTheme="majorHAnsi"/>
          <w:sz w:val="20"/>
          <w:szCs w:val="20"/>
        </w:rPr>
        <w:t>”  Since the last ATRT was convened in Feb-2013, ATRT3 could begin as late as Feb-2018.</w:t>
      </w:r>
    </w:p>
    <w:p w14:paraId="23F31A77" w14:textId="77777777" w:rsidR="0022580C" w:rsidRDefault="0022580C">
      <w:pPr>
        <w:rPr>
          <w:rFonts w:asciiTheme="majorHAnsi" w:hAnsiTheme="majorHAnsi"/>
          <w:sz w:val="20"/>
          <w:szCs w:val="20"/>
        </w:rPr>
      </w:pPr>
    </w:p>
    <w:p w14:paraId="2788FBDB" w14:textId="03B274D3" w:rsidR="00234D65" w:rsidRDefault="00234D65">
      <w:pPr>
        <w:rPr>
          <w:rFonts w:asciiTheme="majorHAnsi" w:hAnsiTheme="majorHAnsi"/>
          <w:sz w:val="20"/>
          <w:szCs w:val="20"/>
        </w:rPr>
      </w:pPr>
      <w:r w:rsidRPr="00A558A6">
        <w:rPr>
          <w:rFonts w:asciiTheme="majorHAnsi" w:hAnsiTheme="majorHAnsi"/>
          <w:sz w:val="20"/>
          <w:szCs w:val="20"/>
        </w:rPr>
        <w:t>Below is a summary of WS2 items</w:t>
      </w:r>
      <w:r w:rsidR="0022580C">
        <w:rPr>
          <w:rFonts w:asciiTheme="majorHAnsi" w:hAnsiTheme="majorHAnsi"/>
          <w:sz w:val="20"/>
          <w:szCs w:val="20"/>
        </w:rPr>
        <w:t>, CCWG discussions of WS2,</w:t>
      </w:r>
      <w:r w:rsidRPr="00A558A6">
        <w:rPr>
          <w:rFonts w:asciiTheme="majorHAnsi" w:hAnsiTheme="majorHAnsi"/>
          <w:sz w:val="20"/>
          <w:szCs w:val="20"/>
        </w:rPr>
        <w:t xml:space="preserve"> and comparison of proposed bylaws for WS2 and ATRT recommendations.   This </w:t>
      </w:r>
      <w:r w:rsidR="00D5499C">
        <w:rPr>
          <w:rFonts w:asciiTheme="majorHAnsi" w:hAnsiTheme="majorHAnsi"/>
          <w:sz w:val="20"/>
          <w:szCs w:val="20"/>
        </w:rPr>
        <w:t xml:space="preserve">document </w:t>
      </w:r>
      <w:r w:rsidRPr="00A558A6">
        <w:rPr>
          <w:rFonts w:asciiTheme="majorHAnsi" w:hAnsiTheme="majorHAnsi"/>
          <w:sz w:val="20"/>
          <w:szCs w:val="20"/>
        </w:rPr>
        <w:t xml:space="preserve">is intended to help CCWG determine whether and how to integrate </w:t>
      </w:r>
      <w:r w:rsidR="00405643">
        <w:rPr>
          <w:rFonts w:asciiTheme="majorHAnsi" w:hAnsiTheme="majorHAnsi"/>
          <w:sz w:val="20"/>
          <w:szCs w:val="20"/>
        </w:rPr>
        <w:t>and/or sequence WS2</w:t>
      </w:r>
      <w:r w:rsidRPr="00A558A6">
        <w:rPr>
          <w:rFonts w:asciiTheme="majorHAnsi" w:hAnsiTheme="majorHAnsi"/>
          <w:sz w:val="20"/>
          <w:szCs w:val="20"/>
        </w:rPr>
        <w:t xml:space="preserve"> activities </w:t>
      </w:r>
      <w:r w:rsidR="0013101C">
        <w:rPr>
          <w:rFonts w:asciiTheme="majorHAnsi" w:hAnsiTheme="majorHAnsi"/>
          <w:sz w:val="20"/>
          <w:szCs w:val="20"/>
        </w:rPr>
        <w:t>with</w:t>
      </w:r>
      <w:r w:rsidR="00C46158">
        <w:rPr>
          <w:rFonts w:asciiTheme="majorHAnsi" w:hAnsiTheme="majorHAnsi"/>
          <w:sz w:val="20"/>
          <w:szCs w:val="20"/>
        </w:rPr>
        <w:t xml:space="preserve"> </w:t>
      </w:r>
      <w:r w:rsidRPr="00A558A6">
        <w:rPr>
          <w:rFonts w:asciiTheme="majorHAnsi" w:hAnsiTheme="majorHAnsi"/>
          <w:sz w:val="20"/>
          <w:szCs w:val="20"/>
        </w:rPr>
        <w:t xml:space="preserve">the </w:t>
      </w:r>
      <w:r w:rsidR="0013101C">
        <w:rPr>
          <w:rFonts w:asciiTheme="majorHAnsi" w:hAnsiTheme="majorHAnsi"/>
          <w:sz w:val="20"/>
          <w:szCs w:val="20"/>
        </w:rPr>
        <w:t xml:space="preserve">third </w:t>
      </w:r>
      <w:r w:rsidR="0013101C" w:rsidRPr="00A558A6">
        <w:rPr>
          <w:rFonts w:asciiTheme="majorHAnsi" w:hAnsiTheme="majorHAnsi"/>
          <w:sz w:val="20"/>
          <w:szCs w:val="20"/>
        </w:rPr>
        <w:t>A</w:t>
      </w:r>
      <w:r w:rsidR="0013101C">
        <w:rPr>
          <w:rFonts w:asciiTheme="majorHAnsi" w:hAnsiTheme="majorHAnsi"/>
          <w:sz w:val="20"/>
          <w:szCs w:val="20"/>
        </w:rPr>
        <w:t xml:space="preserve">ccountability and Transparency </w:t>
      </w:r>
      <w:r w:rsidR="00C46158">
        <w:rPr>
          <w:rFonts w:asciiTheme="majorHAnsi" w:hAnsiTheme="majorHAnsi"/>
          <w:sz w:val="20"/>
          <w:szCs w:val="20"/>
        </w:rPr>
        <w:t>Review</w:t>
      </w:r>
      <w:r w:rsidRPr="00A558A6">
        <w:rPr>
          <w:rFonts w:asciiTheme="majorHAnsi" w:hAnsiTheme="majorHAnsi"/>
          <w:sz w:val="20"/>
          <w:szCs w:val="20"/>
        </w:rPr>
        <w:t xml:space="preserve">. </w:t>
      </w:r>
    </w:p>
    <w:p w14:paraId="1EBC7018" w14:textId="77777777" w:rsidR="00D5499C" w:rsidRDefault="00D5499C">
      <w:pPr>
        <w:rPr>
          <w:rFonts w:asciiTheme="majorHAnsi" w:hAnsiTheme="majorHAnsi"/>
          <w:sz w:val="20"/>
          <w:szCs w:val="20"/>
        </w:rPr>
      </w:pPr>
    </w:p>
    <w:p w14:paraId="3E24FE38" w14:textId="624BE655" w:rsidR="00D5499C" w:rsidRDefault="00D5499C">
      <w:pPr>
        <w:rPr>
          <w:rFonts w:asciiTheme="majorHAnsi" w:hAnsiTheme="majorHAnsi"/>
          <w:sz w:val="20"/>
          <w:szCs w:val="20"/>
        </w:rPr>
      </w:pPr>
      <w:r>
        <w:rPr>
          <w:rFonts w:asciiTheme="majorHAnsi" w:hAnsiTheme="majorHAnsi"/>
          <w:sz w:val="20"/>
          <w:szCs w:val="20"/>
        </w:rPr>
        <w:t>This document provides necessary background to address three questions:</w:t>
      </w:r>
    </w:p>
    <w:p w14:paraId="5B96E61B" w14:textId="77777777" w:rsidR="00D5499C" w:rsidRPr="00D5499C" w:rsidRDefault="00D5499C" w:rsidP="00D5499C">
      <w:pPr>
        <w:spacing w:before="120"/>
        <w:ind w:left="720"/>
        <w:rPr>
          <w:rFonts w:asciiTheme="majorHAnsi" w:hAnsiTheme="majorHAnsi"/>
          <w:i/>
          <w:sz w:val="20"/>
          <w:szCs w:val="20"/>
        </w:rPr>
      </w:pPr>
      <w:r w:rsidRPr="00D5499C">
        <w:rPr>
          <w:rFonts w:asciiTheme="majorHAnsi" w:hAnsiTheme="majorHAnsi"/>
          <w:i/>
          <w:sz w:val="20"/>
          <w:szCs w:val="20"/>
        </w:rPr>
        <w:t>How does the scope of ATRT compare with WS2 accountability items?</w:t>
      </w:r>
    </w:p>
    <w:p w14:paraId="23829BB0" w14:textId="70387454" w:rsidR="00D5499C" w:rsidRPr="00D5499C" w:rsidRDefault="00D5499C" w:rsidP="00D5499C">
      <w:pPr>
        <w:spacing w:before="120"/>
        <w:ind w:left="720"/>
        <w:rPr>
          <w:rFonts w:asciiTheme="majorHAnsi" w:hAnsiTheme="majorHAnsi"/>
          <w:i/>
          <w:sz w:val="20"/>
          <w:szCs w:val="20"/>
        </w:rPr>
      </w:pPr>
      <w:r w:rsidRPr="00D5499C">
        <w:rPr>
          <w:rFonts w:asciiTheme="majorHAnsi" w:hAnsiTheme="majorHAnsi"/>
          <w:i/>
          <w:sz w:val="20"/>
          <w:szCs w:val="20"/>
        </w:rPr>
        <w:t xml:space="preserve">What do the proposed bylaws require for implementation of WS2?  </w:t>
      </w:r>
    </w:p>
    <w:p w14:paraId="3DA28D1F" w14:textId="12200CD5" w:rsidR="00D5499C" w:rsidRPr="00D5499C" w:rsidRDefault="00D5499C" w:rsidP="00D5499C">
      <w:pPr>
        <w:spacing w:before="120"/>
        <w:ind w:left="720"/>
        <w:rPr>
          <w:rFonts w:asciiTheme="majorHAnsi" w:hAnsiTheme="majorHAnsi"/>
          <w:i/>
          <w:sz w:val="20"/>
          <w:szCs w:val="20"/>
        </w:rPr>
      </w:pPr>
      <w:r w:rsidRPr="00D5499C">
        <w:rPr>
          <w:rFonts w:asciiTheme="majorHAnsi" w:hAnsiTheme="majorHAnsi"/>
          <w:i/>
          <w:sz w:val="20"/>
          <w:szCs w:val="20"/>
        </w:rPr>
        <w:t xml:space="preserve">What do </w:t>
      </w:r>
      <w:r>
        <w:rPr>
          <w:rFonts w:asciiTheme="majorHAnsi" w:hAnsiTheme="majorHAnsi"/>
          <w:i/>
          <w:sz w:val="20"/>
          <w:szCs w:val="20"/>
        </w:rPr>
        <w:t>draft new</w:t>
      </w:r>
      <w:r w:rsidRPr="00D5499C">
        <w:rPr>
          <w:rFonts w:asciiTheme="majorHAnsi" w:hAnsiTheme="majorHAnsi"/>
          <w:i/>
          <w:sz w:val="20"/>
          <w:szCs w:val="20"/>
        </w:rPr>
        <w:t xml:space="preserve"> bylaws require for the AoC review of Accountability and Transparency (ATRT)?</w:t>
      </w:r>
    </w:p>
    <w:p w14:paraId="1264BC90" w14:textId="77777777" w:rsidR="00D5499C" w:rsidRDefault="00D5499C">
      <w:pPr>
        <w:rPr>
          <w:rFonts w:asciiTheme="majorHAnsi" w:hAnsiTheme="majorHAnsi"/>
          <w:sz w:val="20"/>
          <w:szCs w:val="20"/>
        </w:rPr>
      </w:pPr>
    </w:p>
    <w:p w14:paraId="519F3338" w14:textId="17B4811A" w:rsidR="00A558A6" w:rsidRDefault="0022580C">
      <w:pPr>
        <w:rPr>
          <w:rFonts w:asciiTheme="majorHAnsi" w:hAnsiTheme="majorHAnsi"/>
          <w:sz w:val="20"/>
          <w:szCs w:val="20"/>
        </w:rPr>
      </w:pPr>
      <w:r>
        <w:rPr>
          <w:rFonts w:asciiTheme="majorHAnsi" w:hAnsiTheme="majorHAnsi"/>
          <w:sz w:val="20"/>
          <w:szCs w:val="20"/>
        </w:rPr>
        <w:t>--</w:t>
      </w:r>
    </w:p>
    <w:p w14:paraId="7BB0B523" w14:textId="77777777" w:rsidR="00D5499C" w:rsidRDefault="00D5499C">
      <w:pPr>
        <w:rPr>
          <w:rFonts w:asciiTheme="majorHAnsi" w:hAnsiTheme="majorHAnsi"/>
          <w:b/>
          <w:i/>
          <w:sz w:val="20"/>
          <w:szCs w:val="20"/>
        </w:rPr>
      </w:pPr>
      <w:r>
        <w:rPr>
          <w:rFonts w:asciiTheme="majorHAnsi" w:hAnsiTheme="majorHAnsi"/>
          <w:b/>
          <w:i/>
          <w:sz w:val="20"/>
          <w:szCs w:val="20"/>
        </w:rPr>
        <w:br w:type="page"/>
      </w:r>
    </w:p>
    <w:p w14:paraId="002FAE0E" w14:textId="02045800" w:rsidR="00D5499C" w:rsidRPr="00D5499C" w:rsidRDefault="00D5499C" w:rsidP="00D5499C">
      <w:pPr>
        <w:rPr>
          <w:rFonts w:asciiTheme="majorHAnsi" w:hAnsiTheme="majorHAnsi"/>
          <w:b/>
          <w:i/>
          <w:sz w:val="20"/>
          <w:szCs w:val="20"/>
        </w:rPr>
      </w:pPr>
      <w:r w:rsidRPr="00D5499C">
        <w:rPr>
          <w:rFonts w:asciiTheme="majorHAnsi" w:hAnsiTheme="majorHAnsi"/>
          <w:b/>
          <w:i/>
          <w:sz w:val="20"/>
          <w:szCs w:val="20"/>
        </w:rPr>
        <w:lastRenderedPageBreak/>
        <w:t xml:space="preserve">How does the scope of ATRT compare with WS2 </w:t>
      </w:r>
      <w:r>
        <w:rPr>
          <w:rFonts w:asciiTheme="majorHAnsi" w:hAnsiTheme="majorHAnsi"/>
          <w:b/>
          <w:i/>
          <w:sz w:val="20"/>
          <w:szCs w:val="20"/>
        </w:rPr>
        <w:t xml:space="preserve">accountability </w:t>
      </w:r>
      <w:r w:rsidRPr="00D5499C">
        <w:rPr>
          <w:rFonts w:asciiTheme="majorHAnsi" w:hAnsiTheme="majorHAnsi"/>
          <w:b/>
          <w:i/>
          <w:sz w:val="20"/>
          <w:szCs w:val="20"/>
        </w:rPr>
        <w:t>items?</w:t>
      </w:r>
    </w:p>
    <w:p w14:paraId="3A62D394" w14:textId="622DDE36" w:rsidR="00234D65" w:rsidRPr="00A558A6" w:rsidRDefault="00234D65">
      <w:pPr>
        <w:rPr>
          <w:rFonts w:asciiTheme="majorHAnsi" w:hAnsiTheme="majorHAnsi"/>
          <w:sz w:val="20"/>
          <w:szCs w:val="20"/>
        </w:rPr>
      </w:pPr>
    </w:p>
    <w:p w14:paraId="119475B4" w14:textId="7C5B9EA4" w:rsidR="00525E93" w:rsidRPr="00A558A6" w:rsidRDefault="00FD4CAC">
      <w:pPr>
        <w:rPr>
          <w:rFonts w:asciiTheme="majorHAnsi" w:hAnsiTheme="majorHAnsi"/>
          <w:sz w:val="20"/>
          <w:szCs w:val="20"/>
        </w:rPr>
      </w:pPr>
      <w:r w:rsidRPr="00A558A6">
        <w:rPr>
          <w:rFonts w:asciiTheme="majorHAnsi" w:hAnsiTheme="majorHAnsi"/>
          <w:sz w:val="20"/>
          <w:szCs w:val="20"/>
        </w:rPr>
        <w:t>WS2 items were</w:t>
      </w:r>
      <w:r w:rsidR="00525E93" w:rsidRPr="00A558A6">
        <w:rPr>
          <w:rFonts w:asciiTheme="majorHAnsi" w:hAnsiTheme="majorHAnsi"/>
          <w:sz w:val="20"/>
          <w:szCs w:val="20"/>
        </w:rPr>
        <w:t xml:space="preserve"> described in </w:t>
      </w:r>
      <w:r w:rsidR="00525630" w:rsidRPr="00A558A6">
        <w:rPr>
          <w:rFonts w:asciiTheme="majorHAnsi" w:hAnsiTheme="majorHAnsi"/>
          <w:sz w:val="20"/>
          <w:szCs w:val="20"/>
        </w:rPr>
        <w:t>our</w:t>
      </w:r>
      <w:r w:rsidR="00525E93" w:rsidRPr="00A558A6">
        <w:rPr>
          <w:rFonts w:asciiTheme="majorHAnsi" w:hAnsiTheme="majorHAnsi"/>
          <w:sz w:val="20"/>
          <w:szCs w:val="20"/>
        </w:rPr>
        <w:t xml:space="preserve"> CCWG </w:t>
      </w:r>
      <w:r w:rsidR="0022493F" w:rsidRPr="00A558A6">
        <w:rPr>
          <w:rFonts w:asciiTheme="majorHAnsi" w:hAnsiTheme="majorHAnsi"/>
          <w:sz w:val="20"/>
          <w:szCs w:val="20"/>
        </w:rPr>
        <w:t xml:space="preserve">Supplemental </w:t>
      </w:r>
      <w:r w:rsidR="00525E93" w:rsidRPr="00A558A6">
        <w:rPr>
          <w:rFonts w:asciiTheme="majorHAnsi" w:hAnsiTheme="majorHAnsi"/>
          <w:sz w:val="20"/>
          <w:szCs w:val="20"/>
        </w:rPr>
        <w:t>Final Proposal</w:t>
      </w:r>
      <w:r w:rsidR="00525630" w:rsidRPr="00A558A6">
        <w:rPr>
          <w:rFonts w:asciiTheme="majorHAnsi" w:hAnsiTheme="majorHAnsi"/>
          <w:sz w:val="20"/>
          <w:szCs w:val="20"/>
        </w:rPr>
        <w:t xml:space="preserve"> on pages 47-48</w:t>
      </w:r>
      <w:r w:rsidR="00525E93" w:rsidRPr="00A558A6">
        <w:rPr>
          <w:rFonts w:asciiTheme="majorHAnsi" w:hAnsiTheme="majorHAnsi"/>
          <w:sz w:val="20"/>
          <w:szCs w:val="20"/>
        </w:rPr>
        <w:t>:</w:t>
      </w:r>
    </w:p>
    <w:p w14:paraId="07742687" w14:textId="77777777" w:rsidR="00525E93" w:rsidRPr="00A558A6" w:rsidRDefault="00525E93">
      <w:pPr>
        <w:rPr>
          <w:rFonts w:asciiTheme="majorHAnsi" w:hAnsiTheme="majorHAnsi"/>
          <w:sz w:val="20"/>
          <w:szCs w:val="20"/>
        </w:rPr>
      </w:pPr>
    </w:p>
    <w:p w14:paraId="0DF6BBFF" w14:textId="77777777" w:rsidR="00525E93" w:rsidRPr="00A558A6" w:rsidRDefault="00525E93" w:rsidP="0022493F">
      <w:pPr>
        <w:ind w:left="720"/>
        <w:rPr>
          <w:rFonts w:asciiTheme="majorHAnsi" w:hAnsiTheme="majorHAnsi"/>
          <w:sz w:val="20"/>
          <w:szCs w:val="20"/>
        </w:rPr>
      </w:pPr>
      <w:r w:rsidRPr="00A558A6">
        <w:rPr>
          <w:rFonts w:asciiTheme="majorHAnsi" w:hAnsiTheme="majorHAnsi"/>
          <w:b/>
          <w:bCs/>
          <w:sz w:val="20"/>
          <w:szCs w:val="20"/>
        </w:rPr>
        <w:t xml:space="preserve">CCWG-Accountability Recommendations </w:t>
      </w:r>
      <w:r w:rsidRPr="00A558A6">
        <w:rPr>
          <w:rFonts w:asciiTheme="majorHAnsi" w:hAnsiTheme="majorHAnsi"/>
          <w:sz w:val="20"/>
          <w:szCs w:val="20"/>
        </w:rPr>
        <w:t> </w:t>
      </w:r>
    </w:p>
    <w:p w14:paraId="4D96ECE5" w14:textId="77777777" w:rsidR="00FA1900" w:rsidRPr="00A558A6" w:rsidRDefault="00525E93" w:rsidP="0022493F">
      <w:pPr>
        <w:spacing w:before="120"/>
        <w:ind w:left="720"/>
        <w:rPr>
          <w:rFonts w:asciiTheme="majorHAnsi" w:hAnsiTheme="majorHAnsi"/>
          <w:sz w:val="20"/>
          <w:szCs w:val="20"/>
        </w:rPr>
      </w:pPr>
      <w:r w:rsidRPr="00A558A6">
        <w:rPr>
          <w:rFonts w:asciiTheme="majorHAnsi" w:hAnsiTheme="majorHAnsi"/>
          <w:sz w:val="20"/>
          <w:szCs w:val="20"/>
        </w:rPr>
        <w:t xml:space="preserve">The CCWG-Accountability recommends that the Board adopt an Interim Bylaw that would commit ICANN to consider the CCWG-Accountability consensus recommendations according to the same process and criteria it has committed to use to consider the Work Stream 1 recommendations. The Bylaw would task the group with creating further enhancements to ICANN’s accountability limited to the Work Stream 2 list of issues: </w:t>
      </w:r>
    </w:p>
    <w:p w14:paraId="320ADD11" w14:textId="77777777" w:rsidR="00FA1900" w:rsidRPr="00A558A6" w:rsidRDefault="00525E93" w:rsidP="0022493F">
      <w:pPr>
        <w:pStyle w:val="ListParagraph"/>
        <w:numPr>
          <w:ilvl w:val="0"/>
          <w:numId w:val="6"/>
        </w:numPr>
        <w:spacing w:before="120"/>
        <w:ind w:left="1440"/>
        <w:contextualSpacing w:val="0"/>
        <w:rPr>
          <w:rFonts w:asciiTheme="majorHAnsi" w:hAnsiTheme="majorHAnsi"/>
          <w:sz w:val="20"/>
          <w:szCs w:val="20"/>
        </w:rPr>
      </w:pPr>
      <w:r w:rsidRPr="00A558A6">
        <w:rPr>
          <w:rFonts w:asciiTheme="majorHAnsi" w:hAnsiTheme="majorHAnsi"/>
          <w:sz w:val="20"/>
          <w:szCs w:val="20"/>
        </w:rPr>
        <w:t>Considering improvem</w:t>
      </w:r>
      <w:bookmarkStart w:id="0" w:name="_GoBack"/>
      <w:bookmarkEnd w:id="0"/>
      <w:r w:rsidRPr="00A558A6">
        <w:rPr>
          <w:rFonts w:asciiTheme="majorHAnsi" w:hAnsiTheme="majorHAnsi"/>
          <w:sz w:val="20"/>
          <w:szCs w:val="20"/>
        </w:rPr>
        <w:t>ents to ICANN’s standards for diversity at all levels.  </w:t>
      </w:r>
    </w:p>
    <w:p w14:paraId="65CFA0C7" w14:textId="77777777" w:rsidR="00525E93" w:rsidRPr="00A558A6" w:rsidRDefault="00525E93" w:rsidP="0022493F">
      <w:pPr>
        <w:pStyle w:val="ListParagraph"/>
        <w:numPr>
          <w:ilvl w:val="0"/>
          <w:numId w:val="6"/>
        </w:numPr>
        <w:spacing w:before="120"/>
        <w:ind w:left="1440"/>
        <w:contextualSpacing w:val="0"/>
        <w:rPr>
          <w:rFonts w:asciiTheme="majorHAnsi" w:hAnsiTheme="majorHAnsi"/>
          <w:sz w:val="20"/>
          <w:szCs w:val="20"/>
        </w:rPr>
      </w:pPr>
      <w:r w:rsidRPr="00A558A6">
        <w:rPr>
          <w:rFonts w:asciiTheme="majorHAnsi" w:hAnsiTheme="majorHAnsi"/>
          <w:sz w:val="20"/>
          <w:szCs w:val="20"/>
        </w:rPr>
        <w:t>Staff accountability.  </w:t>
      </w:r>
    </w:p>
    <w:p w14:paraId="6957D6B2" w14:textId="77777777" w:rsidR="00525E93" w:rsidRPr="00A558A6" w:rsidRDefault="00525E93" w:rsidP="0022493F">
      <w:pPr>
        <w:pStyle w:val="ListParagraph"/>
        <w:numPr>
          <w:ilvl w:val="0"/>
          <w:numId w:val="6"/>
        </w:numPr>
        <w:spacing w:before="120"/>
        <w:ind w:left="1440"/>
        <w:contextualSpacing w:val="0"/>
        <w:rPr>
          <w:rFonts w:asciiTheme="majorHAnsi" w:hAnsiTheme="majorHAnsi"/>
          <w:sz w:val="20"/>
          <w:szCs w:val="20"/>
        </w:rPr>
      </w:pPr>
      <w:r w:rsidRPr="00A558A6">
        <w:rPr>
          <w:rFonts w:asciiTheme="majorHAnsi" w:hAnsiTheme="majorHAnsi"/>
          <w:sz w:val="20"/>
          <w:szCs w:val="20"/>
        </w:rPr>
        <w:t>Supporting Organizations and Advisory Committee accountability.  </w:t>
      </w:r>
    </w:p>
    <w:p w14:paraId="69D453C9" w14:textId="77777777" w:rsidR="00525E93" w:rsidRPr="00A558A6" w:rsidRDefault="00525E93" w:rsidP="0022493F">
      <w:pPr>
        <w:pStyle w:val="ListParagraph"/>
        <w:numPr>
          <w:ilvl w:val="1"/>
          <w:numId w:val="6"/>
        </w:numPr>
        <w:spacing w:before="120"/>
        <w:ind w:left="2160"/>
        <w:contextualSpacing w:val="0"/>
        <w:rPr>
          <w:rFonts w:asciiTheme="majorHAnsi" w:hAnsiTheme="majorHAnsi"/>
          <w:sz w:val="20"/>
          <w:szCs w:val="20"/>
        </w:rPr>
      </w:pPr>
      <w:r w:rsidRPr="00A558A6">
        <w:rPr>
          <w:rFonts w:asciiTheme="majorHAnsi" w:hAnsiTheme="majorHAnsi"/>
          <w:sz w:val="20"/>
          <w:szCs w:val="20"/>
        </w:rPr>
        <w:t xml:space="preserve">Include the subject of SO and AC accountability as part of the work on the Accountability and Transparency Review process. </w:t>
      </w:r>
    </w:p>
    <w:p w14:paraId="119F4028" w14:textId="77777777" w:rsidR="00FA1900" w:rsidRPr="00A558A6" w:rsidRDefault="00525E93" w:rsidP="0022493F">
      <w:pPr>
        <w:pStyle w:val="ListParagraph"/>
        <w:numPr>
          <w:ilvl w:val="1"/>
          <w:numId w:val="6"/>
        </w:numPr>
        <w:spacing w:before="120"/>
        <w:ind w:left="2160"/>
        <w:contextualSpacing w:val="0"/>
        <w:rPr>
          <w:rFonts w:asciiTheme="majorHAnsi" w:hAnsiTheme="majorHAnsi"/>
          <w:sz w:val="20"/>
          <w:szCs w:val="20"/>
        </w:rPr>
      </w:pPr>
      <w:r w:rsidRPr="00A558A6">
        <w:rPr>
          <w:rFonts w:asciiTheme="majorHAnsi" w:hAnsiTheme="majorHAnsi"/>
          <w:sz w:val="20"/>
          <w:szCs w:val="20"/>
        </w:rPr>
        <w:t>Evaluate the proposed “Mutual Accountability Roundtable” to</w:t>
      </w:r>
      <w:r w:rsidR="00FA1900" w:rsidRPr="00A558A6">
        <w:rPr>
          <w:rFonts w:asciiTheme="majorHAnsi" w:hAnsiTheme="majorHAnsi"/>
          <w:sz w:val="20"/>
          <w:szCs w:val="20"/>
        </w:rPr>
        <w:t xml:space="preserve"> assess viability.</w:t>
      </w:r>
    </w:p>
    <w:p w14:paraId="5FFA437B" w14:textId="1BE82B2D" w:rsidR="00FA1900" w:rsidRPr="00A558A6" w:rsidRDefault="00525E93" w:rsidP="0022493F">
      <w:pPr>
        <w:pStyle w:val="ListParagraph"/>
        <w:numPr>
          <w:ilvl w:val="1"/>
          <w:numId w:val="6"/>
        </w:numPr>
        <w:spacing w:before="120"/>
        <w:ind w:left="2160"/>
        <w:contextualSpacing w:val="0"/>
        <w:rPr>
          <w:rFonts w:asciiTheme="majorHAnsi" w:hAnsiTheme="majorHAnsi"/>
          <w:sz w:val="20"/>
          <w:szCs w:val="20"/>
        </w:rPr>
      </w:pPr>
      <w:r w:rsidRPr="00A558A6">
        <w:rPr>
          <w:rFonts w:asciiTheme="majorHAnsi" w:hAnsiTheme="majorHAnsi"/>
          <w:sz w:val="20"/>
          <w:szCs w:val="20"/>
        </w:rPr>
        <w:t xml:space="preserve">Propose a detailed working plan on enhancing SO and AC accountability as part </w:t>
      </w:r>
      <w:r w:rsidR="00FA1900" w:rsidRPr="00A558A6">
        <w:rPr>
          <w:rFonts w:asciiTheme="majorHAnsi" w:hAnsiTheme="majorHAnsi"/>
          <w:sz w:val="20"/>
          <w:szCs w:val="20"/>
        </w:rPr>
        <w:t>of Work Stream 2. </w:t>
      </w:r>
    </w:p>
    <w:p w14:paraId="1EFBC24B" w14:textId="77777777" w:rsidR="00525E93" w:rsidRPr="00A558A6" w:rsidRDefault="00525E93" w:rsidP="0022493F">
      <w:pPr>
        <w:pStyle w:val="ListParagraph"/>
        <w:numPr>
          <w:ilvl w:val="1"/>
          <w:numId w:val="6"/>
        </w:numPr>
        <w:spacing w:before="120"/>
        <w:ind w:left="2160"/>
        <w:contextualSpacing w:val="0"/>
        <w:rPr>
          <w:rFonts w:asciiTheme="majorHAnsi" w:hAnsiTheme="majorHAnsi"/>
          <w:sz w:val="20"/>
          <w:szCs w:val="20"/>
        </w:rPr>
      </w:pPr>
      <w:r w:rsidRPr="00A558A6">
        <w:rPr>
          <w:rFonts w:asciiTheme="majorHAnsi" w:hAnsiTheme="majorHAnsi"/>
          <w:sz w:val="20"/>
          <w:szCs w:val="20"/>
        </w:rPr>
        <w:t xml:space="preserve">Assess whether the IRP would also be applicable to SO and AC activities. </w:t>
      </w:r>
    </w:p>
    <w:p w14:paraId="3B596D58" w14:textId="77777777" w:rsidR="00FA1900" w:rsidRPr="00A558A6" w:rsidRDefault="00525E93" w:rsidP="0022493F">
      <w:pPr>
        <w:pStyle w:val="ListParagraph"/>
        <w:numPr>
          <w:ilvl w:val="0"/>
          <w:numId w:val="6"/>
        </w:numPr>
        <w:spacing w:before="120"/>
        <w:ind w:left="1440"/>
        <w:contextualSpacing w:val="0"/>
        <w:rPr>
          <w:rFonts w:asciiTheme="majorHAnsi" w:hAnsiTheme="majorHAnsi"/>
          <w:sz w:val="20"/>
          <w:szCs w:val="20"/>
        </w:rPr>
      </w:pPr>
      <w:r w:rsidRPr="00A558A6">
        <w:rPr>
          <w:rFonts w:asciiTheme="majorHAnsi" w:hAnsiTheme="majorHAnsi"/>
          <w:sz w:val="20"/>
          <w:szCs w:val="20"/>
        </w:rPr>
        <w:t xml:space="preserve">Improving ICANN’s </w:t>
      </w:r>
      <w:r w:rsidR="00FA1900" w:rsidRPr="00A558A6">
        <w:rPr>
          <w:rFonts w:asciiTheme="majorHAnsi" w:hAnsiTheme="majorHAnsi"/>
          <w:sz w:val="20"/>
          <w:szCs w:val="20"/>
        </w:rPr>
        <w:t>transparency with a focus on:</w:t>
      </w:r>
    </w:p>
    <w:p w14:paraId="70C4A85A" w14:textId="77777777" w:rsidR="00FA1900" w:rsidRPr="00A558A6" w:rsidRDefault="00525E93" w:rsidP="0022493F">
      <w:pPr>
        <w:pStyle w:val="ListParagraph"/>
        <w:numPr>
          <w:ilvl w:val="1"/>
          <w:numId w:val="6"/>
        </w:numPr>
        <w:spacing w:before="120"/>
        <w:ind w:left="2160"/>
        <w:contextualSpacing w:val="0"/>
        <w:rPr>
          <w:rFonts w:asciiTheme="majorHAnsi" w:hAnsiTheme="majorHAnsi"/>
          <w:sz w:val="20"/>
          <w:szCs w:val="20"/>
        </w:rPr>
      </w:pPr>
      <w:r w:rsidRPr="00A558A6">
        <w:rPr>
          <w:rFonts w:asciiTheme="majorHAnsi" w:hAnsiTheme="majorHAnsi"/>
          <w:sz w:val="20"/>
          <w:szCs w:val="20"/>
        </w:rPr>
        <w:t>Enhancements</w:t>
      </w:r>
      <w:r w:rsidR="00FA1900" w:rsidRPr="00A558A6">
        <w:rPr>
          <w:rFonts w:asciiTheme="majorHAnsi" w:hAnsiTheme="majorHAnsi"/>
          <w:sz w:val="20"/>
          <w:szCs w:val="20"/>
        </w:rPr>
        <w:t xml:space="preserve"> to ICANN’s existing DIDP </w:t>
      </w:r>
    </w:p>
    <w:p w14:paraId="437B674D" w14:textId="77777777" w:rsidR="00FA1900" w:rsidRPr="00A558A6" w:rsidRDefault="00525E93" w:rsidP="0022493F">
      <w:pPr>
        <w:pStyle w:val="ListParagraph"/>
        <w:numPr>
          <w:ilvl w:val="1"/>
          <w:numId w:val="6"/>
        </w:numPr>
        <w:spacing w:before="120"/>
        <w:ind w:left="2160"/>
        <w:contextualSpacing w:val="0"/>
        <w:rPr>
          <w:rFonts w:asciiTheme="majorHAnsi" w:hAnsiTheme="majorHAnsi"/>
          <w:sz w:val="20"/>
          <w:szCs w:val="20"/>
        </w:rPr>
      </w:pPr>
      <w:r w:rsidRPr="00A558A6">
        <w:rPr>
          <w:rFonts w:asciiTheme="majorHAnsi" w:hAnsiTheme="majorHAnsi"/>
          <w:sz w:val="20"/>
          <w:szCs w:val="20"/>
        </w:rPr>
        <w:t>Transparency of ICANN’s i</w:t>
      </w:r>
      <w:r w:rsidR="00FA1900" w:rsidRPr="00A558A6">
        <w:rPr>
          <w:rFonts w:asciiTheme="majorHAnsi" w:hAnsiTheme="majorHAnsi"/>
          <w:sz w:val="20"/>
          <w:szCs w:val="20"/>
        </w:rPr>
        <w:t xml:space="preserve">nteractions with governments. </w:t>
      </w:r>
    </w:p>
    <w:p w14:paraId="7036D04F" w14:textId="77777777" w:rsidR="00FA1900" w:rsidRPr="00A558A6" w:rsidRDefault="00525E93" w:rsidP="0022493F">
      <w:pPr>
        <w:pStyle w:val="ListParagraph"/>
        <w:numPr>
          <w:ilvl w:val="1"/>
          <w:numId w:val="6"/>
        </w:numPr>
        <w:spacing w:before="120"/>
        <w:ind w:left="2160"/>
        <w:contextualSpacing w:val="0"/>
        <w:rPr>
          <w:rFonts w:asciiTheme="majorHAnsi" w:hAnsiTheme="majorHAnsi"/>
          <w:sz w:val="20"/>
          <w:szCs w:val="20"/>
        </w:rPr>
      </w:pPr>
      <w:r w:rsidRPr="00A558A6">
        <w:rPr>
          <w:rFonts w:asciiTheme="majorHAnsi" w:hAnsiTheme="majorHAnsi"/>
          <w:sz w:val="20"/>
          <w:szCs w:val="20"/>
        </w:rPr>
        <w:t>Improvements</w:t>
      </w:r>
      <w:r w:rsidR="00FA1900" w:rsidRPr="00A558A6">
        <w:rPr>
          <w:rFonts w:asciiTheme="majorHAnsi" w:hAnsiTheme="majorHAnsi"/>
          <w:sz w:val="20"/>
          <w:szCs w:val="20"/>
        </w:rPr>
        <w:t xml:space="preserve"> </w:t>
      </w:r>
      <w:r w:rsidRPr="00A558A6">
        <w:rPr>
          <w:rFonts w:asciiTheme="majorHAnsi" w:hAnsiTheme="majorHAnsi"/>
          <w:sz w:val="20"/>
          <w:szCs w:val="20"/>
        </w:rPr>
        <w:t>to</w:t>
      </w:r>
      <w:r w:rsidR="00FA1900" w:rsidRPr="00A558A6">
        <w:rPr>
          <w:rFonts w:asciiTheme="majorHAnsi" w:hAnsiTheme="majorHAnsi"/>
          <w:sz w:val="20"/>
          <w:szCs w:val="20"/>
        </w:rPr>
        <w:t xml:space="preserve"> </w:t>
      </w:r>
      <w:r w:rsidRPr="00A558A6">
        <w:rPr>
          <w:rFonts w:asciiTheme="majorHAnsi" w:hAnsiTheme="majorHAnsi"/>
          <w:sz w:val="20"/>
          <w:szCs w:val="20"/>
        </w:rPr>
        <w:t>the</w:t>
      </w:r>
      <w:r w:rsidR="00FA1900" w:rsidRPr="00A558A6">
        <w:rPr>
          <w:rFonts w:asciiTheme="majorHAnsi" w:hAnsiTheme="majorHAnsi"/>
          <w:sz w:val="20"/>
          <w:szCs w:val="20"/>
        </w:rPr>
        <w:t xml:space="preserve"> </w:t>
      </w:r>
      <w:r w:rsidRPr="00A558A6">
        <w:rPr>
          <w:rFonts w:asciiTheme="majorHAnsi" w:hAnsiTheme="majorHAnsi"/>
          <w:sz w:val="20"/>
          <w:szCs w:val="20"/>
        </w:rPr>
        <w:t>existing</w:t>
      </w:r>
      <w:r w:rsidR="00FA1900" w:rsidRPr="00A558A6">
        <w:rPr>
          <w:rFonts w:asciiTheme="majorHAnsi" w:hAnsiTheme="majorHAnsi"/>
          <w:sz w:val="20"/>
          <w:szCs w:val="20"/>
        </w:rPr>
        <w:t xml:space="preserve"> </w:t>
      </w:r>
      <w:r w:rsidRPr="00A558A6">
        <w:rPr>
          <w:rFonts w:asciiTheme="majorHAnsi" w:hAnsiTheme="majorHAnsi"/>
          <w:sz w:val="20"/>
          <w:szCs w:val="20"/>
        </w:rPr>
        <w:t>whistleblower</w:t>
      </w:r>
      <w:r w:rsidR="00FA1900" w:rsidRPr="00A558A6">
        <w:rPr>
          <w:rFonts w:asciiTheme="majorHAnsi" w:hAnsiTheme="majorHAnsi"/>
          <w:sz w:val="20"/>
          <w:szCs w:val="20"/>
        </w:rPr>
        <w:t xml:space="preserve"> </w:t>
      </w:r>
      <w:r w:rsidRPr="00A558A6">
        <w:rPr>
          <w:rFonts w:asciiTheme="majorHAnsi" w:hAnsiTheme="majorHAnsi"/>
          <w:sz w:val="20"/>
          <w:szCs w:val="20"/>
        </w:rPr>
        <w:t xml:space="preserve">policy. </w:t>
      </w:r>
    </w:p>
    <w:p w14:paraId="01E250A7" w14:textId="77777777" w:rsidR="00525E93" w:rsidRPr="00A558A6" w:rsidRDefault="00525E93" w:rsidP="0022493F">
      <w:pPr>
        <w:pStyle w:val="ListParagraph"/>
        <w:numPr>
          <w:ilvl w:val="1"/>
          <w:numId w:val="6"/>
        </w:numPr>
        <w:spacing w:before="120"/>
        <w:ind w:left="2160"/>
        <w:contextualSpacing w:val="0"/>
        <w:rPr>
          <w:rFonts w:asciiTheme="majorHAnsi" w:hAnsiTheme="majorHAnsi"/>
          <w:sz w:val="20"/>
          <w:szCs w:val="20"/>
        </w:rPr>
      </w:pPr>
      <w:r w:rsidRPr="00A558A6">
        <w:rPr>
          <w:rFonts w:asciiTheme="majorHAnsi" w:hAnsiTheme="majorHAnsi"/>
          <w:sz w:val="20"/>
          <w:szCs w:val="20"/>
        </w:rPr>
        <w:t>Transparency</w:t>
      </w:r>
      <w:r w:rsidR="00FA1900" w:rsidRPr="00A558A6">
        <w:rPr>
          <w:rFonts w:asciiTheme="majorHAnsi" w:hAnsiTheme="majorHAnsi"/>
          <w:sz w:val="20"/>
          <w:szCs w:val="20"/>
        </w:rPr>
        <w:t xml:space="preserve"> </w:t>
      </w:r>
      <w:r w:rsidRPr="00A558A6">
        <w:rPr>
          <w:rFonts w:asciiTheme="majorHAnsi" w:hAnsiTheme="majorHAnsi"/>
          <w:sz w:val="20"/>
          <w:szCs w:val="20"/>
        </w:rPr>
        <w:t>o</w:t>
      </w:r>
      <w:r w:rsidR="00FA1900" w:rsidRPr="00A558A6">
        <w:rPr>
          <w:rFonts w:asciiTheme="majorHAnsi" w:hAnsiTheme="majorHAnsi"/>
          <w:sz w:val="20"/>
          <w:szCs w:val="20"/>
        </w:rPr>
        <w:t xml:space="preserve">f </w:t>
      </w:r>
      <w:r w:rsidRPr="00A558A6">
        <w:rPr>
          <w:rFonts w:asciiTheme="majorHAnsi" w:hAnsiTheme="majorHAnsi"/>
          <w:sz w:val="20"/>
          <w:szCs w:val="20"/>
        </w:rPr>
        <w:t>Board</w:t>
      </w:r>
      <w:r w:rsidR="00FA1900" w:rsidRPr="00A558A6">
        <w:rPr>
          <w:rFonts w:asciiTheme="majorHAnsi" w:hAnsiTheme="majorHAnsi"/>
          <w:sz w:val="20"/>
          <w:szCs w:val="20"/>
        </w:rPr>
        <w:t xml:space="preserve"> </w:t>
      </w:r>
      <w:r w:rsidRPr="00A558A6">
        <w:rPr>
          <w:rFonts w:asciiTheme="majorHAnsi" w:hAnsiTheme="majorHAnsi"/>
          <w:sz w:val="20"/>
          <w:szCs w:val="20"/>
        </w:rPr>
        <w:t xml:space="preserve">deliberations. </w:t>
      </w:r>
    </w:p>
    <w:p w14:paraId="623CC426" w14:textId="77777777" w:rsidR="00525E93" w:rsidRPr="00A558A6" w:rsidRDefault="00525E93" w:rsidP="0022493F">
      <w:pPr>
        <w:pStyle w:val="ListParagraph"/>
        <w:numPr>
          <w:ilvl w:val="0"/>
          <w:numId w:val="6"/>
        </w:numPr>
        <w:spacing w:before="120"/>
        <w:ind w:left="1440"/>
        <w:contextualSpacing w:val="0"/>
        <w:rPr>
          <w:rFonts w:asciiTheme="majorHAnsi" w:hAnsiTheme="majorHAnsi"/>
          <w:sz w:val="20"/>
          <w:szCs w:val="20"/>
        </w:rPr>
      </w:pPr>
      <w:r w:rsidRPr="00A558A6">
        <w:rPr>
          <w:rFonts w:asciiTheme="majorHAnsi" w:hAnsiTheme="majorHAnsi"/>
          <w:sz w:val="20"/>
          <w:szCs w:val="20"/>
        </w:rPr>
        <w:t>Developing and clarifying a Framework of Interpretation for ICANN’s Human Rights commitment and proposed Draft Bylaw.  </w:t>
      </w:r>
    </w:p>
    <w:p w14:paraId="503DC976" w14:textId="77777777" w:rsidR="00525E93" w:rsidRPr="00A558A6" w:rsidRDefault="00525E93" w:rsidP="0022493F">
      <w:pPr>
        <w:pStyle w:val="ListParagraph"/>
        <w:numPr>
          <w:ilvl w:val="0"/>
          <w:numId w:val="6"/>
        </w:numPr>
        <w:spacing w:before="120"/>
        <w:ind w:left="1440"/>
        <w:contextualSpacing w:val="0"/>
        <w:rPr>
          <w:rFonts w:asciiTheme="majorHAnsi" w:hAnsiTheme="majorHAnsi"/>
          <w:sz w:val="20"/>
          <w:szCs w:val="20"/>
        </w:rPr>
      </w:pPr>
      <w:r w:rsidRPr="00A558A6">
        <w:rPr>
          <w:rFonts w:asciiTheme="majorHAnsi" w:hAnsiTheme="majorHAnsi"/>
          <w:sz w:val="20"/>
          <w:szCs w:val="20"/>
        </w:rPr>
        <w:t>Addressing jurisdiction-related questions, namely: “Can ICANN’s accountability be enhanced depending on the laws applicable to its actions?” The CCWG-Accountability anticipates focusing on the question of applicable law for contracts and dispute settlements.  </w:t>
      </w:r>
    </w:p>
    <w:p w14:paraId="6D6694AC" w14:textId="77777777" w:rsidR="00525E93" w:rsidRPr="00A558A6" w:rsidRDefault="00525E93" w:rsidP="0022493F">
      <w:pPr>
        <w:pStyle w:val="ListParagraph"/>
        <w:numPr>
          <w:ilvl w:val="0"/>
          <w:numId w:val="6"/>
        </w:numPr>
        <w:spacing w:before="120"/>
        <w:ind w:left="1440"/>
        <w:contextualSpacing w:val="0"/>
        <w:rPr>
          <w:rFonts w:asciiTheme="majorHAnsi" w:hAnsiTheme="majorHAnsi"/>
          <w:sz w:val="20"/>
          <w:szCs w:val="20"/>
        </w:rPr>
      </w:pPr>
      <w:r w:rsidRPr="00A558A6">
        <w:rPr>
          <w:rFonts w:asciiTheme="majorHAnsi" w:hAnsiTheme="majorHAnsi"/>
          <w:sz w:val="20"/>
          <w:szCs w:val="20"/>
        </w:rPr>
        <w:t>Considering enhancements to the Ombudsman’s role and function.  </w:t>
      </w:r>
    </w:p>
    <w:p w14:paraId="13627E67" w14:textId="77777777" w:rsidR="00FA1900" w:rsidRPr="00A558A6" w:rsidRDefault="00FA1900" w:rsidP="0022493F">
      <w:pPr>
        <w:ind w:left="720"/>
        <w:rPr>
          <w:rFonts w:asciiTheme="majorHAnsi" w:hAnsiTheme="majorHAnsi"/>
          <w:sz w:val="20"/>
          <w:szCs w:val="20"/>
        </w:rPr>
      </w:pPr>
    </w:p>
    <w:p w14:paraId="4497E8E5" w14:textId="77777777" w:rsidR="00525E93" w:rsidRPr="00A558A6" w:rsidRDefault="00525E93" w:rsidP="0022493F">
      <w:pPr>
        <w:ind w:left="720"/>
        <w:rPr>
          <w:rFonts w:asciiTheme="majorHAnsi" w:hAnsiTheme="majorHAnsi"/>
          <w:sz w:val="20"/>
          <w:szCs w:val="20"/>
        </w:rPr>
      </w:pPr>
      <w:r w:rsidRPr="00A558A6">
        <w:rPr>
          <w:rFonts w:asciiTheme="majorHAnsi" w:hAnsiTheme="majorHAnsi"/>
          <w:sz w:val="20"/>
          <w:szCs w:val="20"/>
        </w:rPr>
        <w:t>The CCWG-Accountability notes that further enhancements to ICANN accountability can be accommodated through the accountability review process (see Recommendation #10: Enhancing the Accountability of Supporting Organizations and Advisory Committees) or through specific, ad hoc, cross community working group initiatives.  </w:t>
      </w:r>
    </w:p>
    <w:p w14:paraId="53776320" w14:textId="77777777" w:rsidR="00C46158" w:rsidRDefault="00C46158" w:rsidP="0022580C">
      <w:pPr>
        <w:rPr>
          <w:rFonts w:asciiTheme="majorHAnsi" w:hAnsiTheme="majorHAnsi"/>
          <w:i/>
          <w:sz w:val="20"/>
          <w:szCs w:val="20"/>
        </w:rPr>
      </w:pPr>
    </w:p>
    <w:p w14:paraId="320450ED" w14:textId="77777777" w:rsidR="0022580C" w:rsidRDefault="0022580C" w:rsidP="0022580C">
      <w:pPr>
        <w:rPr>
          <w:rFonts w:asciiTheme="majorHAnsi" w:hAnsiTheme="majorHAnsi"/>
          <w:i/>
          <w:sz w:val="20"/>
          <w:szCs w:val="20"/>
        </w:rPr>
      </w:pPr>
    </w:p>
    <w:p w14:paraId="6AA1659E" w14:textId="313BE8C3" w:rsidR="0022580C" w:rsidRPr="00A558A6" w:rsidRDefault="0022580C" w:rsidP="0022580C">
      <w:pPr>
        <w:rPr>
          <w:rFonts w:asciiTheme="majorHAnsi" w:hAnsiTheme="majorHAnsi"/>
          <w:sz w:val="20"/>
          <w:szCs w:val="20"/>
        </w:rPr>
      </w:pPr>
      <w:r>
        <w:rPr>
          <w:rFonts w:asciiTheme="majorHAnsi" w:hAnsiTheme="majorHAnsi"/>
          <w:sz w:val="20"/>
          <w:szCs w:val="20"/>
        </w:rPr>
        <w:t>The s</w:t>
      </w:r>
      <w:r w:rsidRPr="00A558A6">
        <w:rPr>
          <w:rFonts w:asciiTheme="majorHAnsi" w:hAnsiTheme="majorHAnsi"/>
          <w:sz w:val="20"/>
          <w:szCs w:val="20"/>
        </w:rPr>
        <w:t>cope of ATRT</w:t>
      </w:r>
      <w:r>
        <w:rPr>
          <w:rFonts w:asciiTheme="majorHAnsi" w:hAnsiTheme="majorHAnsi"/>
          <w:sz w:val="20"/>
          <w:szCs w:val="20"/>
        </w:rPr>
        <w:t>, as described in proposed bylaws</w:t>
      </w:r>
      <w:r w:rsidR="00405643">
        <w:rPr>
          <w:rFonts w:asciiTheme="majorHAnsi" w:hAnsiTheme="majorHAnsi"/>
          <w:sz w:val="20"/>
          <w:szCs w:val="20"/>
        </w:rPr>
        <w:t xml:space="preserve"> (</w:t>
      </w:r>
      <w:hyperlink r:id="rId10" w:history="1">
        <w:r w:rsidR="00405643" w:rsidRPr="00A558A6">
          <w:rPr>
            <w:rStyle w:val="Hyperlink"/>
            <w:rFonts w:asciiTheme="majorHAnsi" w:hAnsiTheme="majorHAnsi"/>
            <w:sz w:val="20"/>
            <w:szCs w:val="20"/>
          </w:rPr>
          <w:t>https://www.icann.org/en/system/files/files/proposed-new-bylaws-20apr16-en.pdf</w:t>
        </w:r>
      </w:hyperlink>
      <w:r w:rsidR="00405643">
        <w:rPr>
          <w:rFonts w:asciiTheme="majorHAnsi" w:hAnsiTheme="majorHAnsi"/>
          <w:sz w:val="20"/>
          <w:szCs w:val="20"/>
        </w:rPr>
        <w:t>)</w:t>
      </w:r>
      <w:r w:rsidRPr="00A558A6">
        <w:rPr>
          <w:rFonts w:asciiTheme="majorHAnsi" w:hAnsiTheme="majorHAnsi"/>
          <w:sz w:val="20"/>
          <w:szCs w:val="20"/>
        </w:rPr>
        <w:t>:</w:t>
      </w:r>
    </w:p>
    <w:p w14:paraId="4CC45037" w14:textId="77777777" w:rsidR="0022580C" w:rsidRPr="00A558A6" w:rsidRDefault="0022580C" w:rsidP="00A729A0">
      <w:pPr>
        <w:spacing w:before="120"/>
        <w:ind w:left="720"/>
        <w:rPr>
          <w:rFonts w:asciiTheme="majorHAnsi" w:hAnsiTheme="majorHAnsi"/>
          <w:sz w:val="20"/>
          <w:szCs w:val="20"/>
        </w:rPr>
      </w:pPr>
      <w:r w:rsidRPr="00A558A6">
        <w:rPr>
          <w:rFonts w:asciiTheme="majorHAnsi" w:hAnsiTheme="majorHAnsi"/>
          <w:sz w:val="20"/>
          <w:szCs w:val="20"/>
        </w:rPr>
        <w:t xml:space="preserve">(i) The Board shall cause a periodic review of ICANN’s execution of its commitment to maintain and improve robust mechanisms for public input, accountability, and transparency so as to ensure that the outcomes of its decision-making reflect the public interest and are accountable to the Internet community (“Accountability and Transparency Review”). </w:t>
      </w:r>
    </w:p>
    <w:p w14:paraId="22462473" w14:textId="77777777" w:rsidR="0022580C" w:rsidRPr="00A558A6" w:rsidRDefault="0022580C" w:rsidP="0022580C">
      <w:pPr>
        <w:spacing w:before="120"/>
        <w:ind w:left="720"/>
        <w:rPr>
          <w:rFonts w:asciiTheme="majorHAnsi" w:hAnsiTheme="majorHAnsi"/>
          <w:sz w:val="20"/>
          <w:szCs w:val="20"/>
        </w:rPr>
      </w:pPr>
      <w:r w:rsidRPr="00A558A6">
        <w:rPr>
          <w:rFonts w:asciiTheme="majorHAnsi" w:hAnsiTheme="majorHAnsi"/>
          <w:sz w:val="20"/>
          <w:szCs w:val="20"/>
        </w:rPr>
        <w:t xml:space="preserve">(ii) The issues that the review team for the Accountability and Transparency Review (the “Accountability and Transparency Review Team”) may assess are the following: </w:t>
      </w:r>
    </w:p>
    <w:p w14:paraId="77F11AC7" w14:textId="77777777" w:rsidR="0022580C" w:rsidRPr="00A558A6" w:rsidRDefault="0022580C" w:rsidP="0022580C">
      <w:pPr>
        <w:spacing w:before="120"/>
        <w:ind w:left="1440"/>
        <w:rPr>
          <w:rFonts w:asciiTheme="majorHAnsi" w:hAnsiTheme="majorHAnsi"/>
          <w:sz w:val="20"/>
          <w:szCs w:val="20"/>
        </w:rPr>
      </w:pPr>
      <w:r w:rsidRPr="00A558A6">
        <w:rPr>
          <w:rFonts w:asciiTheme="majorHAnsi" w:hAnsiTheme="majorHAnsi"/>
          <w:sz w:val="20"/>
          <w:szCs w:val="20"/>
        </w:rPr>
        <w:t xml:space="preserve">(A)  assessing and improving Board governance which shall include an ongoing evaluation of Board performance, the Board selection process, the extent to which Board composition’s and allocation structure meets ICANN’s present and future needs, and the appeal mechanisms for Board decisions contained in these Bylaws; </w:t>
      </w:r>
    </w:p>
    <w:p w14:paraId="779D3DAC" w14:textId="77777777" w:rsidR="0022580C" w:rsidRPr="00A558A6" w:rsidRDefault="0022580C" w:rsidP="0022580C">
      <w:pPr>
        <w:spacing w:before="120"/>
        <w:ind w:left="1440"/>
        <w:rPr>
          <w:rFonts w:asciiTheme="majorHAnsi" w:hAnsiTheme="majorHAnsi"/>
          <w:sz w:val="20"/>
          <w:szCs w:val="20"/>
        </w:rPr>
      </w:pPr>
      <w:r w:rsidRPr="00A558A6">
        <w:rPr>
          <w:rFonts w:asciiTheme="majorHAnsi" w:hAnsiTheme="majorHAnsi"/>
          <w:sz w:val="20"/>
          <w:szCs w:val="20"/>
        </w:rPr>
        <w:t xml:space="preserve">(B)  assessing the role and effectiveness of the GAC’s interaction with the Board and with the broader ICANN community, and making recommendations for improvement to ensure effective consideration by ICANN of GAC input on the public policy aspects of the technical coordination of the DNS; </w:t>
      </w:r>
    </w:p>
    <w:p w14:paraId="6653F993" w14:textId="77777777" w:rsidR="0022580C" w:rsidRPr="00A558A6" w:rsidRDefault="0022580C" w:rsidP="0022580C">
      <w:pPr>
        <w:spacing w:before="120"/>
        <w:ind w:left="1440"/>
        <w:rPr>
          <w:rFonts w:asciiTheme="majorHAnsi" w:hAnsiTheme="majorHAnsi"/>
          <w:sz w:val="20"/>
          <w:szCs w:val="20"/>
        </w:rPr>
      </w:pPr>
      <w:r w:rsidRPr="00A558A6">
        <w:rPr>
          <w:rFonts w:asciiTheme="majorHAnsi" w:hAnsiTheme="majorHAnsi"/>
          <w:sz w:val="20"/>
          <w:szCs w:val="20"/>
        </w:rPr>
        <w:t xml:space="preserve">(C)  assessing and improving the processes by which ICANN receives public input (including adequate explanation of decisions taken and the rationale thereof); </w:t>
      </w:r>
    </w:p>
    <w:p w14:paraId="3E9A739D" w14:textId="77777777" w:rsidR="0022580C" w:rsidRPr="00A558A6" w:rsidRDefault="0022580C" w:rsidP="0022580C">
      <w:pPr>
        <w:spacing w:before="120"/>
        <w:ind w:left="1440"/>
        <w:rPr>
          <w:rFonts w:asciiTheme="majorHAnsi" w:hAnsiTheme="majorHAnsi"/>
          <w:sz w:val="20"/>
          <w:szCs w:val="20"/>
        </w:rPr>
      </w:pPr>
      <w:r w:rsidRPr="00A558A6">
        <w:rPr>
          <w:rFonts w:asciiTheme="majorHAnsi" w:hAnsiTheme="majorHAnsi"/>
          <w:sz w:val="20"/>
          <w:szCs w:val="20"/>
        </w:rPr>
        <w:t>(D)  assessing the extent to which ICANN’s decisions are supported and accepted by the Internet community;</w:t>
      </w:r>
    </w:p>
    <w:p w14:paraId="46522780" w14:textId="77777777" w:rsidR="0022580C" w:rsidRPr="00A558A6" w:rsidRDefault="0022580C" w:rsidP="0022580C">
      <w:pPr>
        <w:spacing w:before="120"/>
        <w:ind w:left="1440"/>
        <w:rPr>
          <w:rFonts w:asciiTheme="majorHAnsi" w:hAnsiTheme="majorHAnsi"/>
          <w:sz w:val="20"/>
          <w:szCs w:val="20"/>
        </w:rPr>
      </w:pPr>
      <w:r w:rsidRPr="00A558A6">
        <w:rPr>
          <w:rFonts w:asciiTheme="majorHAnsi" w:hAnsiTheme="majorHAnsi"/>
          <w:sz w:val="20"/>
          <w:szCs w:val="20"/>
        </w:rPr>
        <w:t>(E)  assessing the policy development process to facilitate enhanced cross community deliberations, and effective and timely policy development; and</w:t>
      </w:r>
    </w:p>
    <w:p w14:paraId="58C22EB1" w14:textId="77777777" w:rsidR="0022580C" w:rsidRPr="00A558A6" w:rsidRDefault="0022580C" w:rsidP="0022580C">
      <w:pPr>
        <w:spacing w:before="120"/>
        <w:ind w:left="1440"/>
        <w:rPr>
          <w:rFonts w:asciiTheme="majorHAnsi" w:hAnsiTheme="majorHAnsi"/>
          <w:sz w:val="20"/>
          <w:szCs w:val="20"/>
        </w:rPr>
      </w:pPr>
      <w:r w:rsidRPr="00A558A6">
        <w:rPr>
          <w:rFonts w:asciiTheme="majorHAnsi" w:hAnsiTheme="majorHAnsi"/>
          <w:sz w:val="20"/>
          <w:szCs w:val="20"/>
        </w:rPr>
        <w:t xml:space="preserve">(F)  assessing and improving the Independent Review Process.  </w:t>
      </w:r>
    </w:p>
    <w:p w14:paraId="2C862A4C" w14:textId="77777777" w:rsidR="0022580C" w:rsidRDefault="0022580C" w:rsidP="0022580C">
      <w:pPr>
        <w:rPr>
          <w:rFonts w:asciiTheme="majorHAnsi" w:hAnsiTheme="majorHAnsi"/>
          <w:i/>
          <w:sz w:val="20"/>
          <w:szCs w:val="20"/>
        </w:rPr>
      </w:pPr>
    </w:p>
    <w:p w14:paraId="321171F6" w14:textId="5A172F3A" w:rsidR="0022580C" w:rsidRDefault="0022580C" w:rsidP="0022580C">
      <w:pPr>
        <w:rPr>
          <w:rFonts w:asciiTheme="majorHAnsi" w:hAnsiTheme="majorHAnsi"/>
          <w:sz w:val="20"/>
          <w:szCs w:val="20"/>
        </w:rPr>
      </w:pPr>
      <w:r>
        <w:rPr>
          <w:rFonts w:asciiTheme="majorHAnsi" w:hAnsiTheme="majorHAnsi"/>
          <w:sz w:val="20"/>
          <w:szCs w:val="20"/>
        </w:rPr>
        <w:t xml:space="preserve">It appears that ATRT scope could include </w:t>
      </w:r>
      <w:r w:rsidR="00A729A0">
        <w:rPr>
          <w:rFonts w:asciiTheme="majorHAnsi" w:hAnsiTheme="majorHAnsi"/>
          <w:sz w:val="20"/>
          <w:szCs w:val="20"/>
        </w:rPr>
        <w:t>six</w:t>
      </w:r>
      <w:r>
        <w:rPr>
          <w:rFonts w:asciiTheme="majorHAnsi" w:hAnsiTheme="majorHAnsi"/>
          <w:sz w:val="20"/>
          <w:szCs w:val="20"/>
        </w:rPr>
        <w:t xml:space="preserve"> of the WS2 streams proposed by CCWG</w:t>
      </w:r>
      <w:r w:rsidR="00A729A0">
        <w:rPr>
          <w:rFonts w:asciiTheme="majorHAnsi" w:hAnsiTheme="majorHAnsi"/>
          <w:sz w:val="20"/>
          <w:szCs w:val="20"/>
        </w:rPr>
        <w:t>, as reflected in draft Bylaws, pages 134-5</w:t>
      </w:r>
      <w:r>
        <w:rPr>
          <w:rFonts w:asciiTheme="majorHAnsi" w:hAnsiTheme="majorHAnsi"/>
          <w:sz w:val="20"/>
          <w:szCs w:val="20"/>
        </w:rPr>
        <w:t>:</w:t>
      </w:r>
    </w:p>
    <w:p w14:paraId="0F175639" w14:textId="77777777" w:rsidR="00A727E6" w:rsidRPr="00A727E6" w:rsidRDefault="00A727E6" w:rsidP="00A727E6">
      <w:pPr>
        <w:spacing w:before="120"/>
        <w:ind w:left="720"/>
        <w:rPr>
          <w:rFonts w:asciiTheme="majorHAnsi" w:hAnsiTheme="majorHAnsi"/>
          <w:sz w:val="20"/>
          <w:szCs w:val="20"/>
        </w:rPr>
      </w:pPr>
      <w:r w:rsidRPr="00A727E6">
        <w:rPr>
          <w:rFonts w:asciiTheme="majorHAnsi" w:hAnsiTheme="majorHAnsi"/>
          <w:sz w:val="20"/>
          <w:szCs w:val="20"/>
        </w:rPr>
        <w:t>(i) Improvements to ICANN’s standards for diversity at all levels;</w:t>
      </w:r>
    </w:p>
    <w:p w14:paraId="0D538E9E" w14:textId="0FA4F6B7" w:rsidR="00A727E6" w:rsidRPr="00A727E6" w:rsidRDefault="00A727E6" w:rsidP="00A727E6">
      <w:pPr>
        <w:spacing w:before="120"/>
        <w:ind w:left="720"/>
        <w:rPr>
          <w:rFonts w:asciiTheme="majorHAnsi" w:hAnsiTheme="majorHAnsi"/>
          <w:sz w:val="20"/>
          <w:szCs w:val="20"/>
        </w:rPr>
      </w:pPr>
      <w:r w:rsidRPr="00A727E6">
        <w:rPr>
          <w:rFonts w:asciiTheme="majorHAnsi" w:hAnsiTheme="majorHAnsi"/>
          <w:sz w:val="20"/>
          <w:szCs w:val="20"/>
          <w:highlight w:val="yellow"/>
        </w:rPr>
        <w:t>(ii) ICANN staff accountability;</w:t>
      </w:r>
    </w:p>
    <w:p w14:paraId="599308EE" w14:textId="0C864E9D" w:rsidR="00A727E6" w:rsidRPr="00A727E6" w:rsidRDefault="00A727E6" w:rsidP="00A727E6">
      <w:pPr>
        <w:spacing w:before="120"/>
        <w:ind w:left="720"/>
        <w:rPr>
          <w:rFonts w:asciiTheme="majorHAnsi" w:hAnsiTheme="majorHAnsi"/>
          <w:sz w:val="20"/>
          <w:szCs w:val="20"/>
          <w:highlight w:val="yellow"/>
        </w:rPr>
      </w:pPr>
      <w:r w:rsidRPr="00A727E6">
        <w:rPr>
          <w:rFonts w:asciiTheme="majorHAnsi" w:hAnsiTheme="majorHAnsi"/>
          <w:sz w:val="20"/>
          <w:szCs w:val="20"/>
          <w:highlight w:val="yellow"/>
        </w:rPr>
        <w:t>(iii)  Supporting Organization and Advisory Committee accountability, including but not limited to improved processes for accountability, transparency, and participation that are helpful to prevent capture;</w:t>
      </w:r>
    </w:p>
    <w:p w14:paraId="78CA81E0" w14:textId="59F04E8D" w:rsidR="00A727E6" w:rsidRPr="00A727E6" w:rsidRDefault="00A727E6" w:rsidP="00A727E6">
      <w:pPr>
        <w:spacing w:before="120"/>
        <w:ind w:left="720"/>
        <w:rPr>
          <w:rFonts w:asciiTheme="majorHAnsi" w:hAnsiTheme="majorHAnsi"/>
          <w:sz w:val="20"/>
          <w:szCs w:val="20"/>
        </w:rPr>
      </w:pPr>
      <w:r w:rsidRPr="00A727E6">
        <w:rPr>
          <w:rFonts w:asciiTheme="majorHAnsi" w:hAnsiTheme="majorHAnsi"/>
          <w:sz w:val="20"/>
          <w:szCs w:val="20"/>
          <w:highlight w:val="yellow"/>
        </w:rPr>
        <w:t>(iv)  Improvements to ICANN’s transparency, focusing on enactments to ICANN’s existing DIDP, transparency of ICANN’s interactions with governments, improvements to ICANN’s whistleblower policy and transparency of Board deliberations;</w:t>
      </w:r>
    </w:p>
    <w:p w14:paraId="0BE57267" w14:textId="66495888" w:rsidR="00A727E6" w:rsidRPr="00A727E6" w:rsidRDefault="00A727E6" w:rsidP="00A727E6">
      <w:pPr>
        <w:spacing w:before="120"/>
        <w:ind w:left="720"/>
        <w:rPr>
          <w:rFonts w:asciiTheme="majorHAnsi" w:hAnsiTheme="majorHAnsi"/>
          <w:sz w:val="20"/>
          <w:szCs w:val="20"/>
        </w:rPr>
      </w:pPr>
      <w:r w:rsidRPr="00A727E6">
        <w:rPr>
          <w:rFonts w:asciiTheme="majorHAnsi" w:hAnsiTheme="majorHAnsi"/>
          <w:sz w:val="20"/>
          <w:szCs w:val="20"/>
        </w:rPr>
        <w:t>(v)</w:t>
      </w:r>
      <w:r>
        <w:rPr>
          <w:rFonts w:asciiTheme="majorHAnsi" w:hAnsiTheme="majorHAnsi"/>
          <w:sz w:val="20"/>
          <w:szCs w:val="20"/>
        </w:rPr>
        <w:t xml:space="preserve"> </w:t>
      </w:r>
      <w:r w:rsidRPr="00A727E6">
        <w:rPr>
          <w:rFonts w:asciiTheme="majorHAnsi" w:hAnsiTheme="majorHAnsi"/>
          <w:sz w:val="20"/>
          <w:szCs w:val="20"/>
        </w:rPr>
        <w:t xml:space="preserve"> Developing and clarifying the FOI-Human Rights (as defined in Section 27.3); </w:t>
      </w:r>
    </w:p>
    <w:p w14:paraId="7C628EFD" w14:textId="5619EA50" w:rsidR="00A727E6" w:rsidRPr="00A727E6" w:rsidRDefault="00A727E6" w:rsidP="00A727E6">
      <w:pPr>
        <w:spacing w:before="120"/>
        <w:ind w:left="720"/>
        <w:rPr>
          <w:rFonts w:asciiTheme="majorHAnsi" w:hAnsiTheme="majorHAnsi"/>
          <w:sz w:val="20"/>
          <w:szCs w:val="20"/>
          <w:highlight w:val="yellow"/>
        </w:rPr>
      </w:pPr>
      <w:r w:rsidRPr="00A727E6">
        <w:rPr>
          <w:rFonts w:asciiTheme="majorHAnsi" w:hAnsiTheme="majorHAnsi"/>
          <w:sz w:val="20"/>
          <w:szCs w:val="20"/>
          <w:highlight w:val="yellow"/>
        </w:rPr>
        <w:t>(vi)  Addressing jurisdiction-related questions; </w:t>
      </w:r>
    </w:p>
    <w:p w14:paraId="6C147B3D" w14:textId="79109870" w:rsidR="00A727E6" w:rsidRPr="00A727E6" w:rsidRDefault="00A727E6" w:rsidP="00A727E6">
      <w:pPr>
        <w:spacing w:before="120"/>
        <w:ind w:left="720"/>
        <w:rPr>
          <w:rFonts w:asciiTheme="majorHAnsi" w:hAnsiTheme="majorHAnsi"/>
          <w:sz w:val="20"/>
          <w:szCs w:val="20"/>
        </w:rPr>
      </w:pPr>
      <w:r w:rsidRPr="00A727E6">
        <w:rPr>
          <w:rFonts w:asciiTheme="majorHAnsi" w:hAnsiTheme="majorHAnsi"/>
          <w:sz w:val="20"/>
          <w:szCs w:val="20"/>
          <w:highlight w:val="yellow"/>
        </w:rPr>
        <w:t>(vii)  Considering enhancements to the Ombudsman’s role and function;</w:t>
      </w:r>
    </w:p>
    <w:p w14:paraId="68C8D2C3" w14:textId="77777777" w:rsidR="00A727E6" w:rsidRPr="00A727E6" w:rsidRDefault="00A727E6" w:rsidP="00A727E6">
      <w:pPr>
        <w:spacing w:before="120"/>
        <w:ind w:left="720"/>
        <w:rPr>
          <w:rFonts w:asciiTheme="majorHAnsi" w:hAnsiTheme="majorHAnsi"/>
          <w:sz w:val="20"/>
          <w:szCs w:val="20"/>
        </w:rPr>
      </w:pPr>
      <w:r w:rsidRPr="00A727E6">
        <w:rPr>
          <w:rFonts w:asciiTheme="majorHAnsi" w:hAnsiTheme="majorHAnsi"/>
          <w:sz w:val="20"/>
          <w:szCs w:val="20"/>
        </w:rPr>
        <w:t>(viii)  Guidelines for standards of conduct presumed to be in good faith associated with exercising removal of individual ICANN Board Directors; and </w:t>
      </w:r>
    </w:p>
    <w:p w14:paraId="7B4A6990" w14:textId="5CD0ECD1" w:rsidR="00A727E6" w:rsidRPr="00A727E6" w:rsidRDefault="00A727E6" w:rsidP="00A727E6">
      <w:pPr>
        <w:spacing w:before="120"/>
        <w:ind w:left="720"/>
        <w:rPr>
          <w:rFonts w:asciiTheme="majorHAnsi" w:hAnsiTheme="majorHAnsi"/>
          <w:sz w:val="20"/>
          <w:szCs w:val="20"/>
        </w:rPr>
      </w:pPr>
      <w:r w:rsidRPr="00A727E6">
        <w:rPr>
          <w:rFonts w:asciiTheme="majorHAnsi" w:hAnsiTheme="majorHAnsi"/>
          <w:sz w:val="20"/>
          <w:szCs w:val="20"/>
        </w:rPr>
        <w:t> </w:t>
      </w:r>
      <w:r w:rsidRPr="00A727E6">
        <w:rPr>
          <w:rFonts w:asciiTheme="majorHAnsi" w:hAnsiTheme="majorHAnsi"/>
          <w:sz w:val="20"/>
          <w:szCs w:val="20"/>
          <w:highlight w:val="yellow"/>
        </w:rPr>
        <w:t>(ix)  Reviewing the CEP (Constructive Engagement Process to precede IRP ) as set forth in Section 4.3</w:t>
      </w:r>
      <w:r w:rsidRPr="00A727E6">
        <w:rPr>
          <w:rFonts w:asciiTheme="majorHAnsi" w:hAnsiTheme="majorHAnsi"/>
          <w:sz w:val="20"/>
          <w:szCs w:val="20"/>
        </w:rPr>
        <w:t>.</w:t>
      </w:r>
    </w:p>
    <w:p w14:paraId="392E88C2" w14:textId="77777777" w:rsidR="0022580C" w:rsidRDefault="0022580C" w:rsidP="0022580C">
      <w:pPr>
        <w:rPr>
          <w:rFonts w:asciiTheme="majorHAnsi" w:hAnsiTheme="majorHAnsi"/>
          <w:sz w:val="20"/>
          <w:szCs w:val="20"/>
        </w:rPr>
      </w:pPr>
    </w:p>
    <w:p w14:paraId="64F23302" w14:textId="7710B2E4" w:rsidR="00F24132" w:rsidRDefault="00F24132" w:rsidP="00AB22F0">
      <w:pPr>
        <w:rPr>
          <w:rFonts w:asciiTheme="majorHAnsi" w:hAnsiTheme="majorHAnsi"/>
          <w:bCs/>
          <w:sz w:val="20"/>
          <w:szCs w:val="20"/>
        </w:rPr>
      </w:pPr>
      <w:r>
        <w:rPr>
          <w:rFonts w:asciiTheme="majorHAnsi" w:hAnsiTheme="majorHAnsi"/>
          <w:bCs/>
          <w:sz w:val="20"/>
          <w:szCs w:val="20"/>
        </w:rPr>
        <w:t>Modifying the ATRT3 Start Date</w:t>
      </w:r>
    </w:p>
    <w:p w14:paraId="01B78158" w14:textId="77777777" w:rsidR="00F24132" w:rsidRDefault="00F24132" w:rsidP="00AB22F0">
      <w:pPr>
        <w:rPr>
          <w:rFonts w:asciiTheme="majorHAnsi" w:hAnsiTheme="majorHAnsi"/>
          <w:bCs/>
          <w:sz w:val="20"/>
          <w:szCs w:val="20"/>
        </w:rPr>
      </w:pPr>
    </w:p>
    <w:p w14:paraId="5183AEBF" w14:textId="2A806B4F" w:rsidR="00AB22F0" w:rsidRPr="00AB22F0" w:rsidRDefault="00AB22F0" w:rsidP="00AB22F0">
      <w:pPr>
        <w:rPr>
          <w:rFonts w:asciiTheme="majorHAnsi" w:hAnsiTheme="majorHAnsi"/>
          <w:bCs/>
          <w:sz w:val="20"/>
          <w:szCs w:val="20"/>
        </w:rPr>
      </w:pPr>
      <w:r w:rsidRPr="00AB22F0">
        <w:rPr>
          <w:rFonts w:asciiTheme="majorHAnsi" w:hAnsiTheme="majorHAnsi"/>
          <w:bCs/>
          <w:sz w:val="20"/>
          <w:szCs w:val="20"/>
        </w:rPr>
        <w:t xml:space="preserve">To modify the ATRT3 start date </w:t>
      </w:r>
      <w:r w:rsidR="00F24132">
        <w:rPr>
          <w:rFonts w:asciiTheme="majorHAnsi" w:hAnsiTheme="majorHAnsi"/>
          <w:bCs/>
          <w:sz w:val="20"/>
          <w:szCs w:val="20"/>
        </w:rPr>
        <w:t xml:space="preserve">(January 2017) to allow the CCWG to complete its work on WS2 </w:t>
      </w:r>
      <w:r w:rsidRPr="00AB22F0">
        <w:rPr>
          <w:rFonts w:asciiTheme="majorHAnsi" w:hAnsiTheme="majorHAnsi"/>
          <w:bCs/>
          <w:sz w:val="20"/>
          <w:szCs w:val="20"/>
        </w:rPr>
        <w:t xml:space="preserve">would require the Community (CCWG and or the SO/ACs Leadership) to request that ICANN contact NTIA to see if the start date for ATRT3 can be </w:t>
      </w:r>
      <w:r w:rsidR="0013101C">
        <w:rPr>
          <w:rFonts w:asciiTheme="majorHAnsi" w:hAnsiTheme="majorHAnsi"/>
          <w:bCs/>
          <w:sz w:val="20"/>
          <w:szCs w:val="20"/>
        </w:rPr>
        <w:t>deferred</w:t>
      </w:r>
      <w:r w:rsidRPr="00AB22F0">
        <w:rPr>
          <w:rFonts w:asciiTheme="majorHAnsi" w:hAnsiTheme="majorHAnsi"/>
          <w:bCs/>
          <w:sz w:val="20"/>
          <w:szCs w:val="20"/>
        </w:rPr>
        <w:t xml:space="preserve">.  If NTIA agrees with the request, the Board should adopt a resolution to modify the schedule </w:t>
      </w:r>
      <w:r w:rsidR="00C46158">
        <w:rPr>
          <w:rFonts w:asciiTheme="majorHAnsi" w:hAnsiTheme="majorHAnsi"/>
          <w:bCs/>
          <w:sz w:val="20"/>
          <w:szCs w:val="20"/>
        </w:rPr>
        <w:t xml:space="preserve">as </w:t>
      </w:r>
      <w:r w:rsidRPr="00AB22F0">
        <w:rPr>
          <w:rFonts w:asciiTheme="majorHAnsi" w:hAnsiTheme="majorHAnsi"/>
          <w:bCs/>
          <w:sz w:val="20"/>
          <w:szCs w:val="20"/>
        </w:rPr>
        <w:t>adopted in its July 2015 resolution.    This course of action is applicable until the AoC is terminated and the draft bylaws become effective.</w:t>
      </w:r>
    </w:p>
    <w:p w14:paraId="066D99AE" w14:textId="77777777" w:rsidR="0013101C" w:rsidRDefault="0013101C">
      <w:pPr>
        <w:rPr>
          <w:rFonts w:asciiTheme="majorHAnsi" w:hAnsiTheme="majorHAnsi"/>
          <w:sz w:val="20"/>
          <w:szCs w:val="20"/>
        </w:rPr>
      </w:pPr>
    </w:p>
    <w:p w14:paraId="17EC83F0" w14:textId="625D4A31" w:rsidR="00840F53" w:rsidRPr="00A558A6" w:rsidRDefault="00FD4CAC">
      <w:pPr>
        <w:rPr>
          <w:rFonts w:asciiTheme="majorHAnsi" w:hAnsiTheme="majorHAnsi"/>
          <w:sz w:val="20"/>
          <w:szCs w:val="20"/>
        </w:rPr>
      </w:pPr>
      <w:r w:rsidRPr="00A558A6">
        <w:rPr>
          <w:rFonts w:asciiTheme="majorHAnsi" w:hAnsiTheme="majorHAnsi"/>
          <w:sz w:val="20"/>
          <w:szCs w:val="20"/>
        </w:rPr>
        <w:t xml:space="preserve">At the CCWG face to face meeting in Marrakech on 8-Mar-2016, we </w:t>
      </w:r>
      <w:r w:rsidR="00840F53" w:rsidRPr="00A558A6">
        <w:rPr>
          <w:rFonts w:asciiTheme="majorHAnsi" w:hAnsiTheme="majorHAnsi"/>
          <w:sz w:val="20"/>
          <w:szCs w:val="20"/>
        </w:rPr>
        <w:t>made these observations</w:t>
      </w:r>
      <w:r w:rsidR="00525630" w:rsidRPr="00A558A6">
        <w:rPr>
          <w:rFonts w:asciiTheme="majorHAnsi" w:hAnsiTheme="majorHAnsi"/>
          <w:sz w:val="20"/>
          <w:szCs w:val="20"/>
        </w:rPr>
        <w:t xml:space="preserve"> about WS2 and ATRT3</w:t>
      </w:r>
      <w:r w:rsidR="00A558A6" w:rsidRPr="00A558A6">
        <w:rPr>
          <w:rFonts w:asciiTheme="majorHAnsi" w:hAnsiTheme="majorHAnsi"/>
          <w:sz w:val="20"/>
          <w:szCs w:val="20"/>
        </w:rPr>
        <w:t xml:space="preserve"> (</w:t>
      </w:r>
      <w:hyperlink r:id="rId11" w:history="1">
        <w:r w:rsidR="00840F53" w:rsidRPr="00A558A6">
          <w:rPr>
            <w:rStyle w:val="Hyperlink"/>
            <w:rFonts w:asciiTheme="majorHAnsi" w:hAnsiTheme="majorHAnsi"/>
            <w:sz w:val="20"/>
            <w:szCs w:val="20"/>
          </w:rPr>
          <w:t>https://community.icann.org/pages/viewpage.action?pageId=58725713</w:t>
        </w:r>
      </w:hyperlink>
      <w:r w:rsidR="00840F53" w:rsidRPr="00A558A6">
        <w:rPr>
          <w:rFonts w:asciiTheme="majorHAnsi" w:hAnsiTheme="majorHAnsi"/>
          <w:sz w:val="20"/>
          <w:szCs w:val="20"/>
        </w:rPr>
        <w:t xml:space="preserve"> </w:t>
      </w:r>
      <w:r w:rsidR="00A558A6" w:rsidRPr="00A558A6">
        <w:rPr>
          <w:rFonts w:asciiTheme="majorHAnsi" w:hAnsiTheme="majorHAnsi"/>
          <w:sz w:val="20"/>
          <w:szCs w:val="20"/>
        </w:rPr>
        <w:t>)</w:t>
      </w:r>
    </w:p>
    <w:p w14:paraId="174EEDE6" w14:textId="77777777" w:rsidR="00840F53" w:rsidRPr="00A558A6" w:rsidRDefault="00840F53" w:rsidP="00840F53">
      <w:pPr>
        <w:spacing w:before="120"/>
        <w:ind w:left="720"/>
        <w:rPr>
          <w:rFonts w:asciiTheme="majorHAnsi" w:hAnsiTheme="majorHAnsi"/>
          <w:sz w:val="20"/>
          <w:szCs w:val="20"/>
        </w:rPr>
      </w:pPr>
      <w:r w:rsidRPr="00A558A6">
        <w:rPr>
          <w:rFonts w:asciiTheme="majorHAnsi" w:hAnsiTheme="majorHAnsi"/>
          <w:sz w:val="20"/>
          <w:szCs w:val="20"/>
        </w:rPr>
        <w:t>ATRT3 is scheduled to kick off in January 2017. Once Board takes action on implementation – one of improvements will be to have continuity: RT members to participate in implementation work with staff and Board.</w:t>
      </w:r>
    </w:p>
    <w:p w14:paraId="286F10A8" w14:textId="066368C5" w:rsidR="00840F53" w:rsidRPr="00A558A6" w:rsidRDefault="00840F53" w:rsidP="00840F53">
      <w:pPr>
        <w:spacing w:before="120"/>
        <w:ind w:left="720"/>
        <w:rPr>
          <w:rFonts w:asciiTheme="majorHAnsi" w:hAnsiTheme="majorHAnsi"/>
          <w:sz w:val="20"/>
          <w:szCs w:val="20"/>
        </w:rPr>
      </w:pPr>
      <w:r w:rsidRPr="00A558A6">
        <w:rPr>
          <w:rFonts w:asciiTheme="majorHAnsi" w:hAnsiTheme="majorHAnsi"/>
          <w:sz w:val="20"/>
          <w:szCs w:val="20"/>
        </w:rPr>
        <w:t>Do we wait for ATRT to finish? Discuss post ATRT3 – we can give them baseline.</w:t>
      </w:r>
    </w:p>
    <w:p w14:paraId="47DED2E6" w14:textId="12B5DD1E" w:rsidR="00840F53" w:rsidRPr="00A558A6" w:rsidRDefault="0022580C" w:rsidP="00840F53">
      <w:pPr>
        <w:spacing w:before="120"/>
        <w:ind w:left="720"/>
        <w:rPr>
          <w:rFonts w:asciiTheme="majorHAnsi" w:hAnsiTheme="majorHAnsi"/>
          <w:sz w:val="20"/>
          <w:szCs w:val="20"/>
        </w:rPr>
      </w:pPr>
      <w:r>
        <w:rPr>
          <w:rFonts w:asciiTheme="majorHAnsi" w:hAnsiTheme="majorHAnsi"/>
          <w:sz w:val="20"/>
          <w:szCs w:val="20"/>
        </w:rPr>
        <w:t xml:space="preserve">Do we want to feed into ATRT, </w:t>
      </w:r>
      <w:r w:rsidR="00840F53" w:rsidRPr="00A558A6">
        <w:rPr>
          <w:rFonts w:asciiTheme="majorHAnsi" w:hAnsiTheme="majorHAnsi"/>
          <w:sz w:val="20"/>
          <w:szCs w:val="20"/>
        </w:rPr>
        <w:t>post ATRT or both?</w:t>
      </w:r>
    </w:p>
    <w:p w14:paraId="4A4DA18A" w14:textId="2EB703F7" w:rsidR="00840F53" w:rsidRPr="00A558A6" w:rsidRDefault="00840F53" w:rsidP="00840F53">
      <w:pPr>
        <w:spacing w:before="120"/>
        <w:ind w:left="720"/>
        <w:rPr>
          <w:rFonts w:asciiTheme="majorHAnsi" w:hAnsiTheme="majorHAnsi"/>
          <w:sz w:val="20"/>
          <w:szCs w:val="20"/>
        </w:rPr>
      </w:pPr>
      <w:r w:rsidRPr="00A558A6">
        <w:rPr>
          <w:rFonts w:asciiTheme="majorHAnsi" w:hAnsiTheme="majorHAnsi"/>
          <w:sz w:val="20"/>
          <w:szCs w:val="20"/>
        </w:rPr>
        <w:t>We should refer to ATRT – not feed into ATRT.</w:t>
      </w:r>
    </w:p>
    <w:p w14:paraId="1F3AF8C3" w14:textId="3E1FEFA0" w:rsidR="00840F53" w:rsidRPr="00A558A6" w:rsidRDefault="00840F53" w:rsidP="00840F53">
      <w:pPr>
        <w:spacing w:before="120"/>
        <w:ind w:left="720"/>
        <w:rPr>
          <w:rFonts w:asciiTheme="majorHAnsi" w:hAnsiTheme="majorHAnsi"/>
          <w:sz w:val="20"/>
          <w:szCs w:val="20"/>
        </w:rPr>
      </w:pPr>
      <w:r w:rsidRPr="00A558A6">
        <w:rPr>
          <w:rFonts w:asciiTheme="majorHAnsi" w:hAnsiTheme="majorHAnsi"/>
          <w:sz w:val="20"/>
          <w:szCs w:val="20"/>
        </w:rPr>
        <w:t>10 months/22 months is kick-off date from now on to transfer to a group that may not exist for a review. They may or may not have desired focus to work on list. We need to make decision once informed.</w:t>
      </w:r>
    </w:p>
    <w:p w14:paraId="2A9E3462" w14:textId="6A389F3F" w:rsidR="00840F53" w:rsidRPr="00A558A6" w:rsidRDefault="00840F53" w:rsidP="00840F53">
      <w:pPr>
        <w:spacing w:before="120"/>
        <w:ind w:left="720"/>
        <w:rPr>
          <w:rFonts w:asciiTheme="majorHAnsi" w:hAnsiTheme="majorHAnsi"/>
          <w:sz w:val="20"/>
          <w:szCs w:val="20"/>
        </w:rPr>
      </w:pPr>
      <w:r w:rsidRPr="00A558A6">
        <w:rPr>
          <w:rFonts w:asciiTheme="majorHAnsi" w:hAnsiTheme="majorHAnsi"/>
          <w:sz w:val="20"/>
          <w:szCs w:val="20"/>
        </w:rPr>
        <w:t>Concern about mixing ATRT3 and Work Stream 2. ATRT is evaluation group – changes how accepted/reviewed. It is a different work basket.</w:t>
      </w:r>
    </w:p>
    <w:p w14:paraId="058BD223" w14:textId="4717249C" w:rsidR="00840F53" w:rsidRPr="00A558A6" w:rsidRDefault="00840F53" w:rsidP="00840F53">
      <w:pPr>
        <w:spacing w:before="120"/>
        <w:ind w:left="720"/>
        <w:rPr>
          <w:rFonts w:asciiTheme="majorHAnsi" w:hAnsiTheme="majorHAnsi"/>
          <w:sz w:val="20"/>
          <w:szCs w:val="20"/>
        </w:rPr>
      </w:pPr>
      <w:r w:rsidRPr="00A558A6">
        <w:rPr>
          <w:rFonts w:asciiTheme="majorHAnsi" w:hAnsiTheme="majorHAnsi"/>
          <w:sz w:val="20"/>
          <w:szCs w:val="20"/>
        </w:rPr>
        <w:t>Let’s not make assumptions about ATRT3 until it has started. As soon as it is up and running, important coordination will be needed to avoid duplication of efforts and optimize resource management, including volunteer time and resources.</w:t>
      </w:r>
    </w:p>
    <w:p w14:paraId="462D94A8" w14:textId="77777777" w:rsidR="00525E93" w:rsidRPr="00A558A6" w:rsidRDefault="00525E93" w:rsidP="00840F53">
      <w:pPr>
        <w:ind w:left="720"/>
        <w:rPr>
          <w:rFonts w:asciiTheme="majorHAnsi" w:hAnsiTheme="majorHAnsi"/>
          <w:sz w:val="20"/>
          <w:szCs w:val="20"/>
        </w:rPr>
      </w:pPr>
    </w:p>
    <w:p w14:paraId="2C5F04D4" w14:textId="586324E5" w:rsidR="00E429CC" w:rsidRPr="00A558A6" w:rsidRDefault="00E429CC" w:rsidP="00525630">
      <w:pPr>
        <w:rPr>
          <w:rFonts w:asciiTheme="majorHAnsi" w:hAnsiTheme="majorHAnsi"/>
          <w:sz w:val="20"/>
          <w:szCs w:val="20"/>
        </w:rPr>
      </w:pPr>
      <w:r w:rsidRPr="00A558A6">
        <w:rPr>
          <w:rFonts w:asciiTheme="majorHAnsi" w:hAnsiTheme="majorHAnsi"/>
          <w:sz w:val="20"/>
          <w:szCs w:val="20"/>
        </w:rPr>
        <w:t xml:space="preserve">CCWG </w:t>
      </w:r>
      <w:r w:rsidR="0022580C">
        <w:rPr>
          <w:rFonts w:asciiTheme="majorHAnsi" w:hAnsiTheme="majorHAnsi"/>
          <w:sz w:val="20"/>
          <w:szCs w:val="20"/>
        </w:rPr>
        <w:t>published proposed bylaws on 20-</w:t>
      </w:r>
      <w:r w:rsidRPr="00A558A6">
        <w:rPr>
          <w:rFonts w:asciiTheme="majorHAnsi" w:hAnsiTheme="majorHAnsi"/>
          <w:sz w:val="20"/>
          <w:szCs w:val="20"/>
        </w:rPr>
        <w:t xml:space="preserve">Apr-2016, at </w:t>
      </w:r>
      <w:hyperlink r:id="rId12" w:history="1">
        <w:r w:rsidRPr="00A558A6">
          <w:rPr>
            <w:rStyle w:val="Hyperlink"/>
            <w:rFonts w:asciiTheme="majorHAnsi" w:hAnsiTheme="majorHAnsi"/>
            <w:sz w:val="20"/>
            <w:szCs w:val="20"/>
          </w:rPr>
          <w:t>https://www.icann.org/en/system/files/files/proposed-new-bylaws-20apr16-en.pdf</w:t>
        </w:r>
      </w:hyperlink>
    </w:p>
    <w:p w14:paraId="649F926D" w14:textId="77777777" w:rsidR="00E429CC" w:rsidRPr="00A558A6" w:rsidRDefault="00E429CC" w:rsidP="00525630">
      <w:pPr>
        <w:rPr>
          <w:rFonts w:asciiTheme="majorHAnsi" w:hAnsiTheme="majorHAnsi"/>
          <w:sz w:val="20"/>
          <w:szCs w:val="20"/>
        </w:rPr>
      </w:pPr>
    </w:p>
    <w:p w14:paraId="48BB08B3" w14:textId="4662358C" w:rsidR="00525630" w:rsidRPr="00D5499C" w:rsidRDefault="00525630" w:rsidP="00525630">
      <w:pPr>
        <w:rPr>
          <w:rFonts w:asciiTheme="majorHAnsi" w:hAnsiTheme="majorHAnsi"/>
          <w:b/>
          <w:i/>
          <w:sz w:val="20"/>
          <w:szCs w:val="20"/>
        </w:rPr>
      </w:pPr>
      <w:r w:rsidRPr="00D5499C">
        <w:rPr>
          <w:rFonts w:asciiTheme="majorHAnsi" w:hAnsiTheme="majorHAnsi"/>
          <w:b/>
          <w:i/>
          <w:sz w:val="20"/>
          <w:szCs w:val="20"/>
        </w:rPr>
        <w:t xml:space="preserve">What do </w:t>
      </w:r>
      <w:r w:rsidR="00E429CC" w:rsidRPr="00D5499C">
        <w:rPr>
          <w:rFonts w:asciiTheme="majorHAnsi" w:hAnsiTheme="majorHAnsi"/>
          <w:b/>
          <w:i/>
          <w:sz w:val="20"/>
          <w:szCs w:val="20"/>
        </w:rPr>
        <w:t xml:space="preserve">the </w:t>
      </w:r>
      <w:r w:rsidRPr="00D5499C">
        <w:rPr>
          <w:rFonts w:asciiTheme="majorHAnsi" w:hAnsiTheme="majorHAnsi"/>
          <w:b/>
          <w:i/>
          <w:sz w:val="20"/>
          <w:szCs w:val="20"/>
        </w:rPr>
        <w:t xml:space="preserve">proposed bylaws require </w:t>
      </w:r>
      <w:r w:rsidR="00E429CC" w:rsidRPr="00D5499C">
        <w:rPr>
          <w:rFonts w:asciiTheme="majorHAnsi" w:hAnsiTheme="majorHAnsi"/>
          <w:b/>
          <w:i/>
          <w:sz w:val="20"/>
          <w:szCs w:val="20"/>
        </w:rPr>
        <w:t>for</w:t>
      </w:r>
      <w:r w:rsidRPr="00D5499C">
        <w:rPr>
          <w:rFonts w:asciiTheme="majorHAnsi" w:hAnsiTheme="majorHAnsi"/>
          <w:b/>
          <w:i/>
          <w:sz w:val="20"/>
          <w:szCs w:val="20"/>
        </w:rPr>
        <w:t xml:space="preserve"> implementation of WS2?</w:t>
      </w:r>
      <w:r w:rsidR="001F745D" w:rsidRPr="00D5499C">
        <w:rPr>
          <w:rFonts w:asciiTheme="majorHAnsi" w:hAnsiTheme="majorHAnsi"/>
          <w:b/>
          <w:i/>
          <w:sz w:val="20"/>
          <w:szCs w:val="20"/>
        </w:rPr>
        <w:t xml:space="preserve">  (</w:t>
      </w:r>
      <w:r w:rsidR="00E429CC" w:rsidRPr="00D5499C">
        <w:rPr>
          <w:rFonts w:asciiTheme="majorHAnsi" w:hAnsiTheme="majorHAnsi"/>
          <w:b/>
          <w:i/>
          <w:sz w:val="20"/>
          <w:szCs w:val="20"/>
        </w:rPr>
        <w:t>pp 135-6</w:t>
      </w:r>
      <w:r w:rsidR="001F745D" w:rsidRPr="00D5499C">
        <w:rPr>
          <w:rFonts w:asciiTheme="majorHAnsi" w:hAnsiTheme="majorHAnsi"/>
          <w:b/>
          <w:i/>
          <w:sz w:val="20"/>
          <w:szCs w:val="20"/>
        </w:rPr>
        <w:t>):</w:t>
      </w:r>
    </w:p>
    <w:p w14:paraId="1A0AD3A1" w14:textId="77777777" w:rsidR="001F745D" w:rsidRPr="00A558A6" w:rsidRDefault="001F745D" w:rsidP="001F745D">
      <w:pPr>
        <w:spacing w:before="120"/>
        <w:ind w:left="720"/>
        <w:rPr>
          <w:rFonts w:asciiTheme="majorHAnsi" w:hAnsiTheme="majorHAnsi"/>
          <w:b/>
          <w:sz w:val="20"/>
          <w:szCs w:val="20"/>
        </w:rPr>
      </w:pPr>
      <w:r w:rsidRPr="00A558A6">
        <w:rPr>
          <w:rFonts w:asciiTheme="majorHAnsi" w:hAnsiTheme="majorHAnsi"/>
          <w:b/>
          <w:sz w:val="20"/>
          <w:szCs w:val="20"/>
        </w:rPr>
        <w:t>Section 27.2.  WORK STREAM 2</w:t>
      </w:r>
    </w:p>
    <w:p w14:paraId="2C6596D7" w14:textId="417B9112" w:rsidR="001F745D" w:rsidRPr="00A558A6" w:rsidRDefault="001F745D" w:rsidP="001F745D">
      <w:pPr>
        <w:spacing w:before="120"/>
        <w:ind w:left="720"/>
        <w:rPr>
          <w:rFonts w:asciiTheme="majorHAnsi" w:hAnsiTheme="majorHAnsi"/>
          <w:sz w:val="20"/>
          <w:szCs w:val="20"/>
        </w:rPr>
      </w:pPr>
      <w:r w:rsidRPr="00A558A6">
        <w:rPr>
          <w:rFonts w:asciiTheme="majorHAnsi" w:hAnsiTheme="majorHAnsi"/>
          <w:sz w:val="20"/>
          <w:szCs w:val="20"/>
        </w:rPr>
        <w:t>(a)  The Cross-Community Working Group on Enhancing ICANN Accountability was established pursuant to a charter dated 3 November 2014 (“CCWG-Accountability”).  The charter of the CCWG-Accountability was subsequently adopted by the GNSO, ALAC, ccNSO, GAC, ASO and SSAC (“CCWG Chartering Organizations”). Such Charter of the CCWG-Accountability as in effect on 2 April 2016 shall remain in effect throughout Work Stream 2 (as defined therein).</w:t>
      </w:r>
    </w:p>
    <w:p w14:paraId="5058774B" w14:textId="0F002DEB" w:rsidR="001F745D" w:rsidRPr="00A558A6" w:rsidRDefault="001F745D" w:rsidP="001F745D">
      <w:pPr>
        <w:spacing w:before="120"/>
        <w:ind w:left="720"/>
        <w:rPr>
          <w:rFonts w:asciiTheme="majorHAnsi" w:hAnsiTheme="majorHAnsi"/>
          <w:sz w:val="20"/>
          <w:szCs w:val="20"/>
        </w:rPr>
      </w:pPr>
      <w:r w:rsidRPr="00A558A6">
        <w:rPr>
          <w:rFonts w:asciiTheme="majorHAnsi" w:hAnsiTheme="majorHAnsi"/>
          <w:sz w:val="20"/>
          <w:szCs w:val="20"/>
        </w:rPr>
        <w:t>(b)  The CCWG-Accountability recommended in its Supplemental Final Proposal on Work Stream 1 Recommendations to the Board, dated 23 February 2016 (“CCWG-Accountability Final Report”) that the below matters be reviewed and developed following the adoption of the New Bylaws (“Work Stream 2 Matters”), in each case, to the extent set forth in the CCWG-Accountability Final Report:</w:t>
      </w:r>
    </w:p>
    <w:p w14:paraId="6CE55322" w14:textId="77777777" w:rsidR="001F745D" w:rsidRPr="00A558A6" w:rsidRDefault="001F745D" w:rsidP="001F745D">
      <w:pPr>
        <w:spacing w:before="120"/>
        <w:ind w:left="1440"/>
        <w:rPr>
          <w:rFonts w:asciiTheme="majorHAnsi" w:hAnsiTheme="majorHAnsi"/>
          <w:sz w:val="20"/>
          <w:szCs w:val="20"/>
        </w:rPr>
      </w:pPr>
      <w:r w:rsidRPr="00A558A6">
        <w:rPr>
          <w:rFonts w:asciiTheme="majorHAnsi" w:hAnsiTheme="majorHAnsi"/>
          <w:sz w:val="20"/>
          <w:szCs w:val="20"/>
        </w:rPr>
        <w:t>(i)</w:t>
      </w:r>
      <w:r w:rsidRPr="00A558A6">
        <w:rPr>
          <w:rFonts w:asciiTheme="majorHAnsi" w:hAnsiTheme="majorHAnsi"/>
          <w:sz w:val="20"/>
          <w:szCs w:val="20"/>
        </w:rPr>
        <w:tab/>
        <w:t>Improvements to ICANN’s standards for diversity at all levels;</w:t>
      </w:r>
    </w:p>
    <w:p w14:paraId="34B325DB" w14:textId="77777777" w:rsidR="001F745D" w:rsidRPr="00A558A6" w:rsidRDefault="001F745D" w:rsidP="001F745D">
      <w:pPr>
        <w:spacing w:before="120"/>
        <w:ind w:left="1440"/>
        <w:rPr>
          <w:rFonts w:asciiTheme="majorHAnsi" w:hAnsiTheme="majorHAnsi"/>
          <w:sz w:val="20"/>
          <w:szCs w:val="20"/>
        </w:rPr>
      </w:pPr>
      <w:r w:rsidRPr="00A558A6">
        <w:rPr>
          <w:rFonts w:asciiTheme="majorHAnsi" w:hAnsiTheme="majorHAnsi"/>
          <w:sz w:val="20"/>
          <w:szCs w:val="20"/>
        </w:rPr>
        <w:t>(ii)</w:t>
      </w:r>
      <w:r w:rsidRPr="00A558A6">
        <w:rPr>
          <w:rFonts w:asciiTheme="majorHAnsi" w:hAnsiTheme="majorHAnsi"/>
          <w:sz w:val="20"/>
          <w:szCs w:val="20"/>
        </w:rPr>
        <w:tab/>
        <w:t>ICANN staff accountability;</w:t>
      </w:r>
    </w:p>
    <w:p w14:paraId="57C0089E" w14:textId="77777777" w:rsidR="001F745D" w:rsidRPr="00A558A6" w:rsidRDefault="001F745D" w:rsidP="001F745D">
      <w:pPr>
        <w:spacing w:before="120"/>
        <w:ind w:left="1440"/>
        <w:rPr>
          <w:rFonts w:asciiTheme="majorHAnsi" w:hAnsiTheme="majorHAnsi"/>
          <w:sz w:val="20"/>
          <w:szCs w:val="20"/>
        </w:rPr>
      </w:pPr>
      <w:r w:rsidRPr="00A558A6">
        <w:rPr>
          <w:rFonts w:asciiTheme="majorHAnsi" w:hAnsiTheme="majorHAnsi"/>
          <w:sz w:val="20"/>
          <w:szCs w:val="20"/>
        </w:rPr>
        <w:t>(iii)</w:t>
      </w:r>
      <w:r w:rsidRPr="00A558A6">
        <w:rPr>
          <w:rFonts w:asciiTheme="majorHAnsi" w:hAnsiTheme="majorHAnsi"/>
          <w:sz w:val="20"/>
          <w:szCs w:val="20"/>
        </w:rPr>
        <w:tab/>
        <w:t>Supporting Organization and Advisory Committee accountability, including but not limited to improved processes for accountability, transparency, and participation that are helpful to prevent capture;</w:t>
      </w:r>
    </w:p>
    <w:p w14:paraId="7D1768DD" w14:textId="77777777" w:rsidR="001F745D" w:rsidRPr="00A558A6" w:rsidRDefault="001F745D" w:rsidP="001F745D">
      <w:pPr>
        <w:spacing w:before="120"/>
        <w:ind w:left="1440"/>
        <w:rPr>
          <w:rFonts w:asciiTheme="majorHAnsi" w:hAnsiTheme="majorHAnsi"/>
          <w:sz w:val="20"/>
          <w:szCs w:val="20"/>
        </w:rPr>
      </w:pPr>
      <w:r w:rsidRPr="00A558A6">
        <w:rPr>
          <w:rFonts w:asciiTheme="majorHAnsi" w:hAnsiTheme="majorHAnsi"/>
          <w:sz w:val="20"/>
          <w:szCs w:val="20"/>
        </w:rPr>
        <w:t>(iv)</w:t>
      </w:r>
      <w:r w:rsidRPr="00A558A6">
        <w:rPr>
          <w:rFonts w:asciiTheme="majorHAnsi" w:hAnsiTheme="majorHAnsi"/>
          <w:sz w:val="20"/>
          <w:szCs w:val="20"/>
        </w:rPr>
        <w:tab/>
        <w:t>Improvements to ICANN’s transparency, focusing on enactments to ICANN’s existing DIDP, transparency of ICANN’s interactions with governments, improvements to ICANN’s whistleblower policy and transparency of Board deliberations;</w:t>
      </w:r>
    </w:p>
    <w:p w14:paraId="061EF3D4" w14:textId="77777777" w:rsidR="001F745D" w:rsidRPr="00A558A6" w:rsidRDefault="001F745D" w:rsidP="001F745D">
      <w:pPr>
        <w:spacing w:before="120"/>
        <w:ind w:left="1440"/>
        <w:rPr>
          <w:rFonts w:asciiTheme="majorHAnsi" w:hAnsiTheme="majorHAnsi"/>
          <w:sz w:val="20"/>
          <w:szCs w:val="20"/>
        </w:rPr>
      </w:pPr>
      <w:r w:rsidRPr="00A558A6">
        <w:rPr>
          <w:rFonts w:asciiTheme="majorHAnsi" w:hAnsiTheme="majorHAnsi"/>
          <w:sz w:val="20"/>
          <w:szCs w:val="20"/>
        </w:rPr>
        <w:t>(v)</w:t>
      </w:r>
      <w:r w:rsidRPr="00A558A6">
        <w:rPr>
          <w:rFonts w:asciiTheme="majorHAnsi" w:hAnsiTheme="majorHAnsi"/>
          <w:sz w:val="20"/>
          <w:szCs w:val="20"/>
        </w:rPr>
        <w:tab/>
        <w:t>Developing and clarifying the FOI-HR (as defined in Section 27.3);</w:t>
      </w:r>
    </w:p>
    <w:p w14:paraId="6C7CC422" w14:textId="77777777" w:rsidR="001F745D" w:rsidRPr="00A558A6" w:rsidRDefault="001F745D" w:rsidP="001F745D">
      <w:pPr>
        <w:spacing w:before="120"/>
        <w:ind w:left="1440"/>
        <w:rPr>
          <w:rFonts w:asciiTheme="majorHAnsi" w:hAnsiTheme="majorHAnsi"/>
          <w:sz w:val="20"/>
          <w:szCs w:val="20"/>
        </w:rPr>
      </w:pPr>
      <w:r w:rsidRPr="00A558A6">
        <w:rPr>
          <w:rFonts w:asciiTheme="majorHAnsi" w:hAnsiTheme="majorHAnsi"/>
          <w:sz w:val="20"/>
          <w:szCs w:val="20"/>
        </w:rPr>
        <w:t>(vi)</w:t>
      </w:r>
      <w:r w:rsidRPr="00A558A6">
        <w:rPr>
          <w:rFonts w:asciiTheme="majorHAnsi" w:hAnsiTheme="majorHAnsi"/>
          <w:sz w:val="20"/>
          <w:szCs w:val="20"/>
        </w:rPr>
        <w:tab/>
        <w:t xml:space="preserve">Addressing jurisdiction-related questions; </w:t>
      </w:r>
    </w:p>
    <w:p w14:paraId="097D4E6E" w14:textId="77777777" w:rsidR="001F745D" w:rsidRPr="00A558A6" w:rsidRDefault="001F745D" w:rsidP="001F745D">
      <w:pPr>
        <w:spacing w:before="120"/>
        <w:ind w:left="1440"/>
        <w:rPr>
          <w:rFonts w:asciiTheme="majorHAnsi" w:hAnsiTheme="majorHAnsi"/>
          <w:sz w:val="20"/>
          <w:szCs w:val="20"/>
        </w:rPr>
      </w:pPr>
      <w:r w:rsidRPr="00A558A6">
        <w:rPr>
          <w:rFonts w:asciiTheme="majorHAnsi" w:hAnsiTheme="majorHAnsi"/>
          <w:sz w:val="20"/>
          <w:szCs w:val="20"/>
        </w:rPr>
        <w:t>(vii)</w:t>
      </w:r>
      <w:r w:rsidRPr="00A558A6">
        <w:rPr>
          <w:rFonts w:asciiTheme="majorHAnsi" w:hAnsiTheme="majorHAnsi"/>
          <w:sz w:val="20"/>
          <w:szCs w:val="20"/>
        </w:rPr>
        <w:tab/>
        <w:t>Considering enhancements to the Ombudsman’s role and function;</w:t>
      </w:r>
    </w:p>
    <w:p w14:paraId="27369207" w14:textId="77777777" w:rsidR="001F745D" w:rsidRPr="00A558A6" w:rsidRDefault="001F745D" w:rsidP="001F745D">
      <w:pPr>
        <w:spacing w:before="120"/>
        <w:ind w:left="1440"/>
        <w:rPr>
          <w:rFonts w:asciiTheme="majorHAnsi" w:hAnsiTheme="majorHAnsi"/>
          <w:sz w:val="20"/>
          <w:szCs w:val="20"/>
        </w:rPr>
      </w:pPr>
      <w:r w:rsidRPr="00A558A6">
        <w:rPr>
          <w:rFonts w:asciiTheme="majorHAnsi" w:hAnsiTheme="majorHAnsi"/>
          <w:sz w:val="20"/>
          <w:szCs w:val="20"/>
        </w:rPr>
        <w:t>(viii)</w:t>
      </w:r>
      <w:r w:rsidRPr="00A558A6">
        <w:rPr>
          <w:rFonts w:asciiTheme="majorHAnsi" w:hAnsiTheme="majorHAnsi"/>
          <w:sz w:val="20"/>
          <w:szCs w:val="20"/>
        </w:rPr>
        <w:tab/>
        <w:t>Guidelines for standards of conduct presumed to be in good faith associated with exercising removal of individual ICANN Board Directors; and</w:t>
      </w:r>
    </w:p>
    <w:p w14:paraId="66842654" w14:textId="368DF99C" w:rsidR="001F745D" w:rsidRPr="00A558A6" w:rsidRDefault="001F745D" w:rsidP="001F745D">
      <w:pPr>
        <w:spacing w:before="120"/>
        <w:ind w:left="1440"/>
        <w:rPr>
          <w:rFonts w:asciiTheme="majorHAnsi" w:hAnsiTheme="majorHAnsi"/>
          <w:sz w:val="20"/>
          <w:szCs w:val="20"/>
        </w:rPr>
      </w:pPr>
      <w:r w:rsidRPr="00A558A6">
        <w:rPr>
          <w:rFonts w:asciiTheme="majorHAnsi" w:hAnsiTheme="majorHAnsi"/>
          <w:sz w:val="20"/>
          <w:szCs w:val="20"/>
        </w:rPr>
        <w:t>(ix)</w:t>
      </w:r>
      <w:r w:rsidRPr="00A558A6">
        <w:rPr>
          <w:rFonts w:asciiTheme="majorHAnsi" w:hAnsiTheme="majorHAnsi"/>
          <w:sz w:val="20"/>
          <w:szCs w:val="20"/>
        </w:rPr>
        <w:tab/>
        <w:t>Reviewing the CEP (as set forth in Section 4.3).</w:t>
      </w:r>
    </w:p>
    <w:p w14:paraId="5E8CC56E" w14:textId="7998F9A7" w:rsidR="001F745D" w:rsidRPr="00A558A6" w:rsidRDefault="001F745D" w:rsidP="001F745D">
      <w:pPr>
        <w:spacing w:before="120"/>
        <w:ind w:left="720"/>
        <w:rPr>
          <w:rFonts w:asciiTheme="majorHAnsi" w:hAnsiTheme="majorHAnsi"/>
          <w:sz w:val="20"/>
          <w:szCs w:val="20"/>
        </w:rPr>
      </w:pPr>
      <w:r w:rsidRPr="00A558A6">
        <w:rPr>
          <w:rFonts w:asciiTheme="majorHAnsi" w:hAnsiTheme="majorHAnsi"/>
          <w:sz w:val="20"/>
          <w:szCs w:val="20"/>
        </w:rPr>
        <w:t>(c)</w:t>
      </w:r>
      <w:r w:rsidR="00E429CC" w:rsidRPr="00A558A6">
        <w:rPr>
          <w:rFonts w:asciiTheme="majorHAnsi" w:hAnsiTheme="majorHAnsi"/>
          <w:sz w:val="20"/>
          <w:szCs w:val="20"/>
        </w:rPr>
        <w:t xml:space="preserve"> As provided in the charter of the CCWG-Accountability and the Board’s 2014.10.16.16 resolution, the Board shall consider consensus-based recommendations from the CCWG-Accountability on Work Stream 2 Matters (“</w:t>
      </w:r>
      <w:r w:rsidR="00E429CC" w:rsidRPr="00A558A6">
        <w:rPr>
          <w:rFonts w:asciiTheme="majorHAnsi" w:hAnsiTheme="majorHAnsi"/>
          <w:b/>
          <w:bCs/>
          <w:sz w:val="20"/>
          <w:szCs w:val="20"/>
        </w:rPr>
        <w:t>Work Stream 2 Recommendations</w:t>
      </w:r>
      <w:r w:rsidR="00E429CC" w:rsidRPr="00A558A6">
        <w:rPr>
          <w:rFonts w:asciiTheme="majorHAnsi" w:hAnsiTheme="majorHAnsi"/>
          <w:sz w:val="20"/>
          <w:szCs w:val="20"/>
        </w:rPr>
        <w:t>”) with the same process and criteria it committed to using to consider the CCWG-Accountability recommendations in the CCWG-Accountability Final Report (</w:t>
      </w:r>
      <w:r w:rsidR="00E429CC" w:rsidRPr="00A558A6">
        <w:rPr>
          <w:rFonts w:asciiTheme="majorHAnsi" w:hAnsiTheme="majorHAnsi"/>
          <w:b/>
          <w:sz w:val="20"/>
          <w:szCs w:val="20"/>
        </w:rPr>
        <w:t>“Work Stream 1 Recommendations”</w:t>
      </w:r>
      <w:r w:rsidR="00E429CC" w:rsidRPr="00A558A6">
        <w:rPr>
          <w:rFonts w:asciiTheme="majorHAnsi" w:hAnsiTheme="majorHAnsi"/>
          <w:sz w:val="20"/>
          <w:szCs w:val="20"/>
        </w:rPr>
        <w:t>). For avoidance of doubt, that process and criteria includes:</w:t>
      </w:r>
    </w:p>
    <w:p w14:paraId="5E3FA160" w14:textId="095A0C0B" w:rsidR="00E429CC" w:rsidRPr="00A558A6" w:rsidRDefault="001F745D" w:rsidP="001F745D">
      <w:pPr>
        <w:spacing w:before="120"/>
        <w:ind w:left="1080"/>
        <w:rPr>
          <w:rFonts w:asciiTheme="majorHAnsi" w:hAnsiTheme="majorHAnsi"/>
          <w:sz w:val="20"/>
          <w:szCs w:val="20"/>
        </w:rPr>
      </w:pPr>
      <w:r w:rsidRPr="00A558A6">
        <w:rPr>
          <w:rFonts w:asciiTheme="majorHAnsi" w:hAnsiTheme="majorHAnsi"/>
          <w:sz w:val="20"/>
          <w:szCs w:val="20"/>
        </w:rPr>
        <w:t xml:space="preserve">(i) </w:t>
      </w:r>
      <w:r w:rsidR="00E429CC" w:rsidRPr="00A558A6">
        <w:rPr>
          <w:rFonts w:asciiTheme="majorHAnsi" w:hAnsiTheme="majorHAnsi"/>
          <w:sz w:val="20"/>
          <w:szCs w:val="20"/>
        </w:rPr>
        <w:t>All Work Stream 2 Recommendations must further the following principles:</w:t>
      </w:r>
    </w:p>
    <w:p w14:paraId="4A1EC913" w14:textId="3ADD9BF7" w:rsidR="00E429CC" w:rsidRPr="00A558A6" w:rsidRDefault="001F745D" w:rsidP="001F745D">
      <w:pPr>
        <w:pStyle w:val="ARTACAPL3"/>
        <w:numPr>
          <w:ilvl w:val="0"/>
          <w:numId w:val="0"/>
        </w:numPr>
        <w:spacing w:before="120" w:after="0"/>
        <w:ind w:left="1800" w:hanging="360"/>
        <w:rPr>
          <w:rFonts w:asciiTheme="majorHAnsi" w:hAnsiTheme="majorHAnsi"/>
          <w:sz w:val="20"/>
        </w:rPr>
      </w:pPr>
      <w:r w:rsidRPr="00A558A6">
        <w:rPr>
          <w:rFonts w:asciiTheme="majorHAnsi" w:hAnsiTheme="majorHAnsi"/>
          <w:sz w:val="20"/>
        </w:rPr>
        <w:t xml:space="preserve">(A)  </w:t>
      </w:r>
      <w:r w:rsidR="00E429CC" w:rsidRPr="00A558A6">
        <w:rPr>
          <w:rFonts w:asciiTheme="majorHAnsi" w:hAnsiTheme="majorHAnsi"/>
          <w:sz w:val="20"/>
        </w:rPr>
        <w:t>Support and enhance the multistakeholder model;</w:t>
      </w:r>
    </w:p>
    <w:p w14:paraId="1A14B8A5" w14:textId="62B5376F" w:rsidR="00E429CC" w:rsidRPr="00A558A6" w:rsidRDefault="001F745D" w:rsidP="001F745D">
      <w:pPr>
        <w:pStyle w:val="ARTACAPL3"/>
        <w:numPr>
          <w:ilvl w:val="0"/>
          <w:numId w:val="0"/>
        </w:numPr>
        <w:spacing w:before="120" w:after="0"/>
        <w:ind w:left="1800" w:hanging="360"/>
        <w:rPr>
          <w:rFonts w:asciiTheme="majorHAnsi" w:hAnsiTheme="majorHAnsi"/>
          <w:sz w:val="20"/>
        </w:rPr>
      </w:pPr>
      <w:r w:rsidRPr="00A558A6">
        <w:rPr>
          <w:rFonts w:asciiTheme="majorHAnsi" w:hAnsiTheme="majorHAnsi"/>
          <w:sz w:val="20"/>
        </w:rPr>
        <w:t xml:space="preserve">(B) </w:t>
      </w:r>
      <w:r w:rsidR="00E429CC" w:rsidRPr="00A558A6">
        <w:rPr>
          <w:rFonts w:asciiTheme="majorHAnsi" w:hAnsiTheme="majorHAnsi"/>
          <w:sz w:val="20"/>
        </w:rPr>
        <w:t>Maintain the security, stability and resiliency of the DNS;</w:t>
      </w:r>
    </w:p>
    <w:p w14:paraId="27FC4425" w14:textId="0A6ED53C" w:rsidR="00E429CC" w:rsidRPr="00A558A6" w:rsidRDefault="001F745D" w:rsidP="001F745D">
      <w:pPr>
        <w:pStyle w:val="ARTACAPL3"/>
        <w:numPr>
          <w:ilvl w:val="0"/>
          <w:numId w:val="0"/>
        </w:numPr>
        <w:spacing w:before="120" w:after="0"/>
        <w:ind w:left="1800" w:hanging="360"/>
        <w:rPr>
          <w:rFonts w:asciiTheme="majorHAnsi" w:hAnsiTheme="majorHAnsi"/>
          <w:sz w:val="20"/>
        </w:rPr>
      </w:pPr>
      <w:r w:rsidRPr="00A558A6">
        <w:rPr>
          <w:rFonts w:asciiTheme="majorHAnsi" w:hAnsiTheme="majorHAnsi"/>
          <w:sz w:val="20"/>
        </w:rPr>
        <w:t xml:space="preserve">(C) </w:t>
      </w:r>
      <w:r w:rsidR="00E429CC" w:rsidRPr="00A558A6">
        <w:rPr>
          <w:rFonts w:asciiTheme="majorHAnsi" w:hAnsiTheme="majorHAnsi"/>
          <w:sz w:val="20"/>
        </w:rPr>
        <w:t>Meet the needs and expectations of the global customers and partners of the IANA services;</w:t>
      </w:r>
    </w:p>
    <w:p w14:paraId="13CF0DBF" w14:textId="2AF9559B" w:rsidR="00E429CC" w:rsidRPr="00A558A6" w:rsidRDefault="001F745D" w:rsidP="001F745D">
      <w:pPr>
        <w:pStyle w:val="ARTACAPL3"/>
        <w:numPr>
          <w:ilvl w:val="0"/>
          <w:numId w:val="0"/>
        </w:numPr>
        <w:spacing w:before="120" w:after="0"/>
        <w:ind w:left="1800" w:hanging="360"/>
        <w:rPr>
          <w:rFonts w:asciiTheme="majorHAnsi" w:hAnsiTheme="majorHAnsi"/>
          <w:sz w:val="20"/>
        </w:rPr>
      </w:pPr>
      <w:r w:rsidRPr="00A558A6">
        <w:rPr>
          <w:rFonts w:asciiTheme="majorHAnsi" w:hAnsiTheme="majorHAnsi"/>
          <w:sz w:val="20"/>
        </w:rPr>
        <w:t xml:space="preserve">(D) </w:t>
      </w:r>
      <w:r w:rsidR="00E429CC" w:rsidRPr="00A558A6">
        <w:rPr>
          <w:rFonts w:asciiTheme="majorHAnsi" w:hAnsiTheme="majorHAnsi"/>
          <w:sz w:val="20"/>
        </w:rPr>
        <w:t>Maintain the openness of the Internet; and</w:t>
      </w:r>
    </w:p>
    <w:p w14:paraId="20FD75C7" w14:textId="6F5E82A3" w:rsidR="001F745D" w:rsidRPr="00A558A6" w:rsidRDefault="001F745D" w:rsidP="001F745D">
      <w:pPr>
        <w:pStyle w:val="ARTACAPL3"/>
        <w:numPr>
          <w:ilvl w:val="0"/>
          <w:numId w:val="0"/>
        </w:numPr>
        <w:spacing w:before="120" w:after="0"/>
        <w:ind w:left="1440"/>
        <w:rPr>
          <w:rFonts w:asciiTheme="majorHAnsi" w:hAnsiTheme="majorHAnsi"/>
          <w:sz w:val="20"/>
        </w:rPr>
      </w:pPr>
      <w:r w:rsidRPr="00A558A6">
        <w:rPr>
          <w:rFonts w:asciiTheme="majorHAnsi" w:hAnsiTheme="majorHAnsi"/>
          <w:sz w:val="20"/>
        </w:rPr>
        <w:t xml:space="preserve">(E) </w:t>
      </w:r>
      <w:r w:rsidR="00E429CC" w:rsidRPr="00A558A6">
        <w:rPr>
          <w:rFonts w:asciiTheme="majorHAnsi" w:hAnsiTheme="majorHAnsi"/>
          <w:sz w:val="20"/>
        </w:rPr>
        <w:t>Not result in ICANN becoming a government-led or an inter-governmental organization.</w:t>
      </w:r>
    </w:p>
    <w:p w14:paraId="1C5098E7" w14:textId="450BC3AC" w:rsidR="001F745D" w:rsidRPr="00A558A6" w:rsidRDefault="001F745D" w:rsidP="001F745D">
      <w:pPr>
        <w:spacing w:before="120"/>
        <w:ind w:left="1080"/>
        <w:rPr>
          <w:rFonts w:asciiTheme="majorHAnsi" w:hAnsiTheme="majorHAnsi"/>
          <w:sz w:val="20"/>
          <w:szCs w:val="20"/>
        </w:rPr>
      </w:pPr>
      <w:r w:rsidRPr="00A558A6">
        <w:rPr>
          <w:rFonts w:asciiTheme="majorHAnsi" w:hAnsiTheme="majorHAnsi"/>
          <w:sz w:val="20"/>
          <w:szCs w:val="20"/>
        </w:rPr>
        <w:t xml:space="preserve">(ii) </w:t>
      </w:r>
      <w:r w:rsidR="00E429CC" w:rsidRPr="00A558A6">
        <w:rPr>
          <w:rFonts w:asciiTheme="majorHAnsi" w:hAnsiTheme="majorHAnsi"/>
          <w:sz w:val="20"/>
          <w:szCs w:val="20"/>
        </w:rPr>
        <w:t xml:space="preserve">If the Board determines, by a vote of a two-thirds majority of the Board, that it is not in the global public interest to implement a Work Stream 2 Recommendation, it must initiate a dialogue with the CCWG-Accountability. </w:t>
      </w:r>
    </w:p>
    <w:p w14:paraId="26334975" w14:textId="0AA05C90" w:rsidR="001F745D" w:rsidRPr="00A558A6" w:rsidRDefault="001F745D" w:rsidP="001F745D">
      <w:pPr>
        <w:spacing w:before="120"/>
        <w:ind w:left="1080"/>
        <w:rPr>
          <w:rFonts w:asciiTheme="majorHAnsi" w:hAnsiTheme="majorHAnsi"/>
          <w:sz w:val="20"/>
          <w:szCs w:val="20"/>
        </w:rPr>
      </w:pPr>
      <w:r w:rsidRPr="00A558A6">
        <w:rPr>
          <w:rFonts w:asciiTheme="majorHAnsi" w:hAnsiTheme="majorHAnsi"/>
          <w:sz w:val="20"/>
          <w:szCs w:val="20"/>
        </w:rPr>
        <w:t xml:space="preserve">(iii) </w:t>
      </w:r>
      <w:r w:rsidR="00E429CC" w:rsidRPr="00A558A6">
        <w:rPr>
          <w:rFonts w:asciiTheme="majorHAnsi" w:hAnsiTheme="majorHAnsi"/>
          <w:sz w:val="20"/>
          <w:szCs w:val="20"/>
        </w:rPr>
        <w:t>The Board shall provide detailed rationale to accompany the initiation of dialogue. The Board and the CCWG-Accountability shall mutually agree upon the method (e.g., by teleconference, email or otherwise) by which the dialogue will occur. Discussions shall be held in good faith and in a timely and efficient manner in an effort to find a mutually acceptable solution.</w:t>
      </w:r>
    </w:p>
    <w:p w14:paraId="1895DEBB" w14:textId="3E812F4B" w:rsidR="001F745D" w:rsidRPr="00A558A6" w:rsidRDefault="001F745D" w:rsidP="001F745D">
      <w:pPr>
        <w:spacing w:before="120"/>
        <w:ind w:left="1080"/>
        <w:rPr>
          <w:rFonts w:asciiTheme="majorHAnsi" w:hAnsiTheme="majorHAnsi"/>
          <w:sz w:val="20"/>
          <w:szCs w:val="20"/>
        </w:rPr>
      </w:pPr>
      <w:r w:rsidRPr="00A558A6">
        <w:rPr>
          <w:rFonts w:asciiTheme="majorHAnsi" w:hAnsiTheme="majorHAnsi"/>
          <w:sz w:val="20"/>
          <w:szCs w:val="20"/>
        </w:rPr>
        <w:t xml:space="preserve">(iv) </w:t>
      </w:r>
      <w:r w:rsidR="00E429CC" w:rsidRPr="00A558A6">
        <w:rPr>
          <w:rFonts w:asciiTheme="majorHAnsi" w:hAnsiTheme="majorHAnsi"/>
          <w:sz w:val="20"/>
          <w:szCs w:val="20"/>
        </w:rPr>
        <w:t>The CCWG-Accountability shall have an opportunity to address the Board’s concerns and report back to the Board on further deliberations regarding the Board’s concerns. The CCWG-Accountability shall discuss the Board’s concerns within 30 days of the Board’s initiation of the dialogue.</w:t>
      </w:r>
    </w:p>
    <w:p w14:paraId="1859978B" w14:textId="7D002BE1" w:rsidR="001F745D" w:rsidRPr="00A558A6" w:rsidRDefault="00E429CC" w:rsidP="001F745D">
      <w:pPr>
        <w:spacing w:before="120"/>
        <w:ind w:left="1080"/>
        <w:rPr>
          <w:rFonts w:asciiTheme="majorHAnsi" w:hAnsiTheme="majorHAnsi"/>
          <w:sz w:val="20"/>
          <w:szCs w:val="20"/>
        </w:rPr>
      </w:pPr>
      <w:r w:rsidRPr="00A558A6">
        <w:rPr>
          <w:rFonts w:asciiTheme="majorHAnsi" w:hAnsiTheme="majorHAnsi"/>
          <w:sz w:val="20"/>
          <w:szCs w:val="20"/>
        </w:rPr>
        <w:t>If a Work Stream 2 Recommendation is modified by the CCWG-Accountability, the CCWG-Accountability shall submit the modified Work Stream 2 Recommendation to the Board for further consideration along with detailed rationale on how the modification addresses the concerns raised by the Board.</w:t>
      </w:r>
    </w:p>
    <w:p w14:paraId="5F89D61B" w14:textId="57D9182C" w:rsidR="001F745D" w:rsidRPr="00A558A6" w:rsidRDefault="001F745D" w:rsidP="001F745D">
      <w:pPr>
        <w:spacing w:before="120"/>
        <w:ind w:left="1080"/>
        <w:rPr>
          <w:rFonts w:asciiTheme="majorHAnsi" w:hAnsiTheme="majorHAnsi"/>
          <w:sz w:val="20"/>
          <w:szCs w:val="20"/>
        </w:rPr>
      </w:pPr>
      <w:r w:rsidRPr="0022580C">
        <w:rPr>
          <w:rFonts w:asciiTheme="majorHAnsi" w:hAnsiTheme="majorHAnsi"/>
          <w:sz w:val="20"/>
          <w:szCs w:val="20"/>
          <w:highlight w:val="yellow"/>
        </w:rPr>
        <w:t xml:space="preserve">(v) </w:t>
      </w:r>
      <w:r w:rsidR="00E429CC" w:rsidRPr="0022580C">
        <w:rPr>
          <w:rFonts w:asciiTheme="majorHAnsi" w:hAnsiTheme="majorHAnsi"/>
          <w:sz w:val="20"/>
          <w:szCs w:val="20"/>
          <w:highlight w:val="yellow"/>
        </w:rPr>
        <w:t>If, after the CCWG-Accountability modifies a Work Stream 2 Recommendation, the Board still believes it is not in the global public interest to implement the Work Stream 2 Recommendation, the Board may, by a vote of a two-thirds majority of the Board, send the matter back to the CCWG-Accountability for further consideration. The Board shall provide detailed rationale to accompany its action. If the Board determines not to accept a modified version of a Work Stream 2 Recommendation, unless required by its fiduciary obligations, the Board shall not establish an alternative solution on the issue addressed by the Work Stream 2 Recommendation until such time as CCWG-Accountability and the Board reach agreement.</w:t>
      </w:r>
    </w:p>
    <w:p w14:paraId="64D3CE13" w14:textId="58CD523F" w:rsidR="001F745D" w:rsidRPr="00A558A6" w:rsidRDefault="001F745D" w:rsidP="001F745D">
      <w:pPr>
        <w:spacing w:before="120"/>
        <w:ind w:left="720"/>
        <w:rPr>
          <w:rFonts w:asciiTheme="majorHAnsi" w:hAnsiTheme="majorHAnsi"/>
          <w:sz w:val="20"/>
          <w:szCs w:val="20"/>
        </w:rPr>
      </w:pPr>
      <w:r w:rsidRPr="00A558A6">
        <w:rPr>
          <w:rFonts w:asciiTheme="majorHAnsi" w:hAnsiTheme="majorHAnsi"/>
          <w:sz w:val="20"/>
          <w:szCs w:val="20"/>
        </w:rPr>
        <w:t xml:space="preserve">(d)  </w:t>
      </w:r>
      <w:r w:rsidR="00E429CC" w:rsidRPr="00A558A6">
        <w:rPr>
          <w:rFonts w:asciiTheme="majorHAnsi" w:hAnsiTheme="majorHAnsi"/>
          <w:sz w:val="20"/>
          <w:szCs w:val="20"/>
        </w:rPr>
        <w:t>ICANN shall provide adequate support for work on Work Stream 2 Matters, within budgeting processes and limitations reasonably acceptable to the CCWG-Accountability.</w:t>
      </w:r>
    </w:p>
    <w:p w14:paraId="03604806" w14:textId="16F1E43A" w:rsidR="001F745D" w:rsidRPr="00A558A6" w:rsidRDefault="001F745D" w:rsidP="001F745D">
      <w:pPr>
        <w:spacing w:before="120"/>
        <w:ind w:left="720"/>
        <w:rPr>
          <w:rFonts w:asciiTheme="majorHAnsi" w:hAnsiTheme="majorHAnsi"/>
          <w:sz w:val="20"/>
          <w:szCs w:val="20"/>
        </w:rPr>
      </w:pPr>
      <w:r w:rsidRPr="00A558A6">
        <w:rPr>
          <w:rFonts w:asciiTheme="majorHAnsi" w:hAnsiTheme="majorHAnsi"/>
          <w:sz w:val="20"/>
          <w:szCs w:val="20"/>
        </w:rPr>
        <w:t xml:space="preserve">(e) </w:t>
      </w:r>
      <w:r w:rsidR="00E429CC" w:rsidRPr="00A558A6">
        <w:rPr>
          <w:rFonts w:asciiTheme="majorHAnsi" w:hAnsiTheme="majorHAnsi"/>
          <w:sz w:val="20"/>
          <w:szCs w:val="20"/>
        </w:rPr>
        <w:t xml:space="preserve">The Work Stream 2 Matters specifically referenced in </w:t>
      </w:r>
      <w:r w:rsidR="00E429CC" w:rsidRPr="00A558A6">
        <w:rPr>
          <w:rFonts w:asciiTheme="majorHAnsi" w:hAnsiTheme="majorHAnsi"/>
          <w:sz w:val="20"/>
          <w:szCs w:val="20"/>
          <w:u w:val="single"/>
        </w:rPr>
        <w:t>Section 27.2(b)</w:t>
      </w:r>
      <w:r w:rsidR="00E429CC" w:rsidRPr="00A558A6">
        <w:rPr>
          <w:rFonts w:asciiTheme="majorHAnsi" w:hAnsiTheme="majorHAnsi"/>
          <w:sz w:val="20"/>
          <w:szCs w:val="20"/>
        </w:rPr>
        <w:t xml:space="preserve"> shall be the only matters subject to this </w:t>
      </w:r>
      <w:r w:rsidR="00E429CC" w:rsidRPr="00A558A6">
        <w:rPr>
          <w:rFonts w:asciiTheme="majorHAnsi" w:hAnsiTheme="majorHAnsi"/>
          <w:sz w:val="20"/>
          <w:szCs w:val="20"/>
          <w:u w:val="single"/>
        </w:rPr>
        <w:t>Section 27.2</w:t>
      </w:r>
      <w:r w:rsidR="00E429CC" w:rsidRPr="00A558A6">
        <w:rPr>
          <w:rFonts w:asciiTheme="majorHAnsi" w:hAnsiTheme="majorHAnsi"/>
          <w:sz w:val="20"/>
          <w:szCs w:val="20"/>
        </w:rPr>
        <w:t xml:space="preserve"> and any other accountability enhancements should be developed through ICANN’s other procedures.</w:t>
      </w:r>
    </w:p>
    <w:p w14:paraId="531F6B9E" w14:textId="2C95A178" w:rsidR="00E429CC" w:rsidRPr="00A558A6" w:rsidRDefault="001F745D" w:rsidP="001F745D">
      <w:pPr>
        <w:spacing w:before="120"/>
        <w:ind w:left="720"/>
        <w:rPr>
          <w:rFonts w:asciiTheme="majorHAnsi" w:hAnsiTheme="majorHAnsi"/>
          <w:sz w:val="20"/>
          <w:szCs w:val="20"/>
        </w:rPr>
      </w:pPr>
      <w:r w:rsidRPr="00A558A6">
        <w:rPr>
          <w:rFonts w:asciiTheme="majorHAnsi" w:hAnsiTheme="majorHAnsi"/>
          <w:sz w:val="20"/>
          <w:szCs w:val="20"/>
        </w:rPr>
        <w:t xml:space="preserve">(f) </w:t>
      </w:r>
      <w:r w:rsidR="00E429CC" w:rsidRPr="00A558A6">
        <w:rPr>
          <w:rFonts w:asciiTheme="majorHAnsi" w:hAnsiTheme="majorHAnsi"/>
          <w:sz w:val="20"/>
          <w:szCs w:val="20"/>
        </w:rPr>
        <w:t xml:space="preserve">The outcomes of each Work Stream 2 Matter are not limited and could include a variety of recommendations or no recommendation; provided, however, that any resulting recommendations must directly relate to the matters discussed in </w:t>
      </w:r>
      <w:r w:rsidR="00E429CC" w:rsidRPr="00A558A6">
        <w:rPr>
          <w:rFonts w:asciiTheme="majorHAnsi" w:hAnsiTheme="majorHAnsi"/>
          <w:sz w:val="20"/>
          <w:szCs w:val="20"/>
          <w:u w:val="single"/>
        </w:rPr>
        <w:t>Section 27.2(b)</w:t>
      </w:r>
      <w:r w:rsidR="00E429CC" w:rsidRPr="00A558A6">
        <w:rPr>
          <w:rFonts w:asciiTheme="majorHAnsi" w:hAnsiTheme="majorHAnsi"/>
          <w:sz w:val="20"/>
          <w:szCs w:val="20"/>
        </w:rPr>
        <w:t>.</w:t>
      </w:r>
    </w:p>
    <w:p w14:paraId="171C9EAD" w14:textId="77777777" w:rsidR="00E429CC" w:rsidRPr="00A558A6" w:rsidRDefault="00E429CC" w:rsidP="001F745D">
      <w:pPr>
        <w:ind w:left="1440"/>
        <w:rPr>
          <w:rFonts w:asciiTheme="majorHAnsi" w:hAnsiTheme="majorHAnsi"/>
          <w:sz w:val="20"/>
          <w:szCs w:val="20"/>
        </w:rPr>
      </w:pPr>
    </w:p>
    <w:p w14:paraId="5B3308B9" w14:textId="77777777" w:rsidR="00405643" w:rsidRDefault="00405643" w:rsidP="0022580C">
      <w:pPr>
        <w:rPr>
          <w:rFonts w:asciiTheme="majorHAnsi" w:hAnsiTheme="majorHAnsi"/>
          <w:i/>
          <w:sz w:val="20"/>
          <w:szCs w:val="20"/>
        </w:rPr>
      </w:pPr>
    </w:p>
    <w:p w14:paraId="5A340A99" w14:textId="714F4477" w:rsidR="0022580C" w:rsidRPr="00D5499C" w:rsidRDefault="0022580C" w:rsidP="0022580C">
      <w:pPr>
        <w:rPr>
          <w:rFonts w:asciiTheme="majorHAnsi" w:hAnsiTheme="majorHAnsi"/>
          <w:b/>
          <w:i/>
          <w:sz w:val="20"/>
          <w:szCs w:val="20"/>
        </w:rPr>
      </w:pPr>
      <w:r w:rsidRPr="00D5499C">
        <w:rPr>
          <w:rFonts w:asciiTheme="majorHAnsi" w:hAnsiTheme="majorHAnsi"/>
          <w:b/>
          <w:i/>
          <w:sz w:val="20"/>
          <w:szCs w:val="20"/>
        </w:rPr>
        <w:t>What do proposed bylaws require for the AoC review of Accountability and Transparency (ATRT)?</w:t>
      </w:r>
    </w:p>
    <w:p w14:paraId="4F2FB250" w14:textId="77777777" w:rsidR="00855E13" w:rsidRPr="00A558A6" w:rsidRDefault="00855E13">
      <w:pPr>
        <w:rPr>
          <w:rFonts w:asciiTheme="majorHAnsi" w:hAnsiTheme="majorHAnsi"/>
          <w:sz w:val="20"/>
          <w:szCs w:val="20"/>
        </w:rPr>
      </w:pPr>
    </w:p>
    <w:p w14:paraId="19851575" w14:textId="6D7B2890" w:rsidR="00957B2A" w:rsidRPr="00A558A6" w:rsidRDefault="00957B2A">
      <w:pPr>
        <w:rPr>
          <w:rFonts w:asciiTheme="majorHAnsi" w:hAnsiTheme="majorHAnsi"/>
          <w:sz w:val="20"/>
          <w:szCs w:val="20"/>
        </w:rPr>
      </w:pPr>
      <w:r w:rsidRPr="00A558A6">
        <w:rPr>
          <w:rFonts w:asciiTheme="majorHAnsi" w:hAnsiTheme="majorHAnsi"/>
          <w:sz w:val="20"/>
          <w:szCs w:val="20"/>
        </w:rPr>
        <w:t xml:space="preserve">Independent experts: </w:t>
      </w:r>
    </w:p>
    <w:p w14:paraId="28D00A62" w14:textId="35530F53" w:rsidR="00957B2A" w:rsidRPr="00A558A6" w:rsidRDefault="00957B2A" w:rsidP="00957B2A">
      <w:pPr>
        <w:ind w:left="720"/>
        <w:rPr>
          <w:rFonts w:asciiTheme="majorHAnsi" w:hAnsiTheme="majorHAnsi"/>
          <w:sz w:val="20"/>
          <w:szCs w:val="20"/>
        </w:rPr>
      </w:pPr>
      <w:r w:rsidRPr="00A558A6">
        <w:rPr>
          <w:rFonts w:asciiTheme="majorHAnsi" w:hAnsiTheme="majorHAnsi"/>
          <w:sz w:val="20"/>
          <w:szCs w:val="20"/>
        </w:rPr>
        <w:t xml:space="preserve">Section 4.6 (a) (iv) “Review teams may also solicit and select independent experts to render advice as requested by the review team.”  </w:t>
      </w:r>
    </w:p>
    <w:p w14:paraId="1F756B5F" w14:textId="77777777" w:rsidR="00957B2A" w:rsidRPr="00A558A6" w:rsidRDefault="00957B2A">
      <w:pPr>
        <w:rPr>
          <w:rFonts w:asciiTheme="majorHAnsi" w:hAnsiTheme="majorHAnsi"/>
          <w:sz w:val="20"/>
          <w:szCs w:val="20"/>
        </w:rPr>
      </w:pPr>
    </w:p>
    <w:p w14:paraId="73D885C5" w14:textId="2194F808" w:rsidR="00855E13" w:rsidRPr="00A558A6" w:rsidRDefault="00855E13">
      <w:pPr>
        <w:rPr>
          <w:rFonts w:asciiTheme="majorHAnsi" w:hAnsiTheme="majorHAnsi"/>
          <w:sz w:val="20"/>
          <w:szCs w:val="20"/>
        </w:rPr>
      </w:pPr>
      <w:r w:rsidRPr="00A558A6">
        <w:rPr>
          <w:rFonts w:asciiTheme="majorHAnsi" w:hAnsiTheme="majorHAnsi"/>
          <w:sz w:val="20"/>
          <w:szCs w:val="20"/>
        </w:rPr>
        <w:t>Confidential disclosure to the review team</w:t>
      </w:r>
      <w:r w:rsidR="00957B2A" w:rsidRPr="00A558A6">
        <w:rPr>
          <w:rFonts w:asciiTheme="majorHAnsi" w:hAnsiTheme="majorHAnsi"/>
          <w:sz w:val="20"/>
          <w:szCs w:val="20"/>
        </w:rPr>
        <w:t>:</w:t>
      </w:r>
    </w:p>
    <w:p w14:paraId="13AA381F" w14:textId="77777777" w:rsidR="00957B2A" w:rsidRPr="00A558A6" w:rsidRDefault="00957B2A" w:rsidP="00957B2A">
      <w:pPr>
        <w:ind w:left="720"/>
        <w:rPr>
          <w:rFonts w:asciiTheme="majorHAnsi" w:hAnsiTheme="majorHAnsi"/>
          <w:sz w:val="20"/>
          <w:szCs w:val="20"/>
        </w:rPr>
      </w:pPr>
      <w:r w:rsidRPr="00A558A6">
        <w:rPr>
          <w:rFonts w:asciiTheme="majorHAnsi" w:hAnsiTheme="majorHAnsi"/>
          <w:sz w:val="20"/>
          <w:szCs w:val="20"/>
        </w:rPr>
        <w:t>Section 4.6 (a) (vi) “To facilitate transparency and openness regarding ICANN’s deliberations and operations, the Review Teams, or a subset thereof, shall have access to ICANN internal information and documents pursuant to the Confidential Disclosure Framework set forth in the Operating Standards. “</w:t>
      </w:r>
    </w:p>
    <w:p w14:paraId="1EE4C859" w14:textId="0437C01A" w:rsidR="00957B2A" w:rsidRPr="00A558A6" w:rsidRDefault="00957B2A" w:rsidP="00957B2A">
      <w:pPr>
        <w:ind w:left="720"/>
        <w:rPr>
          <w:rFonts w:asciiTheme="majorHAnsi" w:hAnsiTheme="majorHAnsi"/>
          <w:sz w:val="20"/>
          <w:szCs w:val="20"/>
        </w:rPr>
      </w:pPr>
      <w:r w:rsidRPr="00A558A6">
        <w:rPr>
          <w:rFonts w:asciiTheme="majorHAnsi" w:hAnsiTheme="majorHAnsi"/>
          <w:sz w:val="20"/>
          <w:szCs w:val="20"/>
        </w:rPr>
        <w:t xml:space="preserve"> </w:t>
      </w:r>
    </w:p>
    <w:p w14:paraId="65AA9ACF" w14:textId="08EDEFC0" w:rsidR="00855E13" w:rsidRPr="00A558A6" w:rsidRDefault="001E751D">
      <w:pPr>
        <w:rPr>
          <w:rFonts w:asciiTheme="majorHAnsi" w:hAnsiTheme="majorHAnsi"/>
          <w:sz w:val="20"/>
          <w:szCs w:val="20"/>
        </w:rPr>
      </w:pPr>
      <w:r w:rsidRPr="00A558A6">
        <w:rPr>
          <w:rFonts w:asciiTheme="majorHAnsi" w:hAnsiTheme="majorHAnsi"/>
          <w:sz w:val="20"/>
          <w:szCs w:val="20"/>
        </w:rPr>
        <w:t>Public comment</w:t>
      </w:r>
      <w:r w:rsidR="00957B2A" w:rsidRPr="00A558A6">
        <w:rPr>
          <w:rFonts w:asciiTheme="majorHAnsi" w:hAnsiTheme="majorHAnsi"/>
          <w:sz w:val="20"/>
          <w:szCs w:val="20"/>
        </w:rPr>
        <w:t xml:space="preserve"> on ATRT recommendations:</w:t>
      </w:r>
    </w:p>
    <w:p w14:paraId="33095AD2" w14:textId="56DB6632" w:rsidR="00957B2A" w:rsidRPr="00A558A6" w:rsidRDefault="00D3420E" w:rsidP="00D3420E">
      <w:pPr>
        <w:ind w:left="720"/>
        <w:rPr>
          <w:rFonts w:asciiTheme="majorHAnsi" w:hAnsiTheme="majorHAnsi"/>
          <w:sz w:val="20"/>
          <w:szCs w:val="20"/>
        </w:rPr>
      </w:pPr>
      <w:r w:rsidRPr="00A558A6">
        <w:rPr>
          <w:rFonts w:asciiTheme="majorHAnsi" w:hAnsiTheme="majorHAnsi"/>
          <w:sz w:val="20"/>
          <w:szCs w:val="20"/>
        </w:rPr>
        <w:t xml:space="preserve">Section 4.6 (a) (vii) (B) “At least one draft report of the review team shall be posted on the Website for public review and comment.  The review team must consider the public comments received in response to any posted draft report and shall amend the report as the review team deems appropriate and in the public interest before submitting its final report to the Board.  </w:t>
      </w:r>
    </w:p>
    <w:p w14:paraId="39EC5ED0" w14:textId="77777777" w:rsidR="00D3420E" w:rsidRPr="00A558A6" w:rsidRDefault="00D3420E" w:rsidP="00D3420E">
      <w:pPr>
        <w:ind w:left="720"/>
        <w:rPr>
          <w:rFonts w:asciiTheme="majorHAnsi" w:hAnsiTheme="majorHAnsi"/>
          <w:sz w:val="20"/>
          <w:szCs w:val="20"/>
        </w:rPr>
      </w:pPr>
    </w:p>
    <w:p w14:paraId="67F18B97" w14:textId="500A2046" w:rsidR="001E751D" w:rsidRPr="00A558A6" w:rsidRDefault="00957B2A" w:rsidP="00D3420E">
      <w:pPr>
        <w:rPr>
          <w:rFonts w:asciiTheme="majorHAnsi" w:hAnsiTheme="majorHAnsi"/>
          <w:sz w:val="20"/>
          <w:szCs w:val="20"/>
        </w:rPr>
      </w:pPr>
      <w:r w:rsidRPr="00A558A6">
        <w:rPr>
          <w:rFonts w:asciiTheme="majorHAnsi" w:hAnsiTheme="majorHAnsi"/>
          <w:sz w:val="20"/>
          <w:szCs w:val="20"/>
        </w:rPr>
        <w:t>Board i</w:t>
      </w:r>
      <w:r w:rsidR="001E751D" w:rsidRPr="00A558A6">
        <w:rPr>
          <w:rFonts w:asciiTheme="majorHAnsi" w:hAnsiTheme="majorHAnsi"/>
          <w:sz w:val="20"/>
          <w:szCs w:val="20"/>
        </w:rPr>
        <w:t>mplementation</w:t>
      </w:r>
      <w:r w:rsidRPr="00A558A6">
        <w:rPr>
          <w:rFonts w:asciiTheme="majorHAnsi" w:hAnsiTheme="majorHAnsi"/>
          <w:sz w:val="20"/>
          <w:szCs w:val="20"/>
        </w:rPr>
        <w:t xml:space="preserve"> of ATRT recommendations:</w:t>
      </w:r>
    </w:p>
    <w:p w14:paraId="256F952A" w14:textId="4637CCCE" w:rsidR="00855E13" w:rsidRPr="00A558A6" w:rsidRDefault="00B063AC" w:rsidP="00B063AC">
      <w:pPr>
        <w:ind w:left="720"/>
        <w:rPr>
          <w:rFonts w:asciiTheme="majorHAnsi" w:hAnsiTheme="majorHAnsi"/>
          <w:sz w:val="20"/>
          <w:szCs w:val="20"/>
        </w:rPr>
      </w:pPr>
      <w:r w:rsidRPr="00A558A6">
        <w:rPr>
          <w:rFonts w:asciiTheme="majorHAnsi" w:hAnsiTheme="majorHAnsi"/>
          <w:sz w:val="20"/>
          <w:szCs w:val="20"/>
        </w:rPr>
        <w:t>Section 4.6 (a) (vii) (C)  “Each final report of a review team shall be published for public comment in advance of the Board’s consideration. Within six months of receipt of a final report, the Board shall consider such final report and the public comments on the final report, determine whether to approve the recommendations in the final report.  If the Board does not approve any or all of the recommendations, the written rationale supporting the Board’s decision shall include an explanation for the decision on each recommendation that was not approved. The Board shall promptly direct implementation of the recommendations that were approved.”</w:t>
      </w:r>
    </w:p>
    <w:sectPr w:rsidR="00855E13" w:rsidRPr="00A558A6" w:rsidSect="00DA4A4D">
      <w:headerReference w:type="default" r:id="rId13"/>
      <w:footerReference w:type="even" r:id="rId14"/>
      <w:footerReference w:type="defaul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B7A91" w14:textId="77777777" w:rsidR="0013101C" w:rsidRDefault="0013101C" w:rsidP="001E751D">
      <w:r>
        <w:separator/>
      </w:r>
    </w:p>
  </w:endnote>
  <w:endnote w:type="continuationSeparator" w:id="0">
    <w:p w14:paraId="0BDBF575" w14:textId="77777777" w:rsidR="0013101C" w:rsidRDefault="0013101C" w:rsidP="001E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236CB" w14:textId="77777777" w:rsidR="0013101C" w:rsidRDefault="0013101C" w:rsidP="00D342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9C62" w14:textId="77777777" w:rsidR="0013101C" w:rsidRDefault="0013101C" w:rsidP="001E75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93275" w14:textId="77777777" w:rsidR="0013101C" w:rsidRDefault="0013101C" w:rsidP="00D342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499C">
      <w:rPr>
        <w:rStyle w:val="PageNumber"/>
        <w:noProof/>
      </w:rPr>
      <w:t>1</w:t>
    </w:r>
    <w:r>
      <w:rPr>
        <w:rStyle w:val="PageNumber"/>
      </w:rPr>
      <w:fldChar w:fldCharType="end"/>
    </w:r>
  </w:p>
  <w:p w14:paraId="07A761A2" w14:textId="77777777" w:rsidR="0013101C" w:rsidRDefault="0013101C" w:rsidP="001E751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F4B05" w14:textId="77777777" w:rsidR="0013101C" w:rsidRDefault="0013101C" w:rsidP="001E751D">
      <w:r>
        <w:separator/>
      </w:r>
    </w:p>
  </w:footnote>
  <w:footnote w:type="continuationSeparator" w:id="0">
    <w:p w14:paraId="274F20F7" w14:textId="77777777" w:rsidR="0013101C" w:rsidRDefault="0013101C" w:rsidP="001E75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01F5E" w14:textId="6B6CC5F7" w:rsidR="0013101C" w:rsidRPr="0013101C" w:rsidRDefault="0013101C" w:rsidP="0013101C">
    <w:pPr>
      <w:pStyle w:val="Header"/>
      <w:jc w:val="right"/>
      <w:rPr>
        <w:rFonts w:asciiTheme="majorHAnsi" w:hAnsiTheme="majorHAnsi"/>
        <w:sz w:val="20"/>
      </w:rPr>
    </w:pPr>
    <w:r w:rsidRPr="0013101C">
      <w:rPr>
        <w:rFonts w:asciiTheme="majorHAnsi" w:hAnsiTheme="majorHAnsi"/>
        <w:sz w:val="20"/>
      </w:rPr>
      <w:t>25-May-2016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23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71B4AA4"/>
    <w:multiLevelType w:val="multilevel"/>
    <w:tmpl w:val="013A5CEE"/>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6">
    <w:nsid w:val="32715B17"/>
    <w:multiLevelType w:val="hybridMultilevel"/>
    <w:tmpl w:val="B088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93"/>
    <w:rsid w:val="0013101C"/>
    <w:rsid w:val="00190E42"/>
    <w:rsid w:val="001E751D"/>
    <w:rsid w:val="001F745D"/>
    <w:rsid w:val="0022493F"/>
    <w:rsid w:val="0022580C"/>
    <w:rsid w:val="00234D65"/>
    <w:rsid w:val="00405643"/>
    <w:rsid w:val="004D398B"/>
    <w:rsid w:val="00525630"/>
    <w:rsid w:val="00525E93"/>
    <w:rsid w:val="0058766F"/>
    <w:rsid w:val="00840F53"/>
    <w:rsid w:val="00855E13"/>
    <w:rsid w:val="00957B2A"/>
    <w:rsid w:val="00A30E13"/>
    <w:rsid w:val="00A558A6"/>
    <w:rsid w:val="00A7188B"/>
    <w:rsid w:val="00A727E6"/>
    <w:rsid w:val="00A729A0"/>
    <w:rsid w:val="00AB22F0"/>
    <w:rsid w:val="00AF39DD"/>
    <w:rsid w:val="00B063AC"/>
    <w:rsid w:val="00C46158"/>
    <w:rsid w:val="00D3420E"/>
    <w:rsid w:val="00D5499C"/>
    <w:rsid w:val="00DA4A4D"/>
    <w:rsid w:val="00E122B8"/>
    <w:rsid w:val="00E40044"/>
    <w:rsid w:val="00E429CC"/>
    <w:rsid w:val="00F24132"/>
    <w:rsid w:val="00F85886"/>
    <w:rsid w:val="00FA1900"/>
    <w:rsid w:val="00FD4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C4F3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E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5E93"/>
    <w:rPr>
      <w:rFonts w:ascii="Lucida Grande" w:hAnsi="Lucida Grande" w:cs="Lucida Grande"/>
      <w:sz w:val="18"/>
      <w:szCs w:val="18"/>
    </w:rPr>
  </w:style>
  <w:style w:type="paragraph" w:styleId="ListParagraph">
    <w:name w:val="List Paragraph"/>
    <w:basedOn w:val="Normal"/>
    <w:uiPriority w:val="34"/>
    <w:qFormat/>
    <w:rsid w:val="00FA1900"/>
    <w:pPr>
      <w:ind w:left="720"/>
      <w:contextualSpacing/>
    </w:pPr>
  </w:style>
  <w:style w:type="character" w:styleId="Hyperlink">
    <w:name w:val="Hyperlink"/>
    <w:basedOn w:val="DefaultParagraphFont"/>
    <w:uiPriority w:val="99"/>
    <w:unhideWhenUsed/>
    <w:rsid w:val="00840F53"/>
    <w:rPr>
      <w:color w:val="0000FF" w:themeColor="hyperlink"/>
      <w:u w:val="single"/>
    </w:rPr>
  </w:style>
  <w:style w:type="paragraph" w:customStyle="1" w:styleId="ARTACAPL1">
    <w:name w:val="ARTACAP_L1"/>
    <w:basedOn w:val="Normal"/>
    <w:next w:val="BodyText"/>
    <w:rsid w:val="00E429CC"/>
    <w:pPr>
      <w:keepNext/>
      <w:numPr>
        <w:numId w:val="7"/>
      </w:numPr>
      <w:spacing w:after="240"/>
      <w:outlineLvl w:val="0"/>
    </w:pPr>
    <w:rPr>
      <w:rFonts w:ascii="Arial" w:eastAsia="SimSun" w:hAnsi="Arial" w:cs="Arial"/>
      <w:b/>
      <w:caps/>
      <w:szCs w:val="20"/>
    </w:rPr>
  </w:style>
  <w:style w:type="paragraph" w:customStyle="1" w:styleId="ARTACAPL2">
    <w:name w:val="ARTACAP_L2"/>
    <w:basedOn w:val="ARTACAPL1"/>
    <w:next w:val="BodyText"/>
    <w:rsid w:val="00E429CC"/>
    <w:pPr>
      <w:keepNext w:val="0"/>
      <w:numPr>
        <w:ilvl w:val="1"/>
      </w:numPr>
      <w:outlineLvl w:val="1"/>
    </w:pPr>
  </w:style>
  <w:style w:type="paragraph" w:customStyle="1" w:styleId="ARTACAPL3">
    <w:name w:val="ARTACAP_L3"/>
    <w:basedOn w:val="ARTACAPL2"/>
    <w:next w:val="BodyText"/>
    <w:rsid w:val="00E429CC"/>
    <w:pPr>
      <w:numPr>
        <w:ilvl w:val="2"/>
      </w:numPr>
      <w:outlineLvl w:val="2"/>
    </w:pPr>
    <w:rPr>
      <w:b w:val="0"/>
      <w:caps w:val="0"/>
    </w:rPr>
  </w:style>
  <w:style w:type="paragraph" w:customStyle="1" w:styleId="ARTACAPL4">
    <w:name w:val="ARTACAP_L4"/>
    <w:basedOn w:val="ARTACAPL3"/>
    <w:next w:val="BodyText"/>
    <w:rsid w:val="00E429CC"/>
    <w:pPr>
      <w:numPr>
        <w:ilvl w:val="3"/>
      </w:numPr>
      <w:outlineLvl w:val="3"/>
    </w:pPr>
  </w:style>
  <w:style w:type="paragraph" w:customStyle="1" w:styleId="ARTACAPL5">
    <w:name w:val="ARTACAP_L5"/>
    <w:basedOn w:val="ARTACAPL4"/>
    <w:next w:val="BodyText"/>
    <w:rsid w:val="00E429CC"/>
    <w:pPr>
      <w:numPr>
        <w:ilvl w:val="4"/>
      </w:numPr>
      <w:outlineLvl w:val="4"/>
    </w:pPr>
  </w:style>
  <w:style w:type="paragraph" w:customStyle="1" w:styleId="ARTACAPL6">
    <w:name w:val="ARTACAP_L6"/>
    <w:basedOn w:val="ARTACAPL5"/>
    <w:next w:val="BodyText"/>
    <w:rsid w:val="00E429CC"/>
    <w:pPr>
      <w:numPr>
        <w:ilvl w:val="5"/>
      </w:numPr>
      <w:outlineLvl w:val="5"/>
    </w:pPr>
  </w:style>
  <w:style w:type="paragraph" w:customStyle="1" w:styleId="ARTACAPL7">
    <w:name w:val="ARTACAP_L7"/>
    <w:basedOn w:val="ARTACAPL6"/>
    <w:next w:val="BodyText"/>
    <w:rsid w:val="00E429CC"/>
    <w:pPr>
      <w:numPr>
        <w:ilvl w:val="6"/>
      </w:numPr>
      <w:outlineLvl w:val="6"/>
    </w:pPr>
  </w:style>
  <w:style w:type="paragraph" w:customStyle="1" w:styleId="ARTACAPL8">
    <w:name w:val="ARTACAP_L8"/>
    <w:basedOn w:val="ARTACAPL7"/>
    <w:next w:val="BodyText"/>
    <w:rsid w:val="00E429CC"/>
    <w:pPr>
      <w:numPr>
        <w:ilvl w:val="7"/>
      </w:numPr>
      <w:outlineLvl w:val="7"/>
    </w:pPr>
  </w:style>
  <w:style w:type="paragraph" w:customStyle="1" w:styleId="ARTACAPL9">
    <w:name w:val="ARTACAP_L9"/>
    <w:basedOn w:val="ARTACAPL8"/>
    <w:next w:val="BodyText"/>
    <w:rsid w:val="00E429CC"/>
    <w:pPr>
      <w:numPr>
        <w:ilvl w:val="8"/>
      </w:numPr>
      <w:outlineLvl w:val="8"/>
    </w:pPr>
  </w:style>
  <w:style w:type="paragraph" w:styleId="BodyText">
    <w:name w:val="Body Text"/>
    <w:basedOn w:val="Normal"/>
    <w:link w:val="BodyTextChar"/>
    <w:uiPriority w:val="99"/>
    <w:semiHidden/>
    <w:unhideWhenUsed/>
    <w:rsid w:val="00E429CC"/>
    <w:pPr>
      <w:spacing w:after="120"/>
    </w:pPr>
  </w:style>
  <w:style w:type="character" w:customStyle="1" w:styleId="BodyTextChar">
    <w:name w:val="Body Text Char"/>
    <w:basedOn w:val="DefaultParagraphFont"/>
    <w:link w:val="BodyText"/>
    <w:uiPriority w:val="99"/>
    <w:semiHidden/>
    <w:rsid w:val="00E429CC"/>
  </w:style>
  <w:style w:type="paragraph" w:styleId="Footer">
    <w:name w:val="footer"/>
    <w:basedOn w:val="Normal"/>
    <w:link w:val="FooterChar"/>
    <w:uiPriority w:val="99"/>
    <w:unhideWhenUsed/>
    <w:rsid w:val="001E751D"/>
    <w:pPr>
      <w:tabs>
        <w:tab w:val="center" w:pos="4320"/>
        <w:tab w:val="right" w:pos="8640"/>
      </w:tabs>
    </w:pPr>
  </w:style>
  <w:style w:type="character" w:customStyle="1" w:styleId="FooterChar">
    <w:name w:val="Footer Char"/>
    <w:basedOn w:val="DefaultParagraphFont"/>
    <w:link w:val="Footer"/>
    <w:uiPriority w:val="99"/>
    <w:rsid w:val="001E751D"/>
  </w:style>
  <w:style w:type="character" w:styleId="PageNumber">
    <w:name w:val="page number"/>
    <w:basedOn w:val="DefaultParagraphFont"/>
    <w:uiPriority w:val="99"/>
    <w:semiHidden/>
    <w:unhideWhenUsed/>
    <w:rsid w:val="001E751D"/>
  </w:style>
  <w:style w:type="character" w:styleId="FollowedHyperlink">
    <w:name w:val="FollowedHyperlink"/>
    <w:basedOn w:val="DefaultParagraphFont"/>
    <w:uiPriority w:val="99"/>
    <w:semiHidden/>
    <w:unhideWhenUsed/>
    <w:rsid w:val="00E122B8"/>
    <w:rPr>
      <w:color w:val="800080" w:themeColor="followedHyperlink"/>
      <w:u w:val="single"/>
    </w:rPr>
  </w:style>
  <w:style w:type="paragraph" w:styleId="Header">
    <w:name w:val="header"/>
    <w:basedOn w:val="Normal"/>
    <w:link w:val="HeaderChar"/>
    <w:uiPriority w:val="99"/>
    <w:unhideWhenUsed/>
    <w:rsid w:val="0013101C"/>
    <w:pPr>
      <w:tabs>
        <w:tab w:val="center" w:pos="4320"/>
        <w:tab w:val="right" w:pos="8640"/>
      </w:tabs>
    </w:pPr>
  </w:style>
  <w:style w:type="character" w:customStyle="1" w:styleId="HeaderChar">
    <w:name w:val="Header Char"/>
    <w:basedOn w:val="DefaultParagraphFont"/>
    <w:link w:val="Header"/>
    <w:uiPriority w:val="99"/>
    <w:rsid w:val="001310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E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5E93"/>
    <w:rPr>
      <w:rFonts w:ascii="Lucida Grande" w:hAnsi="Lucida Grande" w:cs="Lucida Grande"/>
      <w:sz w:val="18"/>
      <w:szCs w:val="18"/>
    </w:rPr>
  </w:style>
  <w:style w:type="paragraph" w:styleId="ListParagraph">
    <w:name w:val="List Paragraph"/>
    <w:basedOn w:val="Normal"/>
    <w:uiPriority w:val="34"/>
    <w:qFormat/>
    <w:rsid w:val="00FA1900"/>
    <w:pPr>
      <w:ind w:left="720"/>
      <w:contextualSpacing/>
    </w:pPr>
  </w:style>
  <w:style w:type="character" w:styleId="Hyperlink">
    <w:name w:val="Hyperlink"/>
    <w:basedOn w:val="DefaultParagraphFont"/>
    <w:uiPriority w:val="99"/>
    <w:unhideWhenUsed/>
    <w:rsid w:val="00840F53"/>
    <w:rPr>
      <w:color w:val="0000FF" w:themeColor="hyperlink"/>
      <w:u w:val="single"/>
    </w:rPr>
  </w:style>
  <w:style w:type="paragraph" w:customStyle="1" w:styleId="ARTACAPL1">
    <w:name w:val="ARTACAP_L1"/>
    <w:basedOn w:val="Normal"/>
    <w:next w:val="BodyText"/>
    <w:rsid w:val="00E429CC"/>
    <w:pPr>
      <w:keepNext/>
      <w:numPr>
        <w:numId w:val="7"/>
      </w:numPr>
      <w:spacing w:after="240"/>
      <w:outlineLvl w:val="0"/>
    </w:pPr>
    <w:rPr>
      <w:rFonts w:ascii="Arial" w:eastAsia="SimSun" w:hAnsi="Arial" w:cs="Arial"/>
      <w:b/>
      <w:caps/>
      <w:szCs w:val="20"/>
    </w:rPr>
  </w:style>
  <w:style w:type="paragraph" w:customStyle="1" w:styleId="ARTACAPL2">
    <w:name w:val="ARTACAP_L2"/>
    <w:basedOn w:val="ARTACAPL1"/>
    <w:next w:val="BodyText"/>
    <w:rsid w:val="00E429CC"/>
    <w:pPr>
      <w:keepNext w:val="0"/>
      <w:numPr>
        <w:ilvl w:val="1"/>
      </w:numPr>
      <w:outlineLvl w:val="1"/>
    </w:pPr>
  </w:style>
  <w:style w:type="paragraph" w:customStyle="1" w:styleId="ARTACAPL3">
    <w:name w:val="ARTACAP_L3"/>
    <w:basedOn w:val="ARTACAPL2"/>
    <w:next w:val="BodyText"/>
    <w:rsid w:val="00E429CC"/>
    <w:pPr>
      <w:numPr>
        <w:ilvl w:val="2"/>
      </w:numPr>
      <w:outlineLvl w:val="2"/>
    </w:pPr>
    <w:rPr>
      <w:b w:val="0"/>
      <w:caps w:val="0"/>
    </w:rPr>
  </w:style>
  <w:style w:type="paragraph" w:customStyle="1" w:styleId="ARTACAPL4">
    <w:name w:val="ARTACAP_L4"/>
    <w:basedOn w:val="ARTACAPL3"/>
    <w:next w:val="BodyText"/>
    <w:rsid w:val="00E429CC"/>
    <w:pPr>
      <w:numPr>
        <w:ilvl w:val="3"/>
      </w:numPr>
      <w:outlineLvl w:val="3"/>
    </w:pPr>
  </w:style>
  <w:style w:type="paragraph" w:customStyle="1" w:styleId="ARTACAPL5">
    <w:name w:val="ARTACAP_L5"/>
    <w:basedOn w:val="ARTACAPL4"/>
    <w:next w:val="BodyText"/>
    <w:rsid w:val="00E429CC"/>
    <w:pPr>
      <w:numPr>
        <w:ilvl w:val="4"/>
      </w:numPr>
      <w:outlineLvl w:val="4"/>
    </w:pPr>
  </w:style>
  <w:style w:type="paragraph" w:customStyle="1" w:styleId="ARTACAPL6">
    <w:name w:val="ARTACAP_L6"/>
    <w:basedOn w:val="ARTACAPL5"/>
    <w:next w:val="BodyText"/>
    <w:rsid w:val="00E429CC"/>
    <w:pPr>
      <w:numPr>
        <w:ilvl w:val="5"/>
      </w:numPr>
      <w:outlineLvl w:val="5"/>
    </w:pPr>
  </w:style>
  <w:style w:type="paragraph" w:customStyle="1" w:styleId="ARTACAPL7">
    <w:name w:val="ARTACAP_L7"/>
    <w:basedOn w:val="ARTACAPL6"/>
    <w:next w:val="BodyText"/>
    <w:rsid w:val="00E429CC"/>
    <w:pPr>
      <w:numPr>
        <w:ilvl w:val="6"/>
      </w:numPr>
      <w:outlineLvl w:val="6"/>
    </w:pPr>
  </w:style>
  <w:style w:type="paragraph" w:customStyle="1" w:styleId="ARTACAPL8">
    <w:name w:val="ARTACAP_L8"/>
    <w:basedOn w:val="ARTACAPL7"/>
    <w:next w:val="BodyText"/>
    <w:rsid w:val="00E429CC"/>
    <w:pPr>
      <w:numPr>
        <w:ilvl w:val="7"/>
      </w:numPr>
      <w:outlineLvl w:val="7"/>
    </w:pPr>
  </w:style>
  <w:style w:type="paragraph" w:customStyle="1" w:styleId="ARTACAPL9">
    <w:name w:val="ARTACAP_L9"/>
    <w:basedOn w:val="ARTACAPL8"/>
    <w:next w:val="BodyText"/>
    <w:rsid w:val="00E429CC"/>
    <w:pPr>
      <w:numPr>
        <w:ilvl w:val="8"/>
      </w:numPr>
      <w:outlineLvl w:val="8"/>
    </w:pPr>
  </w:style>
  <w:style w:type="paragraph" w:styleId="BodyText">
    <w:name w:val="Body Text"/>
    <w:basedOn w:val="Normal"/>
    <w:link w:val="BodyTextChar"/>
    <w:uiPriority w:val="99"/>
    <w:semiHidden/>
    <w:unhideWhenUsed/>
    <w:rsid w:val="00E429CC"/>
    <w:pPr>
      <w:spacing w:after="120"/>
    </w:pPr>
  </w:style>
  <w:style w:type="character" w:customStyle="1" w:styleId="BodyTextChar">
    <w:name w:val="Body Text Char"/>
    <w:basedOn w:val="DefaultParagraphFont"/>
    <w:link w:val="BodyText"/>
    <w:uiPriority w:val="99"/>
    <w:semiHidden/>
    <w:rsid w:val="00E429CC"/>
  </w:style>
  <w:style w:type="paragraph" w:styleId="Footer">
    <w:name w:val="footer"/>
    <w:basedOn w:val="Normal"/>
    <w:link w:val="FooterChar"/>
    <w:uiPriority w:val="99"/>
    <w:unhideWhenUsed/>
    <w:rsid w:val="001E751D"/>
    <w:pPr>
      <w:tabs>
        <w:tab w:val="center" w:pos="4320"/>
        <w:tab w:val="right" w:pos="8640"/>
      </w:tabs>
    </w:pPr>
  </w:style>
  <w:style w:type="character" w:customStyle="1" w:styleId="FooterChar">
    <w:name w:val="Footer Char"/>
    <w:basedOn w:val="DefaultParagraphFont"/>
    <w:link w:val="Footer"/>
    <w:uiPriority w:val="99"/>
    <w:rsid w:val="001E751D"/>
  </w:style>
  <w:style w:type="character" w:styleId="PageNumber">
    <w:name w:val="page number"/>
    <w:basedOn w:val="DefaultParagraphFont"/>
    <w:uiPriority w:val="99"/>
    <w:semiHidden/>
    <w:unhideWhenUsed/>
    <w:rsid w:val="001E751D"/>
  </w:style>
  <w:style w:type="character" w:styleId="FollowedHyperlink">
    <w:name w:val="FollowedHyperlink"/>
    <w:basedOn w:val="DefaultParagraphFont"/>
    <w:uiPriority w:val="99"/>
    <w:semiHidden/>
    <w:unhideWhenUsed/>
    <w:rsid w:val="00E122B8"/>
    <w:rPr>
      <w:color w:val="800080" w:themeColor="followedHyperlink"/>
      <w:u w:val="single"/>
    </w:rPr>
  </w:style>
  <w:style w:type="paragraph" w:styleId="Header">
    <w:name w:val="header"/>
    <w:basedOn w:val="Normal"/>
    <w:link w:val="HeaderChar"/>
    <w:uiPriority w:val="99"/>
    <w:unhideWhenUsed/>
    <w:rsid w:val="0013101C"/>
    <w:pPr>
      <w:tabs>
        <w:tab w:val="center" w:pos="4320"/>
        <w:tab w:val="right" w:pos="8640"/>
      </w:tabs>
    </w:pPr>
  </w:style>
  <w:style w:type="character" w:customStyle="1" w:styleId="HeaderChar">
    <w:name w:val="Header Char"/>
    <w:basedOn w:val="DefaultParagraphFont"/>
    <w:link w:val="Header"/>
    <w:uiPriority w:val="99"/>
    <w:rsid w:val="00131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pages/viewpage.action?pageId=58725713" TargetMode="External"/><Relationship Id="rId12" Type="http://schemas.openxmlformats.org/officeDocument/2006/relationships/hyperlink" Target="https://www.icann.org/en/system/files/files/proposed-new-bylaws-20apr16-en.pdf"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affirmation-of-commitments-2009-09-30-en" TargetMode="External"/><Relationship Id="rId9" Type="http://schemas.openxmlformats.org/officeDocument/2006/relationships/hyperlink" Target="https://www.icann.org/en/system/files/correspondence/chehade-to-strickling-28jan16-en.pdf" TargetMode="External"/><Relationship Id="rId10" Type="http://schemas.openxmlformats.org/officeDocument/2006/relationships/hyperlink" Target="https://www.icann.org/en/system/files/files/proposed-new-bylaws-20apr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2521</Words>
  <Characters>14375</Characters>
  <Application>Microsoft Macintosh Word</Application>
  <DocSecurity>4</DocSecurity>
  <Lines>119</Lines>
  <Paragraphs>33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(A)  Support and enhance the multistakeholder model;</vt:lpstr>
      <vt:lpstr>        (B) Maintain the security, stability and resiliency of the DNS;</vt:lpstr>
      <vt:lpstr>        (C) Meet the needs and expectations of the global customers and partners of the </vt:lpstr>
      <vt:lpstr>        (D) Maintain the openness of the Internet; and</vt:lpstr>
      <vt:lpstr>        (E) Not result in ICANN becoming a government-led or an inter-governmental organ</vt:lpstr>
    </vt:vector>
  </TitlesOfParts>
  <Company>NetChoice</Company>
  <LinksUpToDate>false</LinksUpToDate>
  <CharactersWithSpaces>16863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2</cp:revision>
  <cp:lastPrinted>2016-05-24T21:54:00Z</cp:lastPrinted>
  <dcterms:created xsi:type="dcterms:W3CDTF">2016-05-25T16:24:00Z</dcterms:created>
  <dcterms:modified xsi:type="dcterms:W3CDTF">2016-05-25T16:24:00Z</dcterms:modified>
</cp:coreProperties>
</file>