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MemoHeading"/>
      </w:pPr>
      <w:r>
        <w:t>MEMORANDUM</w:t>
      </w:r>
    </w:p>
    <w:tbl>
      <w:tblPr>
        <w:tblW w:w="0" w:type="auto"/>
        <w:tblInd w:w="18" w:type="dxa"/>
        <w:tblBorders>
          <w:bottom w:val="double" w:sz="4" w:space="0" w:color="auto"/>
        </w:tblBorders>
        <w:tblLayout w:type="fixed"/>
        <w:tblCellMar>
          <w:left w:w="115" w:type="dxa"/>
          <w:bottom w:w="216" w:type="dxa"/>
          <w:right w:w="115" w:type="dxa"/>
        </w:tblCellMar>
        <w:tblLook w:val="0000"/>
      </w:tblPr>
      <w:tblGrid>
        <w:gridCol w:w="1530"/>
        <w:gridCol w:w="7920"/>
      </w:tblGrid>
      <w:tr>
        <w:trPr>
          <w:cantSplit/>
        </w:trPr>
        <w:tc>
          <w:tcPr>
            <w:tcW w:w="1530" w:type="dxa"/>
            <w:tcBorders>
              <w:bottom w:val="nil"/>
            </w:tcBorders>
          </w:tcPr>
          <w:p>
            <w:pPr>
              <w:pStyle w:val="MemoTableLabel"/>
              <w:spacing w:after="120"/>
              <w:jc w:val="left"/>
            </w:pPr>
            <w:bookmarkStart w:id="0" w:name="DeliveryMethods"/>
            <w:bookmarkStart w:id="1" w:name="LOCTo"/>
            <w:bookmarkEnd w:id="0"/>
            <w:r>
              <w:t>To:</w:t>
            </w:r>
            <w:bookmarkEnd w:id="1"/>
          </w:p>
        </w:tc>
        <w:tc>
          <w:tcPr>
            <w:tcW w:w="7920" w:type="dxa"/>
            <w:tcBorders>
              <w:bottom w:val="nil"/>
            </w:tcBorders>
          </w:tcPr>
          <w:p>
            <w:pPr>
              <w:pStyle w:val="MemoTableData"/>
              <w:spacing w:after="120"/>
              <w:jc w:val="left"/>
            </w:pPr>
            <w:r>
              <w:t>Cross-Community Working Group on Enhancing ICANN Accountability</w:t>
            </w:r>
          </w:p>
        </w:tc>
      </w:tr>
      <w:tr>
        <w:trPr>
          <w:cantSplit/>
        </w:trPr>
        <w:tc>
          <w:tcPr>
            <w:tcW w:w="1530" w:type="dxa"/>
            <w:tcBorders>
              <w:top w:val="nil"/>
              <w:bottom w:val="nil"/>
            </w:tcBorders>
          </w:tcPr>
          <w:p>
            <w:pPr>
              <w:pStyle w:val="MemoTableLabel"/>
              <w:spacing w:after="120"/>
              <w:jc w:val="left"/>
            </w:pPr>
            <w:bookmarkStart w:id="2" w:name="LOCFrom"/>
            <w:r>
              <w:t>From:</w:t>
            </w:r>
            <w:bookmarkEnd w:id="2"/>
          </w:p>
        </w:tc>
        <w:tc>
          <w:tcPr>
            <w:tcW w:w="7920" w:type="dxa"/>
            <w:tcBorders>
              <w:top w:val="nil"/>
              <w:bottom w:val="nil"/>
            </w:tcBorders>
          </w:tcPr>
          <w:p>
            <w:pPr>
              <w:pStyle w:val="MemoTableData"/>
              <w:spacing w:after="120"/>
              <w:jc w:val="left"/>
            </w:pPr>
            <w:r>
              <w:t>Sidley Austin LLP and Adler &amp; Colvin</w:t>
            </w:r>
          </w:p>
        </w:tc>
      </w:tr>
      <w:tr>
        <w:trPr>
          <w:cantSplit/>
        </w:trPr>
        <w:tc>
          <w:tcPr>
            <w:tcW w:w="1530" w:type="dxa"/>
            <w:tcBorders>
              <w:top w:val="nil"/>
              <w:bottom w:val="nil"/>
            </w:tcBorders>
          </w:tcPr>
          <w:p>
            <w:pPr>
              <w:pStyle w:val="MemoTableLabel"/>
              <w:spacing w:after="120"/>
              <w:jc w:val="left"/>
            </w:pPr>
            <w:bookmarkStart w:id="3" w:name="LOCRe"/>
            <w:r>
              <w:t>Re:</w:t>
            </w:r>
            <w:bookmarkEnd w:id="3"/>
          </w:p>
        </w:tc>
        <w:tc>
          <w:tcPr>
            <w:tcW w:w="7920" w:type="dxa"/>
            <w:tcBorders>
              <w:top w:val="nil"/>
              <w:bottom w:val="nil"/>
            </w:tcBorders>
          </w:tcPr>
          <w:p>
            <w:pPr>
              <w:pStyle w:val="ReLine"/>
              <w:spacing w:after="120"/>
              <w:jc w:val="left"/>
            </w:pPr>
            <w:r>
              <w:t>Comparison of Current Independent Review Process (IRP), IRP in CCWG 2</w:t>
            </w:r>
            <w:r>
              <w:rPr>
                <w:vertAlign w:val="superscript"/>
              </w:rPr>
              <w:t>nd</w:t>
            </w:r>
            <w:r>
              <w:t xml:space="preserve"> Draft Proposal under the Community Mechanism as Sole Member (</w:t>
            </w:r>
            <w:proofErr w:type="spellStart"/>
            <w:r>
              <w:t>CMSM</w:t>
            </w:r>
            <w:proofErr w:type="spellEnd"/>
            <w:r>
              <w:t>) Model and ICANN Board Proposal re IRP and Multistakeholder Enforcement Mechanism (</w:t>
            </w:r>
            <w:proofErr w:type="spellStart"/>
            <w:r>
              <w:t>MEM</w:t>
            </w:r>
            <w:proofErr w:type="spellEnd"/>
            <w:r>
              <w:t>)</w:t>
            </w:r>
          </w:p>
        </w:tc>
      </w:tr>
      <w:tr>
        <w:trPr>
          <w:cantSplit/>
        </w:trPr>
        <w:tc>
          <w:tcPr>
            <w:tcW w:w="1530" w:type="dxa"/>
            <w:tcBorders>
              <w:top w:val="nil"/>
              <w:bottom w:val="single" w:sz="4" w:space="0" w:color="auto"/>
            </w:tcBorders>
          </w:tcPr>
          <w:p>
            <w:pPr>
              <w:pStyle w:val="MemoTableLabel"/>
              <w:spacing w:after="120"/>
              <w:jc w:val="left"/>
            </w:pPr>
            <w:bookmarkStart w:id="4" w:name="LOCDate"/>
            <w:r>
              <w:t>Date:</w:t>
            </w:r>
            <w:bookmarkEnd w:id="4"/>
          </w:p>
        </w:tc>
        <w:tc>
          <w:tcPr>
            <w:tcW w:w="7920" w:type="dxa"/>
            <w:tcBorders>
              <w:top w:val="nil"/>
              <w:bottom w:val="single" w:sz="4" w:space="0" w:color="auto"/>
            </w:tcBorders>
          </w:tcPr>
          <w:p>
            <w:pPr>
              <w:pStyle w:val="Date"/>
              <w:spacing w:after="120"/>
              <w:rPr>
                <w:b/>
              </w:rPr>
            </w:pPr>
            <w:r>
              <w:rPr>
                <w:b/>
              </w:rPr>
              <w:t>October 7, 2015</w:t>
            </w:r>
          </w:p>
        </w:tc>
      </w:tr>
    </w:tbl>
    <w:p>
      <w:pPr>
        <w:spacing w:before="240"/>
        <w:rPr>
          <w:color w:val="000000"/>
        </w:rPr>
      </w:pPr>
      <w:r>
        <w:rPr>
          <w:color w:val="000000"/>
        </w:rPr>
        <w:t>Attached is our comparison of the key characteristics of ICANN’s existing Independent Review Process (“Current IRP”) with the review processes set forth in the following proposals:</w:t>
      </w:r>
    </w:p>
    <w:p>
      <w:pPr>
        <w:rPr>
          <w:color w:val="000000"/>
        </w:rPr>
      </w:pPr>
    </w:p>
    <w:p>
      <w:pPr>
        <w:pStyle w:val="ListParagraph"/>
        <w:numPr>
          <w:ilvl w:val="0"/>
          <w:numId w:val="31"/>
        </w:numPr>
        <w:rPr>
          <w:color w:val="000000"/>
        </w:rPr>
      </w:pPr>
      <w:r>
        <w:rPr>
          <w:color w:val="000000"/>
        </w:rPr>
        <w:t>CCWG 2</w:t>
      </w:r>
      <w:r>
        <w:rPr>
          <w:color w:val="000000"/>
          <w:vertAlign w:val="superscript"/>
        </w:rPr>
        <w:t>nd</w:t>
      </w:r>
      <w:r>
        <w:rPr>
          <w:color w:val="000000"/>
        </w:rPr>
        <w:t xml:space="preserve"> Draft Proposal (under the CMSM model)</w:t>
      </w:r>
    </w:p>
    <w:p>
      <w:pPr>
        <w:pStyle w:val="ListParagraph"/>
        <w:rPr>
          <w:color w:val="000000"/>
        </w:rPr>
      </w:pPr>
    </w:p>
    <w:p>
      <w:pPr>
        <w:pStyle w:val="ListParagraph"/>
        <w:numPr>
          <w:ilvl w:val="0"/>
          <w:numId w:val="31"/>
        </w:numPr>
        <w:rPr>
          <w:color w:val="000000"/>
        </w:rPr>
      </w:pPr>
      <w:proofErr w:type="spellStart"/>
      <w:r>
        <w:rPr>
          <w:color w:val="000000"/>
        </w:rPr>
        <w:t>ICANN</w:t>
      </w:r>
      <w:proofErr w:type="spellEnd"/>
      <w:r>
        <w:rPr>
          <w:color w:val="000000"/>
        </w:rPr>
        <w:t xml:space="preserve"> Board Proposal (IRP and MEM)</w:t>
      </w:r>
    </w:p>
    <w:p>
      <w:pPr>
        <w:rPr>
          <w:color w:val="000000"/>
        </w:rPr>
      </w:pPr>
    </w:p>
    <w:p>
      <w:pPr>
        <w:rPr>
          <w:color w:val="000000"/>
        </w:rPr>
      </w:pPr>
      <w:r>
        <w:rPr>
          <w:color w:val="000000"/>
        </w:rPr>
        <w:t>This comparison has been developed based on the descriptions of independent review processes in the following documents:</w:t>
      </w:r>
    </w:p>
    <w:p>
      <w:pPr>
        <w:rPr>
          <w:color w:val="000000"/>
        </w:rPr>
      </w:pPr>
    </w:p>
    <w:p>
      <w:pPr>
        <w:pStyle w:val="ListParagraph"/>
        <w:numPr>
          <w:ilvl w:val="0"/>
          <w:numId w:val="33"/>
        </w:numPr>
        <w:rPr>
          <w:color w:val="000000"/>
        </w:rPr>
      </w:pPr>
      <w:proofErr w:type="spellStart"/>
      <w:r>
        <w:t>ICANN’s</w:t>
      </w:r>
      <w:proofErr w:type="spellEnd"/>
      <w:r>
        <w:t xml:space="preserve"> Bylaws</w:t>
      </w:r>
    </w:p>
    <w:p>
      <w:pPr>
        <w:pStyle w:val="ListParagraph"/>
        <w:numPr>
          <w:ilvl w:val="0"/>
          <w:numId w:val="33"/>
        </w:numPr>
        <w:rPr>
          <w:color w:val="000000"/>
        </w:rPr>
      </w:pPr>
      <w:hyperlink r:id="rId8" w:history="1">
        <w:proofErr w:type="spellStart"/>
        <w:r>
          <w:rPr>
            <w:rStyle w:val="Hyperlink"/>
          </w:rPr>
          <w:t>CCWG</w:t>
        </w:r>
        <w:proofErr w:type="spellEnd"/>
        <w:r>
          <w:rPr>
            <w:rStyle w:val="Hyperlink"/>
          </w:rPr>
          <w:t xml:space="preserve"> 2</w:t>
        </w:r>
        <w:r>
          <w:rPr>
            <w:rStyle w:val="Hyperlink"/>
            <w:vertAlign w:val="superscript"/>
          </w:rPr>
          <w:t>nd</w:t>
        </w:r>
        <w:r>
          <w:rPr>
            <w:rStyle w:val="Hyperlink"/>
          </w:rPr>
          <w:t xml:space="preserve"> Draft Pro</w:t>
        </w:r>
        <w:r>
          <w:rPr>
            <w:rStyle w:val="Hyperlink"/>
          </w:rPr>
          <w:t>p</w:t>
        </w:r>
        <w:r>
          <w:rPr>
            <w:rStyle w:val="Hyperlink"/>
          </w:rPr>
          <w:t>osal</w:t>
        </w:r>
      </w:hyperlink>
      <w:r>
        <w:rPr>
          <w:color w:val="000000"/>
        </w:rPr>
        <w:t xml:space="preserve"> (August 7, 2015)</w:t>
      </w:r>
    </w:p>
    <w:p>
      <w:pPr>
        <w:pStyle w:val="ListParagraph"/>
        <w:numPr>
          <w:ilvl w:val="0"/>
          <w:numId w:val="33"/>
        </w:numPr>
        <w:rPr>
          <w:color w:val="000000"/>
        </w:rPr>
      </w:pPr>
      <w:r>
        <w:t xml:space="preserve">ICANN Board Supplementary and Final Comments:  </w:t>
      </w:r>
      <w:hyperlink r:id="rId9" w:history="1">
        <w:r>
          <w:rPr>
            <w:rStyle w:val="Hyperlink"/>
          </w:rPr>
          <w:t>Board Input to CCWG-Accountability 2</w:t>
        </w:r>
        <w:r>
          <w:rPr>
            <w:rStyle w:val="Hyperlink"/>
            <w:vertAlign w:val="superscript"/>
          </w:rPr>
          <w:t>nd</w:t>
        </w:r>
        <w:r>
          <w:rPr>
            <w:rStyle w:val="Hyperlink"/>
          </w:rPr>
          <w:t xml:space="preserve"> Draft Proposal Comments Matrix </w:t>
        </w:r>
        <w:r>
          <w:rPr>
            <w:rStyle w:val="Hyperlink"/>
          </w:rPr>
          <w:t>a</w:t>
        </w:r>
        <w:r>
          <w:rPr>
            <w:rStyle w:val="Hyperlink"/>
          </w:rPr>
          <w:t>nd Notes on Proposed Elements</w:t>
        </w:r>
      </w:hyperlink>
      <w:r>
        <w:rPr>
          <w:color w:val="000000"/>
        </w:rPr>
        <w:t xml:space="preserve"> (September 11, 2015) ; </w:t>
      </w:r>
      <w:hyperlink r:id="rId10" w:history="1">
        <w:r>
          <w:rPr>
            <w:rStyle w:val="Hyperlink"/>
          </w:rPr>
          <w:t>Frequently Asked Questions Rega</w:t>
        </w:r>
        <w:r>
          <w:rPr>
            <w:rStyle w:val="Hyperlink"/>
          </w:rPr>
          <w:t>r</w:t>
        </w:r>
        <w:r>
          <w:rPr>
            <w:rStyle w:val="Hyperlink"/>
          </w:rPr>
          <w:t>ding Approach for Community Enforceability</w:t>
        </w:r>
      </w:hyperlink>
      <w:r>
        <w:t xml:space="preserve">; </w:t>
      </w:r>
      <w:hyperlink r:id="rId11" w:history="1">
        <w:r>
          <w:rPr>
            <w:rStyle w:val="Hyperlink"/>
          </w:rPr>
          <w:t>Memo on Proposed Approach for Community Enforceability</w:t>
        </w:r>
      </w:hyperlink>
      <w:r>
        <w:t xml:space="preserve"> </w:t>
      </w:r>
    </w:p>
    <w:p>
      <w:pPr>
        <w:pStyle w:val="ListParagraph"/>
        <w:numPr>
          <w:ilvl w:val="0"/>
          <w:numId w:val="33"/>
        </w:numPr>
        <w:rPr>
          <w:color w:val="000000"/>
        </w:rPr>
      </w:pPr>
      <w:r>
        <w:t xml:space="preserve">Jones Day Memorandum </w:t>
      </w:r>
      <w:hyperlink r:id="rId12" w:history="1">
        <w:r>
          <w:rPr>
            <w:rStyle w:val="Hyperlink"/>
          </w:rPr>
          <w:t>Enforceability of Arbitration Awards Made Pursuant to Proposed Multistakeholder Enfo</w:t>
        </w:r>
        <w:r>
          <w:rPr>
            <w:rStyle w:val="Hyperlink"/>
          </w:rPr>
          <w:t>r</w:t>
        </w:r>
        <w:r>
          <w:rPr>
            <w:rStyle w:val="Hyperlink"/>
          </w:rPr>
          <w:t>cement Mechanism</w:t>
        </w:r>
      </w:hyperlink>
      <w:r>
        <w:rPr>
          <w:color w:val="000000"/>
        </w:rPr>
        <w:t xml:space="preserve"> (September 6, 2015)</w:t>
      </w:r>
    </w:p>
    <w:p>
      <w:pPr>
        <w:rPr>
          <w:color w:val="000000"/>
        </w:rPr>
      </w:pPr>
    </w:p>
    <w:p>
      <w:pPr>
        <w:autoSpaceDE w:val="0"/>
        <w:autoSpaceDN w:val="0"/>
        <w:adjustRightInd w:val="0"/>
      </w:pPr>
      <w:r>
        <w:t xml:space="preserve">We have provided Jones Day an opportunity to review the attached comparison and they have not provided any specific corrections.  We have also conferred with Jones Day and ICANN Legal on two occasions regarding the Board Proposal, and we have relied upon those discussions in developing this matrix. </w:t>
      </w:r>
    </w:p>
    <w:p>
      <w:pPr>
        <w:autoSpaceDE w:val="0"/>
        <w:autoSpaceDN w:val="0"/>
        <w:adjustRightInd w:val="0"/>
      </w:pPr>
    </w:p>
    <w:p>
      <w:pPr>
        <w:rPr>
          <w:color w:val="000000"/>
        </w:rPr>
      </w:pPr>
      <w:r>
        <w:rPr>
          <w:color w:val="000000"/>
        </w:rPr>
        <w:t xml:space="preserve">The review processes proposed by </w:t>
      </w:r>
      <w:proofErr w:type="spellStart"/>
      <w:r>
        <w:rPr>
          <w:color w:val="000000"/>
        </w:rPr>
        <w:t>CCWG</w:t>
      </w:r>
      <w:proofErr w:type="spellEnd"/>
      <w:r>
        <w:rPr>
          <w:color w:val="000000"/>
        </w:rPr>
        <w:t xml:space="preserve"> and the </w:t>
      </w:r>
      <w:proofErr w:type="spellStart"/>
      <w:r>
        <w:rPr>
          <w:color w:val="000000"/>
        </w:rPr>
        <w:t>ICANN</w:t>
      </w:r>
      <w:proofErr w:type="spellEnd"/>
      <w:r>
        <w:rPr>
          <w:color w:val="000000"/>
        </w:rPr>
        <w:t xml:space="preserve"> Board reflect significant similarities, as the attached chart indicates, and the focus on the differences should not distract from what we understand is the general agreement that accountability mechanisms must be enforceable to be meaningful.</w:t>
      </w:r>
    </w:p>
    <w:p>
      <w:pPr>
        <w:rPr>
          <w:color w:val="000000"/>
          <w:highlight w:val="yellow"/>
        </w:rPr>
      </w:pPr>
    </w:p>
    <w:p>
      <w:pPr>
        <w:rPr>
          <w:color w:val="000000"/>
        </w:rPr>
      </w:pPr>
      <w:r>
        <w:rPr>
          <w:color w:val="000000"/>
        </w:rPr>
        <w:t xml:space="preserve">Enforceability must be assessed in the context of the specific legal structure and the community powers to be granted.  As we have discussed in prior memos, the </w:t>
      </w:r>
      <w:proofErr w:type="spellStart"/>
      <w:r>
        <w:rPr>
          <w:color w:val="000000"/>
        </w:rPr>
        <w:t>CMSM</w:t>
      </w:r>
      <w:proofErr w:type="spellEnd"/>
      <w:r>
        <w:rPr>
          <w:color w:val="000000"/>
        </w:rPr>
        <w:t xml:space="preserve"> model provides for greater powers to be reserved to the community and allows for more certainty regarding enforceability than does the Board Proposal, as we understand that proposal.</w:t>
      </w:r>
    </w:p>
    <w:p>
      <w:pPr>
        <w:rPr>
          <w:color w:val="000000"/>
        </w:rPr>
      </w:pPr>
    </w:p>
    <w:p>
      <w:pPr>
        <w:rPr>
          <w:color w:val="000000"/>
        </w:rPr>
      </w:pPr>
      <w:r>
        <w:rPr>
          <w:color w:val="000000"/>
        </w:rPr>
        <w:t xml:space="preserve">One significant difference in the review processes provided by the </w:t>
      </w:r>
      <w:proofErr w:type="spellStart"/>
      <w:r>
        <w:rPr>
          <w:color w:val="000000"/>
        </w:rPr>
        <w:t>CMSM</w:t>
      </w:r>
      <w:proofErr w:type="spellEnd"/>
      <w:r>
        <w:rPr>
          <w:color w:val="000000"/>
        </w:rPr>
        <w:t xml:space="preserve"> model versus the Board Proposal relates to the core area of community powers regarding budget, strategic and operating plans, and </w:t>
      </w:r>
      <w:proofErr w:type="spellStart"/>
      <w:r>
        <w:rPr>
          <w:color w:val="000000"/>
        </w:rPr>
        <w:t>IANA</w:t>
      </w:r>
      <w:proofErr w:type="spellEnd"/>
      <w:r>
        <w:rPr>
          <w:color w:val="000000"/>
        </w:rPr>
        <w:t xml:space="preserve"> functions / </w:t>
      </w:r>
      <w:proofErr w:type="spellStart"/>
      <w:r>
        <w:rPr>
          <w:color w:val="000000"/>
        </w:rPr>
        <w:t>PTI</w:t>
      </w:r>
      <w:proofErr w:type="spellEnd"/>
      <w:r>
        <w:rPr>
          <w:color w:val="000000"/>
        </w:rPr>
        <w:t xml:space="preserve"> separation.  The </w:t>
      </w:r>
      <w:proofErr w:type="spellStart"/>
      <w:r>
        <w:rPr>
          <w:color w:val="000000"/>
        </w:rPr>
        <w:t>MEM</w:t>
      </w:r>
      <w:proofErr w:type="spellEnd"/>
      <w:r>
        <w:rPr>
          <w:color w:val="000000"/>
        </w:rPr>
        <w:t>, by design, is limited in its ability to provide enforcement in these areas because under a non-membership structure, these powers are committed to the business judgment of the Board and therefore significant uncertainty arises regarding the degree to which such matters could be subjected to binding arbitration.</w:t>
      </w:r>
    </w:p>
    <w:p>
      <w:pPr>
        <w:rPr>
          <w:color w:val="000000"/>
        </w:rPr>
      </w:pPr>
    </w:p>
    <w:p>
      <w:pPr>
        <w:autoSpaceDE w:val="0"/>
        <w:autoSpaceDN w:val="0"/>
        <w:adjustRightInd w:val="0"/>
      </w:pPr>
    </w:p>
    <w:p>
      <w:pPr>
        <w:autoSpaceDE w:val="0"/>
        <w:autoSpaceDN w:val="0"/>
        <w:adjustRightInd w:val="0"/>
        <w:sectPr>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docGrid w:linePitch="299"/>
        </w:sectPr>
      </w:pPr>
    </w:p>
    <w:p>
      <w:pPr>
        <w:pStyle w:val="TitleLeft"/>
        <w:jc w:val="center"/>
        <w:rPr>
          <w:rFonts w:ascii="Arial" w:hAnsi="Arial" w:cs="Arial"/>
        </w:rPr>
      </w:pPr>
      <w:r>
        <w:rPr>
          <w:rFonts w:ascii="Arial" w:hAnsi="Arial" w:cs="Arial"/>
        </w:rPr>
        <w:lastRenderedPageBreak/>
        <w:t>Comparison of Review Processes: Current IRP, CCWG 2</w:t>
      </w:r>
      <w:r>
        <w:rPr>
          <w:rFonts w:ascii="Arial" w:hAnsi="Arial" w:cs="Arial"/>
          <w:vertAlign w:val="superscript"/>
        </w:rPr>
        <w:t>nd</w:t>
      </w:r>
      <w:r>
        <w:rPr>
          <w:rFonts w:ascii="Arial" w:hAnsi="Arial" w:cs="Arial"/>
        </w:rPr>
        <w:t xml:space="preserve"> Draft Proposal (under the CMSM Model) and </w:t>
      </w:r>
      <w:proofErr w:type="spellStart"/>
      <w:r>
        <w:rPr>
          <w:rFonts w:ascii="Arial" w:hAnsi="Arial" w:cs="Arial"/>
        </w:rPr>
        <w:t>ICANN</w:t>
      </w:r>
      <w:proofErr w:type="spellEnd"/>
      <w:r>
        <w:rPr>
          <w:rFonts w:ascii="Arial" w:hAnsi="Arial" w:cs="Arial"/>
        </w:rPr>
        <w:t xml:space="preserve"> Board Proposal, October 7, 2015</w:t>
      </w:r>
    </w:p>
    <w:tbl>
      <w:tblPr>
        <w:tblStyle w:val="TableGrid"/>
        <w:tblW w:w="5050" w:type="pct"/>
        <w:tblInd w:w="2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115" w:type="dxa"/>
          <w:right w:w="115" w:type="dxa"/>
        </w:tblCellMar>
        <w:tblLook w:val="04A0"/>
      </w:tblPr>
      <w:tblGrid>
        <w:gridCol w:w="3303"/>
        <w:gridCol w:w="3717"/>
        <w:gridCol w:w="3841"/>
        <w:gridCol w:w="3915"/>
      </w:tblGrid>
      <w:tr>
        <w:trPr>
          <w:tblHeader/>
        </w:trPr>
        <w:tc>
          <w:tcPr>
            <w:tcW w:w="3303" w:type="dxa"/>
            <w:shd w:val="clear" w:color="auto" w:fill="244061" w:themeFill="accent1" w:themeFillShade="80"/>
          </w:tcPr>
          <w:p>
            <w:pPr>
              <w:spacing w:before="120" w:after="120"/>
              <w:rPr>
                <w:rFonts w:ascii="Arial" w:hAnsi="Arial" w:cs="Arial"/>
                <w:b/>
                <w:sz w:val="21"/>
                <w:szCs w:val="21"/>
              </w:rPr>
            </w:pPr>
          </w:p>
        </w:tc>
        <w:tc>
          <w:tcPr>
            <w:tcW w:w="3717" w:type="dxa"/>
            <w:shd w:val="clear" w:color="auto" w:fill="244061" w:themeFill="accent1" w:themeFillShade="80"/>
            <w:vAlign w:val="bottom"/>
          </w:tcPr>
          <w:p>
            <w:pPr>
              <w:spacing w:before="120" w:after="120"/>
              <w:rPr>
                <w:rFonts w:ascii="Arial" w:hAnsi="Arial" w:cs="Arial"/>
                <w:b/>
                <w:sz w:val="21"/>
                <w:szCs w:val="21"/>
              </w:rPr>
            </w:pPr>
          </w:p>
        </w:tc>
        <w:tc>
          <w:tcPr>
            <w:tcW w:w="7756" w:type="dxa"/>
            <w:gridSpan w:val="2"/>
            <w:shd w:val="clear" w:color="auto" w:fill="244061" w:themeFill="accent1" w:themeFillShade="80"/>
          </w:tcPr>
          <w:p>
            <w:pPr>
              <w:spacing w:before="120" w:after="120"/>
              <w:jc w:val="center"/>
              <w:rPr>
                <w:rFonts w:ascii="Arial" w:hAnsi="Arial" w:cs="Arial"/>
                <w:b/>
                <w:sz w:val="21"/>
                <w:szCs w:val="21"/>
              </w:rPr>
            </w:pPr>
            <w:proofErr w:type="spellStart"/>
            <w:r>
              <w:rPr>
                <w:rFonts w:ascii="Arial" w:hAnsi="Arial" w:cs="Arial"/>
                <w:b/>
                <w:sz w:val="21"/>
                <w:szCs w:val="21"/>
              </w:rPr>
              <w:t>ICANN</w:t>
            </w:r>
            <w:proofErr w:type="spellEnd"/>
            <w:r>
              <w:rPr>
                <w:rFonts w:ascii="Arial" w:hAnsi="Arial" w:cs="Arial"/>
                <w:b/>
                <w:sz w:val="21"/>
                <w:szCs w:val="21"/>
              </w:rPr>
              <w:t xml:space="preserve"> Board Proposal</w:t>
            </w:r>
          </w:p>
        </w:tc>
      </w:tr>
      <w:tr>
        <w:trPr>
          <w:tblHeader/>
        </w:trPr>
        <w:tc>
          <w:tcPr>
            <w:tcW w:w="3303" w:type="dxa"/>
            <w:shd w:val="clear" w:color="auto" w:fill="244061" w:themeFill="accent1" w:themeFillShade="80"/>
          </w:tcPr>
          <w:p>
            <w:pPr>
              <w:spacing w:before="120" w:after="120"/>
              <w:rPr>
                <w:rFonts w:ascii="Arial" w:hAnsi="Arial" w:cs="Arial"/>
                <w:b/>
                <w:sz w:val="21"/>
                <w:szCs w:val="21"/>
              </w:rPr>
            </w:pPr>
            <w:r>
              <w:rPr>
                <w:rFonts w:ascii="Arial" w:hAnsi="Arial" w:cs="Arial"/>
                <w:b/>
                <w:sz w:val="21"/>
                <w:szCs w:val="21"/>
              </w:rPr>
              <w:t>Current IRP</w:t>
            </w:r>
          </w:p>
        </w:tc>
        <w:tc>
          <w:tcPr>
            <w:tcW w:w="3717" w:type="dxa"/>
            <w:shd w:val="clear" w:color="auto" w:fill="244061" w:themeFill="accent1" w:themeFillShade="80"/>
            <w:vAlign w:val="bottom"/>
          </w:tcPr>
          <w:p>
            <w:pPr>
              <w:spacing w:before="120" w:after="120"/>
              <w:rPr>
                <w:rFonts w:ascii="Arial" w:hAnsi="Arial" w:cs="Arial"/>
                <w:b/>
                <w:sz w:val="21"/>
                <w:szCs w:val="21"/>
              </w:rPr>
            </w:pPr>
            <w:r>
              <w:rPr>
                <w:rFonts w:ascii="Arial" w:hAnsi="Arial" w:cs="Arial"/>
                <w:b/>
                <w:sz w:val="21"/>
                <w:szCs w:val="21"/>
              </w:rPr>
              <w:t>CCWG 2</w:t>
            </w:r>
            <w:r>
              <w:rPr>
                <w:rFonts w:ascii="Arial" w:hAnsi="Arial" w:cs="Arial"/>
                <w:b/>
                <w:sz w:val="21"/>
                <w:szCs w:val="21"/>
                <w:vertAlign w:val="superscript"/>
              </w:rPr>
              <w:t>nd</w:t>
            </w:r>
            <w:r>
              <w:rPr>
                <w:rFonts w:ascii="Arial" w:hAnsi="Arial" w:cs="Arial"/>
                <w:b/>
                <w:sz w:val="21"/>
                <w:szCs w:val="21"/>
              </w:rPr>
              <w:t xml:space="preserve"> Draft IRP Proposal</w:t>
            </w:r>
          </w:p>
        </w:tc>
        <w:tc>
          <w:tcPr>
            <w:tcW w:w="3841" w:type="dxa"/>
            <w:shd w:val="clear" w:color="auto" w:fill="244061" w:themeFill="accent1" w:themeFillShade="80"/>
          </w:tcPr>
          <w:p>
            <w:pPr>
              <w:spacing w:before="120" w:after="120"/>
              <w:rPr>
                <w:rFonts w:ascii="Arial" w:hAnsi="Arial" w:cs="Arial"/>
                <w:b/>
                <w:sz w:val="21"/>
                <w:szCs w:val="21"/>
              </w:rPr>
            </w:pPr>
            <w:r>
              <w:rPr>
                <w:rFonts w:ascii="Arial" w:hAnsi="Arial" w:cs="Arial"/>
                <w:b/>
                <w:sz w:val="21"/>
                <w:szCs w:val="21"/>
              </w:rPr>
              <w:t xml:space="preserve">Revised </w:t>
            </w:r>
            <w:proofErr w:type="spellStart"/>
            <w:r>
              <w:rPr>
                <w:rFonts w:ascii="Arial" w:hAnsi="Arial" w:cs="Arial"/>
                <w:b/>
                <w:sz w:val="21"/>
                <w:szCs w:val="21"/>
              </w:rPr>
              <w:t>IRP</w:t>
            </w:r>
            <w:proofErr w:type="spellEnd"/>
            <w:r>
              <w:rPr>
                <w:rFonts w:ascii="Arial" w:hAnsi="Arial" w:cs="Arial"/>
                <w:b/>
                <w:sz w:val="21"/>
                <w:szCs w:val="21"/>
              </w:rPr>
              <w:t xml:space="preserve"> Proposal</w:t>
            </w:r>
          </w:p>
        </w:tc>
        <w:tc>
          <w:tcPr>
            <w:tcW w:w="3915" w:type="dxa"/>
            <w:shd w:val="clear" w:color="auto" w:fill="244061" w:themeFill="accent1" w:themeFillShade="80"/>
            <w:vAlign w:val="bottom"/>
          </w:tcPr>
          <w:p>
            <w:pPr>
              <w:spacing w:before="120" w:after="120"/>
              <w:rPr>
                <w:rFonts w:ascii="Arial" w:hAnsi="Arial" w:cs="Arial"/>
                <w:b/>
                <w:sz w:val="21"/>
                <w:szCs w:val="21"/>
              </w:rPr>
            </w:pPr>
            <w:r>
              <w:rPr>
                <w:rFonts w:ascii="Arial" w:hAnsi="Arial" w:cs="Arial"/>
                <w:b/>
                <w:sz w:val="21"/>
                <w:szCs w:val="21"/>
              </w:rPr>
              <w:t>MEM Proposal</w:t>
            </w:r>
          </w:p>
        </w:tc>
      </w:tr>
      <w:tr>
        <w:tc>
          <w:tcPr>
            <w:tcW w:w="14776" w:type="dxa"/>
            <w:gridSpan w:val="4"/>
            <w:shd w:val="clear" w:color="auto" w:fill="B8CCE4"/>
          </w:tcPr>
          <w:p>
            <w:pPr>
              <w:keepNext/>
              <w:spacing w:before="120" w:after="120"/>
              <w:rPr>
                <w:rFonts w:ascii="Arial" w:hAnsi="Arial" w:cs="Arial"/>
                <w:b/>
                <w:sz w:val="21"/>
                <w:szCs w:val="21"/>
              </w:rPr>
            </w:pPr>
            <w:r>
              <w:rPr>
                <w:rFonts w:ascii="Arial" w:hAnsi="Arial" w:cs="Arial"/>
                <w:b/>
                <w:sz w:val="21"/>
                <w:szCs w:val="21"/>
              </w:rPr>
              <w:t>1.  Functional Overview</w:t>
            </w:r>
          </w:p>
        </w:tc>
      </w:tr>
      <w:tr>
        <w:tc>
          <w:tcPr>
            <w:tcW w:w="3303" w:type="dxa"/>
          </w:tcPr>
          <w:p>
            <w:pPr>
              <w:rPr>
                <w:rFonts w:ascii="Arial" w:hAnsi="Arial" w:cs="Arial"/>
                <w:sz w:val="21"/>
                <w:szCs w:val="21"/>
              </w:rPr>
            </w:pPr>
            <w:r>
              <w:rPr>
                <w:rFonts w:ascii="Arial" w:hAnsi="Arial" w:cs="Arial"/>
                <w:sz w:val="21"/>
                <w:szCs w:val="21"/>
              </w:rPr>
              <w:t>Article IV, Section 3 of the Bylaws provides an independent review process (IRP) of</w:t>
            </w:r>
          </w:p>
          <w:p>
            <w:pPr>
              <w:rPr>
                <w:rFonts w:ascii="Arial" w:hAnsi="Arial" w:cs="Arial"/>
                <w:sz w:val="21"/>
                <w:szCs w:val="21"/>
              </w:rPr>
            </w:pPr>
            <w:r>
              <w:rPr>
                <w:rFonts w:ascii="Arial" w:hAnsi="Arial" w:cs="Arial"/>
                <w:sz w:val="21"/>
                <w:szCs w:val="21"/>
              </w:rPr>
              <w:br/>
              <w:t xml:space="preserve">Board actions </w:t>
            </w:r>
          </w:p>
          <w:p>
            <w:pPr>
              <w:rPr>
                <w:rFonts w:ascii="Arial" w:hAnsi="Arial" w:cs="Arial"/>
                <w:sz w:val="21"/>
                <w:szCs w:val="21"/>
              </w:rPr>
            </w:pPr>
          </w:p>
          <w:p>
            <w:pPr>
              <w:rPr>
                <w:rFonts w:ascii="Arial" w:hAnsi="Arial" w:cs="Arial"/>
                <w:sz w:val="21"/>
                <w:szCs w:val="21"/>
              </w:rPr>
            </w:pPr>
            <w:r>
              <w:rPr>
                <w:rFonts w:ascii="Arial" w:hAnsi="Arial" w:cs="Arial"/>
                <w:sz w:val="21"/>
                <w:szCs w:val="21"/>
              </w:rPr>
              <w:t>alleged to be procedurally inconsistent with the Articles of Incorporation or Bylaws</w:t>
            </w:r>
            <w:r>
              <w:rPr>
                <w:rFonts w:ascii="Arial" w:hAnsi="Arial" w:cs="Arial"/>
                <w:sz w:val="21"/>
                <w:szCs w:val="21"/>
              </w:rPr>
              <w:br/>
            </w:r>
          </w:p>
          <w:p>
            <w:pPr>
              <w:rPr>
                <w:rFonts w:ascii="Arial" w:hAnsi="Arial" w:cs="Arial"/>
                <w:sz w:val="21"/>
                <w:szCs w:val="21"/>
              </w:rPr>
            </w:pPr>
          </w:p>
          <w:p>
            <w:pPr>
              <w:rPr>
                <w:rFonts w:ascii="Arial" w:hAnsi="Arial" w:cs="Arial"/>
                <w:sz w:val="21"/>
                <w:szCs w:val="21"/>
              </w:rPr>
            </w:pPr>
            <w:r>
              <w:rPr>
                <w:rFonts w:ascii="Arial" w:hAnsi="Arial" w:cs="Arial"/>
                <w:sz w:val="21"/>
                <w:szCs w:val="21"/>
              </w:rPr>
              <w:t xml:space="preserve">resulting in a non-binding decision, </w:t>
            </w:r>
          </w:p>
          <w:p>
            <w:pPr>
              <w:rPr>
                <w:rFonts w:ascii="Arial" w:hAnsi="Arial" w:cs="Arial"/>
                <w:sz w:val="21"/>
                <w:szCs w:val="21"/>
              </w:rPr>
            </w:pPr>
            <w:r>
              <w:rPr>
                <w:rFonts w:ascii="Arial" w:hAnsi="Arial" w:cs="Arial"/>
                <w:sz w:val="21"/>
                <w:szCs w:val="21"/>
              </w:rPr>
              <w:t>that is not enforceable in court.</w:t>
            </w:r>
          </w:p>
        </w:tc>
        <w:tc>
          <w:tcPr>
            <w:tcW w:w="3717" w:type="dxa"/>
          </w:tcPr>
          <w:p>
            <w:pPr>
              <w:rPr>
                <w:rFonts w:ascii="Arial" w:hAnsi="Arial" w:cs="Arial"/>
                <w:sz w:val="21"/>
                <w:szCs w:val="21"/>
              </w:rPr>
            </w:pPr>
            <w:r>
              <w:rPr>
                <w:rFonts w:ascii="Arial" w:hAnsi="Arial" w:cs="Arial"/>
                <w:sz w:val="21"/>
                <w:szCs w:val="21"/>
              </w:rPr>
              <w:t>CCWG proposes an independent review process (IRP) of</w:t>
            </w:r>
          </w:p>
          <w:p>
            <w:pPr>
              <w:rPr>
                <w:rFonts w:ascii="Arial" w:hAnsi="Arial" w:cs="Arial"/>
                <w:sz w:val="21"/>
                <w:szCs w:val="21"/>
              </w:rPr>
            </w:pPr>
          </w:p>
          <w:p>
            <w:pPr>
              <w:rPr>
                <w:rFonts w:ascii="Arial" w:hAnsi="Arial" w:cs="Arial"/>
                <w:sz w:val="21"/>
                <w:szCs w:val="21"/>
              </w:rPr>
            </w:pPr>
          </w:p>
          <w:p>
            <w:pPr>
              <w:rPr>
                <w:rFonts w:ascii="Arial" w:hAnsi="Arial" w:cs="Arial"/>
                <w:sz w:val="21"/>
                <w:szCs w:val="21"/>
              </w:rPr>
            </w:pPr>
            <w:r>
              <w:rPr>
                <w:rFonts w:ascii="Arial" w:hAnsi="Arial" w:cs="Arial"/>
                <w:sz w:val="21"/>
                <w:szCs w:val="21"/>
              </w:rPr>
              <w:t>Board and staff (actions or failure to act)</w:t>
            </w:r>
          </w:p>
          <w:p>
            <w:pPr>
              <w:rPr>
                <w:rFonts w:ascii="Arial" w:hAnsi="Arial" w:cs="Arial"/>
                <w:sz w:val="21"/>
                <w:szCs w:val="21"/>
              </w:rPr>
            </w:pPr>
            <w:r>
              <w:rPr>
                <w:rFonts w:ascii="Arial" w:hAnsi="Arial" w:cs="Arial"/>
                <w:sz w:val="21"/>
                <w:szCs w:val="21"/>
              </w:rPr>
              <w:t xml:space="preserve">alleged to be procedurally or substantively inconsistent with the Articles of Incorporation or Bylaws </w:t>
            </w:r>
          </w:p>
          <w:p>
            <w:pPr>
              <w:rPr>
                <w:rFonts w:ascii="Arial" w:hAnsi="Arial" w:cs="Arial"/>
                <w:sz w:val="21"/>
                <w:szCs w:val="21"/>
              </w:rPr>
            </w:pPr>
          </w:p>
          <w:p>
            <w:pPr>
              <w:rPr>
                <w:rFonts w:ascii="Arial" w:hAnsi="Arial" w:cs="Arial"/>
                <w:sz w:val="21"/>
                <w:szCs w:val="21"/>
              </w:rPr>
            </w:pPr>
          </w:p>
          <w:p>
            <w:pPr>
              <w:rPr>
                <w:rFonts w:ascii="Arial" w:hAnsi="Arial" w:cs="Arial"/>
                <w:sz w:val="21"/>
                <w:szCs w:val="21"/>
              </w:rPr>
            </w:pPr>
            <w:r>
              <w:rPr>
                <w:rFonts w:ascii="Arial" w:hAnsi="Arial" w:cs="Arial"/>
                <w:sz w:val="21"/>
                <w:szCs w:val="21"/>
              </w:rPr>
              <w:t>resulting in a binding decision,</w:t>
            </w:r>
          </w:p>
          <w:p>
            <w:pPr>
              <w:rPr>
                <w:rFonts w:ascii="Arial" w:hAnsi="Arial" w:cs="Arial"/>
                <w:sz w:val="21"/>
                <w:szCs w:val="21"/>
              </w:rPr>
            </w:pPr>
          </w:p>
          <w:p>
            <w:pPr>
              <w:rPr>
                <w:rFonts w:ascii="Arial" w:hAnsi="Arial" w:cs="Arial"/>
                <w:sz w:val="21"/>
                <w:szCs w:val="21"/>
              </w:rPr>
            </w:pPr>
            <w:r>
              <w:rPr>
                <w:rFonts w:ascii="Arial" w:hAnsi="Arial" w:cs="Arial"/>
                <w:sz w:val="21"/>
                <w:szCs w:val="21"/>
              </w:rPr>
              <w:t>enforceable in US courts and in the courts of other countries that adhere to international arbitration norms.</w:t>
            </w:r>
          </w:p>
        </w:tc>
        <w:tc>
          <w:tcPr>
            <w:tcW w:w="3841" w:type="dxa"/>
          </w:tcPr>
          <w:p>
            <w:pPr>
              <w:rPr>
                <w:rFonts w:ascii="Arial" w:hAnsi="Arial" w:cs="Arial"/>
                <w:sz w:val="21"/>
                <w:szCs w:val="21"/>
              </w:rPr>
            </w:pPr>
            <w:r>
              <w:rPr>
                <w:rFonts w:ascii="Arial" w:hAnsi="Arial" w:cs="Arial"/>
                <w:sz w:val="21"/>
                <w:szCs w:val="21"/>
              </w:rPr>
              <w:t>Board supports CCWG proposal for an independent review process (IRP) of</w:t>
            </w:r>
          </w:p>
          <w:p>
            <w:pPr>
              <w:rPr>
                <w:rFonts w:ascii="Arial" w:hAnsi="Arial" w:cs="Arial"/>
                <w:sz w:val="21"/>
                <w:szCs w:val="21"/>
              </w:rPr>
            </w:pPr>
          </w:p>
          <w:p>
            <w:pPr>
              <w:rPr>
                <w:rFonts w:ascii="Arial" w:hAnsi="Arial" w:cs="Arial"/>
                <w:sz w:val="21"/>
                <w:szCs w:val="21"/>
              </w:rPr>
            </w:pPr>
          </w:p>
          <w:p>
            <w:pPr>
              <w:rPr>
                <w:rFonts w:ascii="Arial" w:hAnsi="Arial" w:cs="Arial"/>
                <w:sz w:val="21"/>
                <w:szCs w:val="21"/>
              </w:rPr>
            </w:pPr>
            <w:r>
              <w:rPr>
                <w:rFonts w:ascii="Arial" w:hAnsi="Arial" w:cs="Arial"/>
                <w:sz w:val="21"/>
                <w:szCs w:val="21"/>
              </w:rPr>
              <w:t>Board and staff (actions or failure to act)</w:t>
            </w:r>
          </w:p>
          <w:p>
            <w:pPr>
              <w:rPr>
                <w:rFonts w:ascii="Arial" w:hAnsi="Arial" w:cs="Arial"/>
                <w:sz w:val="21"/>
                <w:szCs w:val="21"/>
              </w:rPr>
            </w:pPr>
            <w:r>
              <w:rPr>
                <w:rFonts w:ascii="Arial" w:hAnsi="Arial" w:cs="Arial"/>
                <w:sz w:val="21"/>
                <w:szCs w:val="21"/>
              </w:rPr>
              <w:t>alleged to be in violation of Articles of Incorporation or Bylaws, including any violation of the bylaws resulting from action taken in response to advice/ input from any SO/AC</w:t>
            </w:r>
          </w:p>
          <w:p>
            <w:pPr>
              <w:rPr>
                <w:rFonts w:ascii="Arial" w:hAnsi="Arial" w:cs="Arial"/>
                <w:sz w:val="21"/>
                <w:szCs w:val="21"/>
              </w:rPr>
            </w:pPr>
            <w:r>
              <w:rPr>
                <w:rFonts w:ascii="Arial" w:hAnsi="Arial" w:cs="Arial"/>
                <w:sz w:val="21"/>
                <w:szCs w:val="21"/>
              </w:rPr>
              <w:t>resulting in a binding decision  (somewhat unclear)</w:t>
            </w:r>
            <w:r>
              <w:rPr>
                <w:rStyle w:val="FootnoteReference"/>
                <w:rFonts w:ascii="Arial" w:hAnsi="Arial" w:cs="Arial"/>
                <w:sz w:val="21"/>
                <w:szCs w:val="21"/>
              </w:rPr>
              <w:footnoteReference w:id="1"/>
            </w:r>
          </w:p>
          <w:p>
            <w:pPr>
              <w:rPr>
                <w:rFonts w:ascii="Arial" w:hAnsi="Arial" w:cs="Arial"/>
                <w:sz w:val="21"/>
                <w:szCs w:val="21"/>
              </w:rPr>
            </w:pPr>
            <w:r>
              <w:rPr>
                <w:rFonts w:ascii="Arial" w:hAnsi="Arial" w:cs="Arial"/>
                <w:sz w:val="21"/>
                <w:szCs w:val="21"/>
              </w:rPr>
              <w:t>enforceable in U.S. courts and perhaps in the courts of other countries that adhere to international arbitration norms.</w:t>
            </w:r>
          </w:p>
        </w:tc>
        <w:tc>
          <w:tcPr>
            <w:tcW w:w="3915" w:type="dxa"/>
          </w:tcPr>
          <w:p>
            <w:pPr>
              <w:rPr>
                <w:rFonts w:ascii="Arial" w:hAnsi="Arial" w:cs="Arial"/>
                <w:sz w:val="21"/>
                <w:szCs w:val="21"/>
              </w:rPr>
            </w:pPr>
            <w:r>
              <w:rPr>
                <w:rFonts w:ascii="Arial" w:hAnsi="Arial" w:cs="Arial"/>
                <w:sz w:val="21"/>
                <w:szCs w:val="21"/>
              </w:rPr>
              <w:t>Board recommends a separate Multistakeholder Enforcement Mechanism (MEM) for independent review of</w:t>
            </w:r>
          </w:p>
          <w:p>
            <w:pPr>
              <w:rPr>
                <w:rFonts w:ascii="Arial" w:hAnsi="Arial" w:cs="Arial"/>
                <w:sz w:val="21"/>
                <w:szCs w:val="21"/>
              </w:rPr>
            </w:pPr>
            <w:r>
              <w:rPr>
                <w:rFonts w:ascii="Arial" w:hAnsi="Arial" w:cs="Arial"/>
                <w:sz w:val="21"/>
                <w:szCs w:val="21"/>
              </w:rPr>
              <w:t xml:space="preserve">Board actions </w:t>
            </w:r>
            <w:r>
              <w:rPr>
                <w:rFonts w:ascii="Arial" w:hAnsi="Arial" w:cs="Arial"/>
                <w:sz w:val="21"/>
                <w:szCs w:val="21"/>
              </w:rPr>
              <w:br/>
            </w:r>
          </w:p>
          <w:p>
            <w:pPr>
              <w:rPr>
                <w:rFonts w:ascii="Arial" w:hAnsi="Arial" w:cs="Arial"/>
                <w:sz w:val="21"/>
                <w:szCs w:val="21"/>
              </w:rPr>
            </w:pPr>
            <w:r>
              <w:rPr>
                <w:rFonts w:ascii="Arial" w:hAnsi="Arial" w:cs="Arial"/>
                <w:sz w:val="21"/>
                <w:szCs w:val="21"/>
              </w:rPr>
              <w:t xml:space="preserve">alleged to be inconsistent with or violation with </w:t>
            </w:r>
            <w:r>
              <w:rPr>
                <w:rFonts w:ascii="Arial" w:hAnsi="Arial" w:cs="Arial"/>
                <w:b/>
                <w:sz w:val="21"/>
                <w:szCs w:val="21"/>
              </w:rPr>
              <w:t>Fundamental</w:t>
            </w:r>
            <w:r>
              <w:rPr>
                <w:rFonts w:ascii="Arial" w:hAnsi="Arial" w:cs="Arial"/>
                <w:sz w:val="21"/>
                <w:szCs w:val="21"/>
              </w:rPr>
              <w:t xml:space="preserve"> Bylaws. </w:t>
            </w: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rPr>
                <w:rFonts w:ascii="Arial" w:hAnsi="Arial" w:cs="Arial"/>
                <w:sz w:val="21"/>
                <w:szCs w:val="21"/>
              </w:rPr>
            </w:pPr>
            <w:r>
              <w:rPr>
                <w:rFonts w:ascii="Arial" w:hAnsi="Arial" w:cs="Arial"/>
                <w:sz w:val="21"/>
                <w:szCs w:val="21"/>
              </w:rPr>
              <w:t>resulting in a binding decision,</w:t>
            </w:r>
          </w:p>
          <w:p>
            <w:pPr>
              <w:rPr>
                <w:rFonts w:ascii="Arial" w:hAnsi="Arial" w:cs="Arial"/>
                <w:sz w:val="21"/>
                <w:szCs w:val="21"/>
              </w:rPr>
            </w:pPr>
          </w:p>
          <w:p>
            <w:pPr>
              <w:rPr>
                <w:rFonts w:ascii="Arial" w:hAnsi="Arial" w:cs="Arial"/>
                <w:i/>
                <w:sz w:val="21"/>
                <w:szCs w:val="21"/>
              </w:rPr>
            </w:pPr>
            <w:r>
              <w:rPr>
                <w:rFonts w:ascii="Arial" w:hAnsi="Arial" w:cs="Arial"/>
                <w:sz w:val="21"/>
                <w:szCs w:val="21"/>
              </w:rPr>
              <w:t>enforceable in California state and (in some circumstances) federal courts.</w:t>
            </w:r>
          </w:p>
        </w:tc>
      </w:tr>
      <w:tr>
        <w:tc>
          <w:tcPr>
            <w:tcW w:w="14776" w:type="dxa"/>
            <w:gridSpan w:val="4"/>
            <w:shd w:val="clear" w:color="auto" w:fill="B8CCE4"/>
          </w:tcPr>
          <w:p>
            <w:pPr>
              <w:keepNext/>
              <w:keepLines/>
              <w:spacing w:before="120" w:after="120"/>
              <w:rPr>
                <w:rFonts w:ascii="Arial" w:hAnsi="Arial" w:cs="Arial"/>
                <w:b/>
                <w:sz w:val="21"/>
                <w:szCs w:val="21"/>
              </w:rPr>
            </w:pPr>
            <w:r>
              <w:rPr>
                <w:rFonts w:ascii="Arial" w:hAnsi="Arial" w:cs="Arial"/>
                <w:b/>
                <w:sz w:val="21"/>
                <w:szCs w:val="21"/>
              </w:rPr>
              <w:t xml:space="preserve">2.  Fiduciary Limitation </w:t>
            </w:r>
          </w:p>
        </w:tc>
      </w:tr>
      <w:tr>
        <w:tc>
          <w:tcPr>
            <w:tcW w:w="3303" w:type="dxa"/>
            <w:shd w:val="clear" w:color="auto" w:fill="auto"/>
          </w:tcPr>
          <w:p>
            <w:pPr>
              <w:rPr>
                <w:rFonts w:ascii="Arial" w:hAnsi="Arial" w:cs="Arial"/>
                <w:sz w:val="21"/>
                <w:szCs w:val="21"/>
              </w:rPr>
            </w:pPr>
            <w:r>
              <w:rPr>
                <w:rFonts w:ascii="Arial" w:hAnsi="Arial" w:cs="Arial"/>
                <w:sz w:val="21"/>
                <w:szCs w:val="21"/>
              </w:rPr>
              <w:t>Non-binding; no fiduciary limitation because Board adopts only those declarations it approves.</w:t>
            </w:r>
          </w:p>
        </w:tc>
        <w:tc>
          <w:tcPr>
            <w:tcW w:w="3717" w:type="dxa"/>
            <w:shd w:val="clear" w:color="auto" w:fill="auto"/>
          </w:tcPr>
          <w:p>
            <w:pPr>
              <w:rPr>
                <w:rFonts w:ascii="Arial" w:hAnsi="Arial" w:cs="Arial"/>
                <w:sz w:val="21"/>
                <w:szCs w:val="21"/>
              </w:rPr>
            </w:pPr>
            <w:r>
              <w:rPr>
                <w:rFonts w:ascii="Arial" w:hAnsi="Arial" w:cs="Arial"/>
                <w:sz w:val="21"/>
                <w:szCs w:val="21"/>
              </w:rPr>
              <w:t xml:space="preserve">CMSM can enforce specific member powers reserved to it in the Bylaws, including powers related to budget, strategy, operations and IANA functions review / PTI separation.  Binding IRP matters otherwise exclude those in conflict with the </w:t>
            </w:r>
            <w:r>
              <w:rPr>
                <w:rFonts w:ascii="Arial" w:hAnsi="Arial" w:cs="Arial"/>
                <w:sz w:val="21"/>
                <w:szCs w:val="21"/>
              </w:rPr>
              <w:lastRenderedPageBreak/>
              <w:t>board’s fiduciary responsibilities.</w:t>
            </w:r>
          </w:p>
        </w:tc>
        <w:tc>
          <w:tcPr>
            <w:tcW w:w="3841" w:type="dxa"/>
          </w:tcPr>
          <w:p>
            <w:pPr>
              <w:rPr>
                <w:rFonts w:ascii="Arial" w:hAnsi="Arial" w:cs="Arial"/>
                <w:sz w:val="21"/>
                <w:szCs w:val="21"/>
              </w:rPr>
            </w:pPr>
            <w:r>
              <w:rPr>
                <w:rFonts w:ascii="Arial" w:hAnsi="Arial" w:cs="Arial"/>
                <w:sz w:val="21"/>
                <w:szCs w:val="21"/>
              </w:rPr>
              <w:lastRenderedPageBreak/>
              <w:t>Binding IRP matters exclude those in conflict with the board’s fiduciary responsibilities, such as some of those related to budget, strategy, operations and IANA functions review / PTI separation.</w:t>
            </w:r>
          </w:p>
        </w:tc>
        <w:tc>
          <w:tcPr>
            <w:tcW w:w="3915" w:type="dxa"/>
            <w:shd w:val="clear" w:color="auto" w:fill="auto"/>
          </w:tcPr>
          <w:p>
            <w:pPr>
              <w:rPr>
                <w:rFonts w:ascii="Arial" w:hAnsi="Arial" w:cs="Arial"/>
                <w:sz w:val="21"/>
                <w:szCs w:val="21"/>
              </w:rPr>
            </w:pPr>
            <w:r>
              <w:rPr>
                <w:rFonts w:ascii="Arial" w:hAnsi="Arial" w:cs="Arial"/>
                <w:sz w:val="21"/>
                <w:szCs w:val="21"/>
              </w:rPr>
              <w:t>MEM matters exclude those in conflict with committed to Board’s fiduciary discretion, such as those related to budget, strategy, operations and IANA functions review / PTI separation.</w:t>
            </w:r>
          </w:p>
        </w:tc>
      </w:tr>
      <w:tr>
        <w:tc>
          <w:tcPr>
            <w:tcW w:w="14776" w:type="dxa"/>
            <w:gridSpan w:val="4"/>
            <w:shd w:val="clear" w:color="auto" w:fill="B8CCE4"/>
          </w:tcPr>
          <w:p>
            <w:pPr>
              <w:keepNext/>
              <w:keepLines/>
              <w:spacing w:before="120" w:after="120"/>
              <w:rPr>
                <w:rFonts w:ascii="Arial" w:hAnsi="Arial" w:cs="Arial"/>
                <w:b/>
                <w:sz w:val="21"/>
                <w:szCs w:val="21"/>
              </w:rPr>
            </w:pPr>
            <w:r>
              <w:rPr>
                <w:rFonts w:ascii="Arial" w:hAnsi="Arial" w:cs="Arial"/>
                <w:b/>
                <w:sz w:val="21"/>
                <w:szCs w:val="21"/>
              </w:rPr>
              <w:lastRenderedPageBreak/>
              <w:t>3.  Who May Initiate; Harm Threshold</w:t>
            </w:r>
          </w:p>
        </w:tc>
      </w:tr>
      <w:tr>
        <w:tc>
          <w:tcPr>
            <w:tcW w:w="3303" w:type="dxa"/>
            <w:shd w:val="clear" w:color="auto" w:fill="auto"/>
          </w:tcPr>
          <w:p>
            <w:pPr>
              <w:rPr>
                <w:rFonts w:ascii="Arial" w:hAnsi="Arial" w:cs="Arial"/>
                <w:sz w:val="21"/>
                <w:szCs w:val="21"/>
              </w:rPr>
            </w:pPr>
            <w:r>
              <w:rPr>
                <w:rFonts w:ascii="Arial" w:hAnsi="Arial" w:cs="Arial"/>
                <w:sz w:val="21"/>
                <w:szCs w:val="21"/>
              </w:rPr>
              <w:t>Any person who has been materially affected by the Board’s action or decision in violation of the Articles or Bylaws (directly and causally connected injury or harm).</w:t>
            </w:r>
          </w:p>
          <w:p>
            <w:pPr>
              <w:rPr>
                <w:rFonts w:ascii="Arial" w:hAnsi="Arial" w:cs="Arial"/>
                <w:sz w:val="21"/>
                <w:szCs w:val="21"/>
              </w:rPr>
            </w:pPr>
          </w:p>
        </w:tc>
        <w:tc>
          <w:tcPr>
            <w:tcW w:w="3717" w:type="dxa"/>
            <w:shd w:val="clear" w:color="auto" w:fill="auto"/>
          </w:tcPr>
          <w:p>
            <w:pPr>
              <w:rPr>
                <w:rFonts w:ascii="Arial" w:hAnsi="Arial" w:cs="Arial"/>
                <w:sz w:val="21"/>
                <w:szCs w:val="21"/>
              </w:rPr>
            </w:pPr>
            <w:r>
              <w:rPr>
                <w:rFonts w:ascii="Arial" w:hAnsi="Arial" w:cs="Arial"/>
                <w:sz w:val="21"/>
                <w:szCs w:val="21"/>
              </w:rPr>
              <w:t>Anyone who has been materially affected by ICANN’s action or inaction in violation of the Articles or Bylaws.</w:t>
            </w:r>
          </w:p>
        </w:tc>
        <w:tc>
          <w:tcPr>
            <w:tcW w:w="3841" w:type="dxa"/>
          </w:tcPr>
          <w:p>
            <w:pPr>
              <w:rPr>
                <w:rFonts w:ascii="Arial" w:hAnsi="Arial" w:cs="Arial"/>
                <w:sz w:val="21"/>
                <w:szCs w:val="21"/>
              </w:rPr>
            </w:pPr>
            <w:r>
              <w:rPr>
                <w:rFonts w:ascii="Arial" w:hAnsi="Arial" w:cs="Arial"/>
                <w:sz w:val="21"/>
                <w:szCs w:val="21"/>
              </w:rPr>
              <w:t>Anyone who has been materially affected by a violation of ICANN’s Articles of Incorporation or Bylaws (unclear if this is intended to be generally similar to CCWG Proposal).</w:t>
            </w:r>
          </w:p>
        </w:tc>
        <w:tc>
          <w:tcPr>
            <w:tcW w:w="3915" w:type="dxa"/>
            <w:shd w:val="clear" w:color="auto" w:fill="auto"/>
          </w:tcPr>
          <w:p>
            <w:pPr>
              <w:rPr>
                <w:rFonts w:ascii="Arial" w:hAnsi="Arial" w:cs="Arial"/>
                <w:sz w:val="21"/>
                <w:szCs w:val="21"/>
              </w:rPr>
            </w:pPr>
            <w:r>
              <w:rPr>
                <w:rFonts w:ascii="Arial" w:hAnsi="Arial" w:cs="Arial"/>
                <w:sz w:val="21"/>
                <w:szCs w:val="21"/>
              </w:rPr>
              <w:t xml:space="preserve">MEM limited to Board action in violation of Fundamental Bylaws, and MEM petition must be initiated by an SO or AC. </w:t>
            </w:r>
          </w:p>
          <w:p>
            <w:pPr>
              <w:rPr>
                <w:rFonts w:ascii="Arial" w:hAnsi="Arial" w:cs="Arial"/>
                <w:sz w:val="21"/>
                <w:szCs w:val="21"/>
              </w:rPr>
            </w:pPr>
          </w:p>
        </w:tc>
      </w:tr>
      <w:t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t>4.  Sources of Law; Subject Matter Jurisdiction</w:t>
            </w:r>
          </w:p>
        </w:tc>
      </w:tr>
      <w:tr>
        <w:tc>
          <w:tcPr>
            <w:tcW w:w="3303" w:type="dxa"/>
            <w:shd w:val="clear" w:color="auto" w:fill="auto"/>
          </w:tcPr>
          <w:p>
            <w:pPr>
              <w:rPr>
                <w:rFonts w:ascii="Arial" w:hAnsi="Arial" w:cs="Arial"/>
                <w:sz w:val="21"/>
                <w:szCs w:val="21"/>
              </w:rPr>
            </w:pPr>
            <w:r>
              <w:rPr>
                <w:rFonts w:ascii="Arial" w:hAnsi="Arial" w:cs="Arial"/>
                <w:sz w:val="21"/>
                <w:szCs w:val="21"/>
              </w:rPr>
              <w:t>Articles and Bylaws (in the context of applicable governing law)</w:t>
            </w:r>
          </w:p>
        </w:tc>
        <w:tc>
          <w:tcPr>
            <w:tcW w:w="3717" w:type="dxa"/>
            <w:shd w:val="clear" w:color="auto" w:fill="auto"/>
          </w:tcPr>
          <w:p>
            <w:pPr>
              <w:rPr>
                <w:rFonts w:ascii="Arial" w:hAnsi="Arial" w:cs="Arial"/>
                <w:sz w:val="21"/>
                <w:szCs w:val="21"/>
              </w:rPr>
            </w:pPr>
            <w:r>
              <w:rPr>
                <w:rFonts w:ascii="Arial" w:hAnsi="Arial" w:cs="Arial"/>
                <w:sz w:val="21"/>
                <w:szCs w:val="21"/>
              </w:rPr>
              <w:t xml:space="preserve">Articles and Bylaws in the context of applicable governing law </w:t>
            </w:r>
            <w:r>
              <w:rPr>
                <w:rFonts w:ascii="Arial" w:hAnsi="Arial" w:cs="Arial"/>
                <w:sz w:val="21"/>
                <w:szCs w:val="21"/>
              </w:rPr>
              <w:br/>
            </w:r>
            <w:r>
              <w:rPr>
                <w:rFonts w:ascii="Arial" w:hAnsi="Arial" w:cs="Arial"/>
                <w:sz w:val="21"/>
                <w:szCs w:val="21"/>
              </w:rPr>
              <w:br/>
              <w:t>Prior IRP decisions</w:t>
            </w:r>
          </w:p>
          <w:p>
            <w:pPr>
              <w:rPr>
                <w:rFonts w:ascii="Arial" w:hAnsi="Arial" w:cs="Arial"/>
                <w:sz w:val="21"/>
                <w:szCs w:val="21"/>
              </w:rPr>
            </w:pPr>
          </w:p>
          <w:p>
            <w:pPr>
              <w:rPr>
                <w:rFonts w:ascii="Arial" w:hAnsi="Arial" w:cs="Arial"/>
                <w:sz w:val="21"/>
                <w:szCs w:val="21"/>
              </w:rPr>
            </w:pPr>
            <w:r>
              <w:rPr>
                <w:rFonts w:ascii="Arial" w:hAnsi="Arial" w:cs="Arial"/>
                <w:sz w:val="21"/>
                <w:szCs w:val="21"/>
              </w:rPr>
              <w:t>Can reconcile conflicting decisions of process-specific “expert panels”</w:t>
            </w:r>
          </w:p>
          <w:p>
            <w:pPr>
              <w:rPr>
                <w:rFonts w:ascii="Arial" w:hAnsi="Arial" w:cs="Arial"/>
                <w:sz w:val="21"/>
                <w:szCs w:val="21"/>
              </w:rPr>
            </w:pPr>
            <w:r>
              <w:rPr>
                <w:rFonts w:ascii="Arial" w:hAnsi="Arial" w:cs="Arial"/>
                <w:sz w:val="21"/>
                <w:szCs w:val="21"/>
              </w:rPr>
              <w:t>Subject matter includes all claims involving rights of the Sole Member, which could be initiated by the Sole Member or by anyone else, including the Board itself.</w:t>
            </w:r>
          </w:p>
          <w:p>
            <w:pPr>
              <w:rPr>
                <w:rFonts w:ascii="Arial" w:hAnsi="Arial" w:cs="Arial"/>
                <w:sz w:val="21"/>
                <w:szCs w:val="21"/>
              </w:rPr>
            </w:pPr>
          </w:p>
          <w:p>
            <w:pPr>
              <w:rPr>
                <w:rFonts w:ascii="Arial" w:hAnsi="Arial" w:cs="Arial"/>
                <w:sz w:val="21"/>
                <w:szCs w:val="21"/>
              </w:rPr>
            </w:pPr>
            <w:r>
              <w:rPr>
                <w:rFonts w:ascii="Arial" w:hAnsi="Arial" w:cs="Arial"/>
                <w:sz w:val="21"/>
                <w:szCs w:val="21"/>
              </w:rPr>
              <w:t>Exclusions for ccTLD delegation/ redelegation, numbering resources.</w:t>
            </w:r>
          </w:p>
        </w:tc>
        <w:tc>
          <w:tcPr>
            <w:tcW w:w="3841" w:type="dxa"/>
          </w:tcPr>
          <w:p>
            <w:pPr>
              <w:rPr>
                <w:rFonts w:ascii="Arial" w:hAnsi="Arial" w:cs="Arial"/>
                <w:sz w:val="21"/>
                <w:szCs w:val="21"/>
              </w:rPr>
            </w:pPr>
            <w:r>
              <w:rPr>
                <w:rFonts w:ascii="Arial" w:hAnsi="Arial" w:cs="Arial"/>
                <w:sz w:val="21"/>
                <w:szCs w:val="21"/>
              </w:rPr>
              <w:t>Articles and Bylaws (the context of applicable governing law)</w:t>
            </w:r>
            <w:r>
              <w:rPr>
                <w:rFonts w:ascii="Arial" w:hAnsi="Arial" w:cs="Arial"/>
                <w:sz w:val="21"/>
                <w:szCs w:val="21"/>
              </w:rPr>
              <w:br/>
            </w:r>
            <w:r>
              <w:rPr>
                <w:rFonts w:ascii="Arial" w:hAnsi="Arial" w:cs="Arial"/>
                <w:sz w:val="21"/>
                <w:szCs w:val="21"/>
              </w:rPr>
              <w:br/>
              <w:t>Prior IRP decisions</w:t>
            </w:r>
          </w:p>
          <w:p>
            <w:pPr>
              <w:rPr>
                <w:rFonts w:ascii="Arial" w:hAnsi="Arial" w:cs="Arial"/>
                <w:color w:val="000000" w:themeColor="text1"/>
                <w:sz w:val="21"/>
                <w:szCs w:val="21"/>
              </w:rPr>
            </w:pPr>
          </w:p>
          <w:p>
            <w:pPr>
              <w:rPr>
                <w:rFonts w:ascii="Arial" w:hAnsi="Arial" w:cs="Arial"/>
                <w:sz w:val="21"/>
                <w:szCs w:val="21"/>
              </w:rPr>
            </w:pPr>
            <w:proofErr w:type="spellStart"/>
            <w:r>
              <w:rPr>
                <w:rFonts w:ascii="Arial" w:hAnsi="Arial" w:cs="Arial"/>
                <w:color w:val="000000" w:themeColor="text1"/>
                <w:sz w:val="21"/>
                <w:szCs w:val="21"/>
              </w:rPr>
              <w:t>c</w:t>
            </w:r>
            <w:r>
              <w:rPr>
                <w:rFonts w:ascii="Arial" w:hAnsi="Arial" w:cs="Arial"/>
                <w:sz w:val="21"/>
                <w:szCs w:val="21"/>
              </w:rPr>
              <w:t>cTLD</w:t>
            </w:r>
            <w:proofErr w:type="spellEnd"/>
            <w:r>
              <w:rPr>
                <w:rFonts w:ascii="Arial" w:hAnsi="Arial" w:cs="Arial"/>
                <w:sz w:val="21"/>
                <w:szCs w:val="21"/>
              </w:rPr>
              <w:t xml:space="preserve"> Delegation / Redelegation and disputes related to Internet numbering resources excluded.</w:t>
            </w:r>
          </w:p>
          <w:p>
            <w:pPr>
              <w:rPr>
                <w:rFonts w:ascii="Arial" w:hAnsi="Arial" w:cs="Arial"/>
                <w:sz w:val="21"/>
                <w:szCs w:val="21"/>
              </w:rPr>
            </w:pPr>
            <w:r>
              <w:rPr>
                <w:rFonts w:ascii="Arial" w:hAnsi="Arial" w:cs="Arial"/>
                <w:sz w:val="21"/>
                <w:szCs w:val="21"/>
              </w:rPr>
              <w:t>Board agrees with IAB request for exclusion for disputes relating to protocol parameters.</w:t>
            </w:r>
          </w:p>
        </w:tc>
        <w:tc>
          <w:tcPr>
            <w:tcW w:w="3915" w:type="dxa"/>
            <w:shd w:val="clear" w:color="auto" w:fill="auto"/>
          </w:tcPr>
          <w:p>
            <w:pPr>
              <w:rPr>
                <w:rFonts w:ascii="Arial" w:hAnsi="Arial" w:cs="Arial"/>
                <w:sz w:val="21"/>
                <w:szCs w:val="21"/>
              </w:rPr>
            </w:pPr>
            <w:r>
              <w:rPr>
                <w:rFonts w:ascii="Arial" w:hAnsi="Arial" w:cs="Arial"/>
                <w:sz w:val="21"/>
                <w:szCs w:val="21"/>
              </w:rPr>
              <w:t>Fundamental Bylaws only (in the context of applicable governing law)</w:t>
            </w:r>
            <w:r>
              <w:rPr>
                <w:rFonts w:ascii="Arial" w:hAnsi="Arial" w:cs="Arial"/>
                <w:sz w:val="21"/>
                <w:szCs w:val="21"/>
              </w:rPr>
              <w:br/>
            </w:r>
            <w:r>
              <w:rPr>
                <w:rFonts w:ascii="Arial" w:hAnsi="Arial" w:cs="Arial"/>
                <w:sz w:val="21"/>
                <w:szCs w:val="21"/>
              </w:rPr>
              <w:br/>
              <w:t xml:space="preserve">Everything else excluded, including IAB disputes </w:t>
            </w:r>
          </w:p>
        </w:tc>
      </w:tr>
      <w:tr>
        <w:tc>
          <w:tcPr>
            <w:tcW w:w="14776" w:type="dxa"/>
            <w:gridSpan w:val="4"/>
            <w:shd w:val="clear" w:color="auto" w:fill="B8CCE4"/>
          </w:tcPr>
          <w:p>
            <w:pPr>
              <w:keepNext/>
              <w:spacing w:before="120" w:after="120"/>
              <w:rPr>
                <w:rFonts w:ascii="Arial" w:hAnsi="Arial" w:cs="Arial"/>
                <w:b/>
                <w:sz w:val="21"/>
                <w:szCs w:val="21"/>
              </w:rPr>
            </w:pPr>
            <w:r>
              <w:rPr>
                <w:rFonts w:ascii="Arial" w:hAnsi="Arial" w:cs="Arial"/>
                <w:b/>
                <w:sz w:val="21"/>
                <w:szCs w:val="21"/>
              </w:rPr>
              <w:t>5.  Enforceability of Arbitral Award</w:t>
            </w:r>
          </w:p>
        </w:tc>
      </w:tr>
      <w:tr>
        <w:tc>
          <w:tcPr>
            <w:tcW w:w="3303" w:type="dxa"/>
          </w:tcPr>
          <w:p>
            <w:pPr>
              <w:pStyle w:val="BodyText"/>
              <w:ind w:firstLine="0"/>
              <w:rPr>
                <w:rFonts w:ascii="Arial" w:hAnsi="Arial" w:cs="Arial"/>
                <w:sz w:val="21"/>
                <w:szCs w:val="21"/>
              </w:rPr>
            </w:pPr>
            <w:r>
              <w:rPr>
                <w:rFonts w:ascii="Arial" w:hAnsi="Arial" w:cs="Arial"/>
                <w:sz w:val="21"/>
                <w:szCs w:val="21"/>
              </w:rPr>
              <w:t>Not binding or enforceable.</w:t>
            </w:r>
          </w:p>
        </w:tc>
        <w:tc>
          <w:tcPr>
            <w:tcW w:w="3717" w:type="dxa"/>
          </w:tcPr>
          <w:p>
            <w:pPr>
              <w:pStyle w:val="BodyText"/>
              <w:ind w:firstLine="0"/>
              <w:rPr>
                <w:rFonts w:ascii="Arial" w:hAnsi="Arial" w:cs="Arial"/>
                <w:sz w:val="21"/>
                <w:szCs w:val="21"/>
              </w:rPr>
            </w:pPr>
            <w:r>
              <w:rPr>
                <w:rFonts w:ascii="Arial" w:hAnsi="Arial" w:cs="Arial"/>
                <w:sz w:val="21"/>
                <w:szCs w:val="21"/>
              </w:rPr>
              <w:t>Binding to the extent permitted by law. CMSM could enforce in any court of competent jurisdiction.</w:t>
            </w:r>
          </w:p>
        </w:tc>
        <w:tc>
          <w:tcPr>
            <w:tcW w:w="3841" w:type="dxa"/>
          </w:tcPr>
          <w:p>
            <w:pPr>
              <w:pStyle w:val="BodyText"/>
              <w:ind w:firstLine="0"/>
              <w:rPr>
                <w:rFonts w:ascii="Arial" w:hAnsi="Arial" w:cs="Arial"/>
                <w:sz w:val="21"/>
                <w:szCs w:val="21"/>
              </w:rPr>
            </w:pPr>
            <w:r>
              <w:rPr>
                <w:rFonts w:ascii="Arial" w:hAnsi="Arial" w:cs="Arial"/>
                <w:sz w:val="21"/>
                <w:szCs w:val="21"/>
              </w:rPr>
              <w:t>Unclear whether enforceable only in the courts of California or in other courts that accept international arbitration results, and unclear who has power to enforce.</w:t>
            </w:r>
            <w:r>
              <w:rPr>
                <w:rStyle w:val="FootnoteReference"/>
                <w:rFonts w:ascii="Arial" w:hAnsi="Arial" w:cs="Arial"/>
                <w:sz w:val="21"/>
                <w:szCs w:val="21"/>
              </w:rPr>
              <w:t xml:space="preserve"> </w:t>
            </w:r>
          </w:p>
        </w:tc>
        <w:tc>
          <w:tcPr>
            <w:tcW w:w="3915" w:type="dxa"/>
          </w:tcPr>
          <w:p>
            <w:pPr>
              <w:pStyle w:val="BodyText"/>
              <w:ind w:firstLine="0"/>
              <w:rPr>
                <w:rFonts w:ascii="Arial" w:hAnsi="Arial" w:cs="Arial"/>
                <w:sz w:val="21"/>
                <w:szCs w:val="21"/>
              </w:rPr>
            </w:pPr>
            <w:r>
              <w:rPr>
                <w:rFonts w:ascii="Arial" w:hAnsi="Arial" w:cs="Arial"/>
                <w:sz w:val="21"/>
                <w:szCs w:val="21"/>
              </w:rPr>
              <w:t xml:space="preserve">Enforceable in California courts by MEM Issues Group, or individuals associated with SO/ACs comprising the MEM Issues Group, in each case if the party has standing. </w:t>
            </w:r>
          </w:p>
          <w:p>
            <w:pPr>
              <w:pStyle w:val="BodyText"/>
              <w:ind w:firstLine="0"/>
              <w:rPr>
                <w:rFonts w:ascii="Arial" w:hAnsi="Arial" w:cs="Arial"/>
                <w:sz w:val="21"/>
                <w:szCs w:val="21"/>
              </w:rPr>
            </w:pPr>
          </w:p>
        </w:tc>
      </w:tr>
      <w:tr>
        <w:tc>
          <w:tcPr>
            <w:tcW w:w="14776" w:type="dxa"/>
            <w:gridSpan w:val="4"/>
            <w:shd w:val="clear" w:color="auto" w:fill="B8CCE4"/>
          </w:tcPr>
          <w:p>
            <w:pPr>
              <w:keepNext/>
              <w:spacing w:before="120" w:after="120"/>
              <w:rPr>
                <w:rFonts w:ascii="Arial" w:hAnsi="Arial" w:cs="Arial"/>
                <w:b/>
                <w:sz w:val="21"/>
                <w:szCs w:val="21"/>
              </w:rPr>
            </w:pPr>
            <w:r>
              <w:rPr>
                <w:rFonts w:ascii="Arial" w:hAnsi="Arial" w:cs="Arial"/>
                <w:b/>
                <w:sz w:val="21"/>
                <w:szCs w:val="21"/>
              </w:rPr>
              <w:lastRenderedPageBreak/>
              <w:t>6.  Outcomes</w:t>
            </w:r>
          </w:p>
        </w:tc>
      </w:tr>
      <w:tr>
        <w:tc>
          <w:tcPr>
            <w:tcW w:w="3303" w:type="dxa"/>
          </w:tcPr>
          <w:p>
            <w:pPr>
              <w:rPr>
                <w:rFonts w:ascii="Arial" w:hAnsi="Arial" w:cs="Arial"/>
                <w:sz w:val="21"/>
                <w:szCs w:val="21"/>
              </w:rPr>
            </w:pPr>
            <w:r>
              <w:rPr>
                <w:rFonts w:ascii="Arial" w:hAnsi="Arial" w:cs="Arial"/>
                <w:sz w:val="21"/>
                <w:szCs w:val="21"/>
              </w:rPr>
              <w:t>Declaration that a Board action is procedurally inconsistent with the Articles or Bylaws.</w:t>
            </w:r>
          </w:p>
          <w:p>
            <w:pPr>
              <w:rPr>
                <w:rFonts w:ascii="Arial" w:hAnsi="Arial" w:cs="Arial"/>
                <w:sz w:val="21"/>
                <w:szCs w:val="21"/>
              </w:rPr>
            </w:pPr>
          </w:p>
          <w:p>
            <w:pPr>
              <w:rPr>
                <w:rFonts w:ascii="Arial" w:hAnsi="Arial" w:cs="Arial"/>
                <w:sz w:val="21"/>
                <w:szCs w:val="21"/>
              </w:rPr>
            </w:pPr>
          </w:p>
          <w:p>
            <w:pPr>
              <w:rPr>
                <w:rFonts w:ascii="Arial" w:hAnsi="Arial" w:cs="Arial"/>
                <w:sz w:val="21"/>
                <w:szCs w:val="21"/>
              </w:rPr>
            </w:pPr>
            <w:r>
              <w:rPr>
                <w:rFonts w:ascii="Arial" w:hAnsi="Arial" w:cs="Arial"/>
                <w:sz w:val="21"/>
                <w:szCs w:val="21"/>
              </w:rPr>
              <w:t>Board to consider the declaration.</w:t>
            </w:r>
          </w:p>
          <w:p>
            <w:pPr>
              <w:rPr>
                <w:rFonts w:ascii="Arial" w:hAnsi="Arial" w:cs="Arial"/>
                <w:sz w:val="21"/>
                <w:szCs w:val="21"/>
              </w:rPr>
            </w:pPr>
          </w:p>
          <w:p>
            <w:pPr>
              <w:rPr>
                <w:rFonts w:ascii="Arial" w:hAnsi="Arial" w:cs="Arial"/>
                <w:sz w:val="21"/>
                <w:szCs w:val="21"/>
              </w:rPr>
            </w:pPr>
            <w:r>
              <w:rPr>
                <w:rFonts w:ascii="Arial" w:hAnsi="Arial" w:cs="Arial"/>
                <w:sz w:val="21"/>
                <w:szCs w:val="21"/>
              </w:rPr>
              <w:t>Board decision regarding how to respond to IRP panel declaration is final.</w:t>
            </w:r>
          </w:p>
        </w:tc>
        <w:tc>
          <w:tcPr>
            <w:tcW w:w="3717" w:type="dxa"/>
          </w:tcPr>
          <w:p>
            <w:pPr>
              <w:rPr>
                <w:rFonts w:ascii="Arial" w:hAnsi="Arial" w:cs="Arial"/>
                <w:sz w:val="21"/>
                <w:szCs w:val="21"/>
              </w:rPr>
            </w:pPr>
            <w:r>
              <w:rPr>
                <w:rFonts w:ascii="Arial" w:hAnsi="Arial" w:cs="Arial"/>
                <w:sz w:val="21"/>
                <w:szCs w:val="21"/>
              </w:rPr>
              <w:t xml:space="preserve">Declaration that an action/failure to act complied or did not comply with ICANN’s Articles of Incorporation and/or Bylaws. </w:t>
            </w:r>
          </w:p>
          <w:p>
            <w:pPr>
              <w:rPr>
                <w:rFonts w:ascii="Arial" w:hAnsi="Arial" w:cs="Arial"/>
                <w:sz w:val="21"/>
                <w:szCs w:val="21"/>
              </w:rPr>
            </w:pPr>
          </w:p>
          <w:p>
            <w:pPr>
              <w:rPr>
                <w:rFonts w:ascii="Arial" w:hAnsi="Arial" w:cs="Arial"/>
                <w:sz w:val="21"/>
                <w:szCs w:val="21"/>
              </w:rPr>
            </w:pPr>
            <w:r>
              <w:rPr>
                <w:rFonts w:ascii="Arial" w:hAnsi="Arial" w:cs="Arial"/>
                <w:sz w:val="21"/>
                <w:szCs w:val="21"/>
              </w:rPr>
              <w:t>Interim (prospective, interlocutory, injunctive, status quo preservation) relief available where a complainant can demonstrate:</w:t>
            </w:r>
          </w:p>
          <w:p>
            <w:pPr>
              <w:rPr>
                <w:rFonts w:ascii="Arial" w:hAnsi="Arial" w:cs="Arial"/>
                <w:sz w:val="21"/>
                <w:szCs w:val="21"/>
              </w:rPr>
            </w:pPr>
            <w:r>
              <w:rPr>
                <w:rFonts w:ascii="Arial" w:hAnsi="Arial" w:cs="Arial"/>
                <w:sz w:val="21"/>
                <w:szCs w:val="21"/>
              </w:rPr>
              <w:br/>
              <w:t>a)   Harm that cannot be cured once a decision has been taken or for which there is no adequate remedy once a decision has been taken</w:t>
            </w:r>
            <w:r>
              <w:rPr>
                <w:rFonts w:ascii="Arial" w:hAnsi="Arial" w:cs="Arial"/>
                <w:sz w:val="21"/>
                <w:szCs w:val="21"/>
              </w:rPr>
              <w:br/>
              <w:t>b)   Either (1) a likelihood of success on the merits or (2) sufficiently serious questions going to the merits; and</w:t>
            </w:r>
            <w:r>
              <w:rPr>
                <w:rFonts w:ascii="Arial" w:hAnsi="Arial" w:cs="Arial"/>
                <w:sz w:val="21"/>
                <w:szCs w:val="21"/>
              </w:rPr>
              <w:br/>
              <w:t>c)   A balance of hardships tipping decidedly toward the party seeking the relief.</w:t>
            </w:r>
          </w:p>
          <w:p>
            <w:pPr>
              <w:rPr>
                <w:rFonts w:ascii="Arial" w:hAnsi="Arial" w:cs="Arial"/>
                <w:sz w:val="21"/>
                <w:szCs w:val="21"/>
              </w:rPr>
            </w:pPr>
          </w:p>
        </w:tc>
        <w:tc>
          <w:tcPr>
            <w:tcW w:w="3841" w:type="dxa"/>
          </w:tcPr>
          <w:p>
            <w:pPr>
              <w:rPr>
                <w:rFonts w:ascii="Arial" w:hAnsi="Arial" w:cs="Arial"/>
                <w:sz w:val="21"/>
                <w:szCs w:val="21"/>
              </w:rPr>
            </w:pPr>
            <w:r>
              <w:rPr>
                <w:rFonts w:ascii="Arial" w:hAnsi="Arial" w:cs="Arial"/>
                <w:sz w:val="21"/>
                <w:szCs w:val="21"/>
              </w:rPr>
              <w:t>Generally similar to CCWG Proposal</w:t>
            </w:r>
            <w:r>
              <w:rPr>
                <w:rStyle w:val="FootnoteReference"/>
                <w:rFonts w:ascii="Arial" w:hAnsi="Arial" w:cs="Arial"/>
                <w:sz w:val="21"/>
                <w:szCs w:val="21"/>
              </w:rPr>
              <w:footnoteReference w:id="2"/>
            </w:r>
            <w:r>
              <w:rPr>
                <w:rFonts w:ascii="Arial" w:hAnsi="Arial" w:cs="Arial"/>
                <w:sz w:val="21"/>
                <w:szCs w:val="21"/>
              </w:rPr>
              <w:t xml:space="preserve"> except:</w:t>
            </w:r>
          </w:p>
          <w:p>
            <w:pPr>
              <w:rPr>
                <w:rFonts w:ascii="Arial" w:hAnsi="Arial" w:cs="Arial"/>
                <w:sz w:val="21"/>
                <w:szCs w:val="21"/>
              </w:rPr>
            </w:pPr>
          </w:p>
          <w:p>
            <w:pPr>
              <w:rPr>
                <w:rFonts w:ascii="Arial" w:hAnsi="Arial" w:cs="Arial"/>
                <w:sz w:val="21"/>
                <w:szCs w:val="21"/>
              </w:rPr>
            </w:pPr>
          </w:p>
          <w:p>
            <w:pPr>
              <w:rPr>
                <w:rFonts w:ascii="Arial" w:hAnsi="Arial" w:cs="Arial"/>
                <w:sz w:val="21"/>
                <w:szCs w:val="21"/>
              </w:rPr>
            </w:pPr>
          </w:p>
          <w:p>
            <w:pPr>
              <w:pStyle w:val="ListParagraph"/>
              <w:numPr>
                <w:ilvl w:val="0"/>
                <w:numId w:val="36"/>
              </w:numPr>
              <w:ind w:left="425"/>
              <w:rPr>
                <w:rFonts w:ascii="Arial" w:hAnsi="Arial" w:cs="Arial"/>
                <w:sz w:val="21"/>
                <w:szCs w:val="21"/>
              </w:rPr>
            </w:pPr>
            <w:r>
              <w:rPr>
                <w:rFonts w:ascii="Arial" w:hAnsi="Arial" w:cs="Arial"/>
                <w:sz w:val="21"/>
                <w:szCs w:val="21"/>
              </w:rPr>
              <w:t>Interim relief limited to status quo preservation.</w:t>
            </w:r>
          </w:p>
          <w:p>
            <w:pPr>
              <w:pStyle w:val="ListParagraph"/>
              <w:ind w:left="425"/>
              <w:rPr>
                <w:rFonts w:ascii="Arial" w:hAnsi="Arial" w:cs="Arial"/>
                <w:sz w:val="21"/>
                <w:szCs w:val="21"/>
              </w:rPr>
            </w:pPr>
          </w:p>
          <w:p>
            <w:pPr>
              <w:pStyle w:val="ListParagraph"/>
              <w:numPr>
                <w:ilvl w:val="0"/>
                <w:numId w:val="36"/>
              </w:numPr>
              <w:ind w:left="425"/>
              <w:rPr>
                <w:rFonts w:ascii="Arial" w:hAnsi="Arial" w:cs="Arial"/>
                <w:sz w:val="21"/>
                <w:szCs w:val="21"/>
              </w:rPr>
            </w:pPr>
            <w:r>
              <w:rPr>
                <w:rFonts w:ascii="Arial" w:hAnsi="Arial" w:cs="Arial"/>
                <w:sz w:val="21"/>
                <w:szCs w:val="21"/>
              </w:rPr>
              <w:t xml:space="preserve">Board notes “several areas may need refinements based on CCWG discussions on IRP developments.  </w:t>
            </w:r>
          </w:p>
          <w:p>
            <w:pPr>
              <w:rPr>
                <w:rFonts w:ascii="Arial" w:hAnsi="Arial" w:cs="Arial"/>
                <w:sz w:val="21"/>
                <w:szCs w:val="21"/>
              </w:rPr>
            </w:pPr>
          </w:p>
        </w:tc>
        <w:tc>
          <w:tcPr>
            <w:tcW w:w="3915" w:type="dxa"/>
          </w:tcPr>
          <w:p>
            <w:pPr>
              <w:rPr>
                <w:rFonts w:ascii="Arial" w:hAnsi="Arial" w:cs="Arial"/>
                <w:sz w:val="21"/>
                <w:szCs w:val="21"/>
              </w:rPr>
            </w:pPr>
            <w:r>
              <w:rPr>
                <w:rFonts w:ascii="Arial" w:hAnsi="Arial" w:cs="Arial"/>
                <w:sz w:val="21"/>
                <w:szCs w:val="21"/>
              </w:rPr>
              <w:t>Generally similar to CCWG Proposal (although limited to Fundamental Bylaws) except:</w:t>
            </w:r>
          </w:p>
          <w:p>
            <w:pPr>
              <w:rPr>
                <w:rFonts w:ascii="Arial" w:hAnsi="Arial" w:cs="Arial"/>
                <w:sz w:val="21"/>
                <w:szCs w:val="21"/>
              </w:rPr>
            </w:pPr>
          </w:p>
          <w:p>
            <w:pPr>
              <w:rPr>
                <w:rFonts w:ascii="Arial" w:hAnsi="Arial" w:cs="Arial"/>
                <w:sz w:val="21"/>
                <w:szCs w:val="21"/>
              </w:rPr>
            </w:pPr>
          </w:p>
          <w:p>
            <w:pPr>
              <w:pStyle w:val="ListParagraph"/>
              <w:numPr>
                <w:ilvl w:val="0"/>
                <w:numId w:val="36"/>
              </w:numPr>
              <w:ind w:left="425"/>
              <w:rPr>
                <w:rFonts w:ascii="Arial" w:hAnsi="Arial" w:cs="Arial"/>
                <w:sz w:val="21"/>
                <w:szCs w:val="21"/>
              </w:rPr>
            </w:pPr>
            <w:r>
              <w:rPr>
                <w:rFonts w:ascii="Arial" w:hAnsi="Arial" w:cs="Arial"/>
                <w:sz w:val="21"/>
                <w:szCs w:val="21"/>
              </w:rPr>
              <w:t>Interim relief may include injunctive relief or status quo preservation.</w:t>
            </w:r>
          </w:p>
          <w:p>
            <w:pPr>
              <w:pStyle w:val="ListParagraph"/>
              <w:ind w:left="425"/>
              <w:rPr>
                <w:rFonts w:ascii="Arial" w:hAnsi="Arial" w:cs="Arial"/>
                <w:sz w:val="21"/>
                <w:szCs w:val="21"/>
              </w:rPr>
            </w:pPr>
          </w:p>
          <w:p>
            <w:pPr>
              <w:pStyle w:val="ListParagraph"/>
              <w:numPr>
                <w:ilvl w:val="0"/>
                <w:numId w:val="36"/>
              </w:numPr>
              <w:ind w:left="425"/>
              <w:rPr>
                <w:rFonts w:ascii="Arial" w:hAnsi="Arial" w:cs="Arial"/>
                <w:sz w:val="21"/>
                <w:szCs w:val="21"/>
              </w:rPr>
            </w:pPr>
            <w:r>
              <w:rPr>
                <w:rFonts w:ascii="Arial" w:hAnsi="Arial" w:cs="Arial"/>
                <w:sz w:val="21"/>
                <w:szCs w:val="21"/>
              </w:rPr>
              <w:t xml:space="preserve">Declaration that an action/failure to act complied or did not comply with ICANN’s Fundamental Bylaws. </w:t>
            </w:r>
          </w:p>
          <w:p>
            <w:pPr>
              <w:rPr>
                <w:rFonts w:ascii="Arial" w:hAnsi="Arial" w:cs="Arial"/>
                <w:sz w:val="21"/>
                <w:szCs w:val="21"/>
              </w:rPr>
            </w:pPr>
            <w:bookmarkStart w:id="5" w:name="_BPDC_LN_INS_1001"/>
            <w:bookmarkEnd w:id="5"/>
          </w:p>
        </w:tc>
      </w:tr>
      <w:tr>
        <w:tc>
          <w:tcPr>
            <w:tcW w:w="14776" w:type="dxa"/>
            <w:gridSpan w:val="4"/>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B8CCE4" w:themeFill="accent1" w:themeFillTint="66"/>
          </w:tcPr>
          <w:p>
            <w:pPr>
              <w:spacing w:before="120" w:after="120"/>
              <w:rPr>
                <w:rFonts w:ascii="Arial" w:hAnsi="Arial" w:cs="Arial"/>
                <w:sz w:val="21"/>
                <w:szCs w:val="21"/>
              </w:rPr>
            </w:pPr>
            <w:r>
              <w:rPr>
                <w:rFonts w:ascii="Arial" w:hAnsi="Arial" w:cs="Arial"/>
                <w:b/>
                <w:sz w:val="21"/>
                <w:szCs w:val="21"/>
              </w:rPr>
              <w:t>7.  Capacity to Sue for Judicial Enforcement</w:t>
            </w:r>
          </w:p>
        </w:tc>
      </w:tr>
      <w:tr>
        <w:tc>
          <w:tcPr>
            <w:tcW w:w="3303" w:type="dxa"/>
            <w:tcBorders>
              <w:top w:val="single" w:sz="8" w:space="0" w:color="4F81BD" w:themeColor="accent1"/>
            </w:tcBorders>
            <w:shd w:val="clear" w:color="auto" w:fill="auto"/>
          </w:tcPr>
          <w:p>
            <w:pPr>
              <w:pStyle w:val="BodyText"/>
              <w:ind w:firstLine="0"/>
              <w:rPr>
                <w:rFonts w:ascii="Arial" w:hAnsi="Arial" w:cs="Arial"/>
                <w:sz w:val="21"/>
                <w:szCs w:val="21"/>
              </w:rPr>
            </w:pPr>
            <w:r>
              <w:rPr>
                <w:rFonts w:ascii="Arial" w:hAnsi="Arial" w:cs="Arial"/>
                <w:sz w:val="21"/>
                <w:szCs w:val="21"/>
              </w:rPr>
              <w:t>No binding or enforcement result.</w:t>
            </w:r>
          </w:p>
        </w:tc>
        <w:tc>
          <w:tcPr>
            <w:tcW w:w="3717" w:type="dxa"/>
            <w:tcBorders>
              <w:top w:val="single" w:sz="8" w:space="0" w:color="4F81BD" w:themeColor="accent1"/>
            </w:tcBorders>
            <w:shd w:val="clear" w:color="auto" w:fill="auto"/>
          </w:tcPr>
          <w:p>
            <w:pPr>
              <w:pStyle w:val="BodyText"/>
              <w:ind w:firstLine="0"/>
              <w:rPr>
                <w:rFonts w:ascii="Arial" w:hAnsi="Arial" w:cs="Arial"/>
                <w:sz w:val="21"/>
                <w:szCs w:val="21"/>
              </w:rPr>
            </w:pPr>
            <w:r>
              <w:rPr>
                <w:rFonts w:ascii="Arial" w:hAnsi="Arial" w:cs="Arial"/>
                <w:sz w:val="21"/>
                <w:szCs w:val="21"/>
              </w:rPr>
              <w:t>The CMSM would be a legal person with capacity to sue.  Any AC or SO that is a legal person could also enforce the judgment.</w:t>
            </w:r>
          </w:p>
        </w:tc>
        <w:tc>
          <w:tcPr>
            <w:tcW w:w="3841" w:type="dxa"/>
            <w:tcBorders>
              <w:top w:val="single" w:sz="8" w:space="0" w:color="4F81BD" w:themeColor="accent1"/>
            </w:tcBorders>
            <w:shd w:val="clear" w:color="auto" w:fill="auto"/>
          </w:tcPr>
          <w:p>
            <w:pPr>
              <w:pStyle w:val="BodyText"/>
              <w:ind w:firstLine="0"/>
              <w:rPr>
                <w:rFonts w:ascii="Arial" w:hAnsi="Arial" w:cs="Arial"/>
                <w:sz w:val="21"/>
                <w:szCs w:val="21"/>
              </w:rPr>
            </w:pPr>
            <w:r>
              <w:rPr>
                <w:rFonts w:ascii="Arial" w:hAnsi="Arial" w:cs="Arial"/>
                <w:sz w:val="21"/>
                <w:szCs w:val="21"/>
              </w:rPr>
              <w:t>Generally similar to its MEM Proposal we assume</w:t>
            </w:r>
          </w:p>
        </w:tc>
        <w:tc>
          <w:tcPr>
            <w:tcW w:w="3915" w:type="dxa"/>
            <w:tcBorders>
              <w:top w:val="single" w:sz="8" w:space="0" w:color="4F81BD" w:themeColor="accent1"/>
            </w:tcBorders>
            <w:shd w:val="clear" w:color="auto" w:fill="auto"/>
          </w:tcPr>
          <w:p>
            <w:pPr>
              <w:pStyle w:val="BodyText"/>
              <w:ind w:firstLine="0"/>
              <w:rPr>
                <w:rFonts w:ascii="Arial" w:hAnsi="Arial" w:cs="Arial"/>
                <w:sz w:val="21"/>
                <w:szCs w:val="21"/>
              </w:rPr>
            </w:pPr>
            <w:r>
              <w:rPr>
                <w:rFonts w:ascii="Arial" w:hAnsi="Arial" w:cs="Arial"/>
                <w:sz w:val="21"/>
                <w:szCs w:val="21"/>
              </w:rPr>
              <w:t>Three avenues are suggested:</w:t>
            </w:r>
          </w:p>
          <w:p>
            <w:pPr>
              <w:pStyle w:val="ListParagraph"/>
              <w:numPr>
                <w:ilvl w:val="0"/>
                <w:numId w:val="36"/>
              </w:numPr>
              <w:spacing w:after="240"/>
              <w:ind w:left="432"/>
              <w:contextualSpacing w:val="0"/>
              <w:rPr>
                <w:rFonts w:ascii="Arial" w:hAnsi="Arial" w:cs="Arial"/>
                <w:sz w:val="21"/>
                <w:szCs w:val="21"/>
              </w:rPr>
            </w:pPr>
            <w:r>
              <w:rPr>
                <w:rFonts w:ascii="Arial" w:hAnsi="Arial" w:cs="Arial"/>
                <w:sz w:val="21"/>
                <w:szCs w:val="21"/>
              </w:rPr>
              <w:t>an individual SO/AC or some collection of SOs/ACs could form a UA;</w:t>
            </w:r>
          </w:p>
          <w:p>
            <w:pPr>
              <w:pStyle w:val="ListParagraph"/>
              <w:numPr>
                <w:ilvl w:val="0"/>
                <w:numId w:val="36"/>
              </w:numPr>
              <w:spacing w:after="240"/>
              <w:ind w:left="432"/>
              <w:contextualSpacing w:val="0"/>
              <w:rPr>
                <w:rFonts w:ascii="Arial" w:hAnsi="Arial" w:cs="Arial"/>
                <w:sz w:val="21"/>
                <w:szCs w:val="21"/>
              </w:rPr>
            </w:pPr>
            <w:r>
              <w:rPr>
                <w:rFonts w:ascii="Arial" w:hAnsi="Arial" w:cs="Arial"/>
                <w:sz w:val="21"/>
                <w:szCs w:val="21"/>
              </w:rPr>
              <w:t xml:space="preserve">the members of multiple SO/ACs </w:t>
            </w:r>
            <w:r>
              <w:rPr>
                <w:rFonts w:ascii="Arial" w:hAnsi="Arial" w:cs="Arial"/>
                <w:sz w:val="21"/>
                <w:szCs w:val="21"/>
              </w:rPr>
              <w:lastRenderedPageBreak/>
              <w:t>could form one UA; or</w:t>
            </w:r>
          </w:p>
          <w:p>
            <w:pPr>
              <w:pStyle w:val="ListParagraph"/>
              <w:numPr>
                <w:ilvl w:val="0"/>
                <w:numId w:val="36"/>
              </w:numPr>
              <w:spacing w:after="240"/>
              <w:ind w:left="432"/>
              <w:contextualSpacing w:val="0"/>
              <w:rPr>
                <w:rFonts w:ascii="Arial" w:hAnsi="Arial" w:cs="Arial"/>
                <w:sz w:val="21"/>
                <w:szCs w:val="21"/>
              </w:rPr>
            </w:pPr>
            <w:r>
              <w:rPr>
                <w:rFonts w:ascii="Arial" w:hAnsi="Arial" w:cs="Arial"/>
                <w:sz w:val="21"/>
                <w:szCs w:val="21"/>
              </w:rPr>
              <w:t>the chairs of multiple SO/ACs could form a UA.</w:t>
            </w:r>
          </w:p>
        </w:tc>
      </w:tr>
      <w:t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lastRenderedPageBreak/>
              <w:t>8.  Community Standing</w:t>
            </w:r>
          </w:p>
        </w:tc>
      </w:tr>
      <w:tr>
        <w:tc>
          <w:tcPr>
            <w:tcW w:w="3303" w:type="dxa"/>
          </w:tcPr>
          <w:p>
            <w:pPr>
              <w:pStyle w:val="BodyText"/>
              <w:ind w:firstLine="0"/>
              <w:rPr>
                <w:rFonts w:ascii="Arial" w:hAnsi="Arial" w:cs="Arial"/>
                <w:sz w:val="21"/>
                <w:szCs w:val="21"/>
              </w:rPr>
            </w:pPr>
            <w:r>
              <w:rPr>
                <w:rFonts w:ascii="Arial" w:hAnsi="Arial" w:cs="Arial"/>
                <w:sz w:val="21"/>
                <w:szCs w:val="21"/>
              </w:rPr>
              <w:t>None specifically provided, although “any person” could include an SO or AC that presented itself as a legal person.</w:t>
            </w:r>
          </w:p>
        </w:tc>
        <w:tc>
          <w:tcPr>
            <w:tcW w:w="3717" w:type="dxa"/>
          </w:tcPr>
          <w:p>
            <w:pPr>
              <w:pStyle w:val="BodyText"/>
              <w:ind w:firstLine="0"/>
              <w:rPr>
                <w:rFonts w:ascii="Arial" w:hAnsi="Arial" w:cs="Arial"/>
                <w:sz w:val="21"/>
                <w:szCs w:val="21"/>
              </w:rPr>
            </w:pPr>
            <w:r>
              <w:rPr>
                <w:rFonts w:ascii="Arial" w:hAnsi="Arial" w:cs="Arial"/>
                <w:sz w:val="21"/>
                <w:szCs w:val="21"/>
              </w:rPr>
              <w:t xml:space="preserve">Community, AC and SOs would have standing with the IRP.  ICANN will bear the costs, subject to recommendations to reduce abuse.  </w:t>
            </w:r>
          </w:p>
        </w:tc>
        <w:tc>
          <w:tcPr>
            <w:tcW w:w="3841" w:type="dxa"/>
          </w:tcPr>
          <w:p>
            <w:pPr>
              <w:pStyle w:val="BodyText"/>
              <w:ind w:firstLine="0"/>
              <w:rPr>
                <w:rFonts w:ascii="Arial" w:hAnsi="Arial" w:cs="Arial"/>
                <w:sz w:val="21"/>
                <w:szCs w:val="21"/>
              </w:rPr>
            </w:pPr>
            <w:r>
              <w:rPr>
                <w:rFonts w:ascii="Arial" w:hAnsi="Arial" w:cs="Arial"/>
                <w:sz w:val="21"/>
                <w:szCs w:val="21"/>
              </w:rPr>
              <w:t xml:space="preserve">Board supports ability for the Community to seek an independent review of Board actions for claims that ICANN exceeded the scope of its limited technical Mission or otherwise failed to comply with its Articles of Incorporation and Bylaws.   </w:t>
            </w:r>
          </w:p>
          <w:p>
            <w:pPr>
              <w:pStyle w:val="BodyText"/>
              <w:ind w:firstLine="0"/>
              <w:rPr>
                <w:rFonts w:ascii="Arial" w:hAnsi="Arial" w:cs="Arial"/>
                <w:sz w:val="21"/>
                <w:szCs w:val="21"/>
              </w:rPr>
            </w:pPr>
            <w:r>
              <w:rPr>
                <w:rFonts w:ascii="Arial" w:hAnsi="Arial" w:cs="Arial"/>
                <w:sz w:val="21"/>
                <w:szCs w:val="21"/>
              </w:rPr>
              <w:t>Board notes that “any person / group / entity” materially affected should have standing.  ACs and SOs that are not legal persons may still fall within any “person / group / entity.”  Board recommends separate MEM process to meet needs for the Community (through ACs and SOs) to review and enforce claims that Board is not abiding by community powers.</w:t>
            </w:r>
          </w:p>
        </w:tc>
        <w:tc>
          <w:tcPr>
            <w:tcW w:w="3915" w:type="dxa"/>
          </w:tcPr>
          <w:p>
            <w:pPr>
              <w:pStyle w:val="BodyText"/>
              <w:ind w:firstLine="0"/>
              <w:rPr>
                <w:rFonts w:ascii="Arial" w:hAnsi="Arial" w:cs="Arial"/>
                <w:sz w:val="21"/>
                <w:szCs w:val="21"/>
              </w:rPr>
            </w:pPr>
            <w:r>
              <w:rPr>
                <w:rFonts w:ascii="Arial" w:hAnsi="Arial" w:cs="Arial"/>
                <w:sz w:val="21"/>
                <w:szCs w:val="21"/>
              </w:rPr>
              <w:t>MEM Issue Group could be a subset of or include entire Community should the Community (presumably ACs and SOs) reach consensus to form an MEM Issue Group).</w:t>
            </w:r>
          </w:p>
        </w:tc>
      </w:tr>
      <w:t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t>9.  Appeal</w:t>
            </w:r>
          </w:p>
        </w:tc>
      </w:tr>
      <w:tr>
        <w:tc>
          <w:tcPr>
            <w:tcW w:w="3303" w:type="dxa"/>
          </w:tcPr>
          <w:p>
            <w:pPr>
              <w:pStyle w:val="BodyText"/>
              <w:ind w:firstLine="0"/>
              <w:rPr>
                <w:rFonts w:ascii="Arial" w:hAnsi="Arial" w:cs="Arial"/>
                <w:sz w:val="21"/>
                <w:szCs w:val="21"/>
              </w:rPr>
            </w:pPr>
            <w:r>
              <w:rPr>
                <w:rFonts w:ascii="Arial" w:hAnsi="Arial" w:cs="Arial"/>
                <w:sz w:val="21"/>
                <w:szCs w:val="21"/>
              </w:rPr>
              <w:t>None</w:t>
            </w:r>
          </w:p>
        </w:tc>
        <w:tc>
          <w:tcPr>
            <w:tcW w:w="3717" w:type="dxa"/>
          </w:tcPr>
          <w:p>
            <w:pPr>
              <w:pStyle w:val="BodyHang25"/>
              <w:ind w:left="0" w:firstLine="0"/>
              <w:rPr>
                <w:rFonts w:ascii="Arial" w:hAnsi="Arial" w:cs="Arial"/>
                <w:sz w:val="21"/>
                <w:szCs w:val="21"/>
              </w:rPr>
            </w:pPr>
            <w:r>
              <w:rPr>
                <w:rFonts w:ascii="Arial" w:hAnsi="Arial" w:cs="Arial"/>
                <w:sz w:val="21"/>
                <w:szCs w:val="21"/>
              </w:rPr>
              <w:t xml:space="preserve">Decisions of a three-member decisional panel will be appealable to the full IRP Panel sitting en banc, based on a clear error of judgment or the application of an incorrect legal standard. </w:t>
            </w:r>
          </w:p>
        </w:tc>
        <w:tc>
          <w:tcPr>
            <w:tcW w:w="3841" w:type="dxa"/>
          </w:tcPr>
          <w:p>
            <w:pPr>
              <w:pStyle w:val="BodyText"/>
              <w:ind w:firstLine="0"/>
              <w:rPr>
                <w:rFonts w:ascii="Arial" w:hAnsi="Arial" w:cs="Arial"/>
                <w:sz w:val="21"/>
                <w:szCs w:val="21"/>
              </w:rPr>
            </w:pPr>
            <w:r>
              <w:rPr>
                <w:rFonts w:ascii="Arial" w:hAnsi="Arial" w:cs="Arial"/>
                <w:sz w:val="21"/>
                <w:szCs w:val="21"/>
              </w:rPr>
              <w:t>Generally similar to CCWG Proposal in theory.  Agreed with CCWG proposal; however, details remain unclear, noting “several areas may need refinement based on CCWG-Accountability discussions on IRP developments.”  Standard of appellate review unclear.</w:t>
            </w:r>
          </w:p>
        </w:tc>
        <w:tc>
          <w:tcPr>
            <w:tcW w:w="3915" w:type="dxa"/>
          </w:tcPr>
          <w:p>
            <w:pPr>
              <w:pStyle w:val="BodyText"/>
              <w:ind w:firstLine="0"/>
              <w:rPr>
                <w:rFonts w:ascii="Arial" w:hAnsi="Arial" w:cs="Arial"/>
                <w:sz w:val="21"/>
                <w:szCs w:val="21"/>
              </w:rPr>
            </w:pPr>
            <w:r>
              <w:rPr>
                <w:rFonts w:ascii="Arial" w:hAnsi="Arial" w:cs="Arial"/>
                <w:sz w:val="21"/>
                <w:szCs w:val="21"/>
              </w:rPr>
              <w:t xml:space="preserve">Generally similar to CCWG Proposal; standard of review to be used by full MEM Panel reviewing an award from a three-member decisional panel unclear. Specifies that appeals available for certain decisions including those where it is necessary to ensure that the arbitral decision does not infringe on the Board’s statutory </w:t>
            </w:r>
            <w:r>
              <w:rPr>
                <w:rFonts w:ascii="Arial" w:hAnsi="Arial" w:cs="Arial"/>
                <w:sz w:val="21"/>
                <w:szCs w:val="21"/>
              </w:rPr>
              <w:lastRenderedPageBreak/>
              <w:t xml:space="preserve">obligations or fiduciary duties. </w:t>
            </w:r>
          </w:p>
        </w:tc>
      </w:tr>
      <w:t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lastRenderedPageBreak/>
              <w:t>10.  Enforceability of Right to Arbitrate</w:t>
            </w:r>
          </w:p>
        </w:tc>
      </w:tr>
      <w:tr>
        <w:tc>
          <w:tcPr>
            <w:tcW w:w="3303" w:type="dxa"/>
          </w:tcPr>
          <w:p>
            <w:pPr>
              <w:rPr>
                <w:rFonts w:ascii="Arial" w:hAnsi="Arial" w:cs="Arial"/>
                <w:color w:val="000000" w:themeColor="text1"/>
                <w:sz w:val="21"/>
                <w:szCs w:val="21"/>
              </w:rPr>
            </w:pPr>
            <w:r>
              <w:rPr>
                <w:rFonts w:ascii="Arial" w:hAnsi="Arial" w:cs="Arial"/>
                <w:color w:val="000000" w:themeColor="text1"/>
                <w:sz w:val="21"/>
                <w:szCs w:val="21"/>
              </w:rPr>
              <w:t>Not enforceable</w:t>
            </w:r>
          </w:p>
        </w:tc>
        <w:tc>
          <w:tcPr>
            <w:tcW w:w="3717" w:type="dxa"/>
          </w:tcPr>
          <w:p>
            <w:pPr>
              <w:autoSpaceDE w:val="0"/>
              <w:autoSpaceDN w:val="0"/>
              <w:adjustRightInd w:val="0"/>
              <w:rPr>
                <w:rFonts w:ascii="Arial" w:hAnsi="Arial" w:cs="Arial"/>
                <w:color w:val="000000" w:themeColor="text1"/>
                <w:sz w:val="21"/>
                <w:szCs w:val="21"/>
              </w:rPr>
            </w:pPr>
            <w:r>
              <w:rPr>
                <w:rFonts w:ascii="Arial" w:hAnsi="Arial" w:cs="Arial"/>
                <w:color w:val="000000" w:themeColor="text1"/>
                <w:sz w:val="21"/>
                <w:szCs w:val="21"/>
              </w:rPr>
              <w:t>CMSM could file suit in court to compel arbitration as could any legal person with standing.  CMSM is a legal person and will have standing to seek enforcement of Community powers.</w:t>
            </w:r>
          </w:p>
        </w:tc>
        <w:tc>
          <w:tcPr>
            <w:tcW w:w="3841" w:type="dxa"/>
          </w:tcPr>
          <w:p>
            <w:pPr>
              <w:pStyle w:val="BodyText"/>
              <w:ind w:firstLine="0"/>
              <w:rPr>
                <w:rFonts w:ascii="Arial" w:hAnsi="Arial" w:cs="Arial"/>
                <w:sz w:val="21"/>
                <w:szCs w:val="21"/>
              </w:rPr>
            </w:pPr>
            <w:r>
              <w:rPr>
                <w:rFonts w:ascii="Arial" w:hAnsi="Arial" w:cs="Arial"/>
                <w:sz w:val="21"/>
                <w:szCs w:val="21"/>
              </w:rPr>
              <w:t>Not addressed.</w:t>
            </w:r>
          </w:p>
        </w:tc>
        <w:tc>
          <w:tcPr>
            <w:tcW w:w="3915" w:type="dxa"/>
          </w:tcPr>
          <w:p>
            <w:pPr>
              <w:pStyle w:val="BodyText"/>
              <w:ind w:firstLine="0"/>
              <w:rPr>
                <w:rFonts w:ascii="SourceSansPro-Regular" w:hAnsi="SourceSansPro-Regular" w:cs="SourceSansPro-Regular"/>
                <w:color w:val="000000" w:themeColor="text1"/>
                <w:sz w:val="22"/>
                <w:szCs w:val="22"/>
              </w:rPr>
            </w:pPr>
            <w:r>
              <w:rPr>
                <w:rFonts w:ascii="Arial" w:hAnsi="Arial" w:cs="Arial"/>
                <w:sz w:val="21"/>
                <w:szCs w:val="21"/>
              </w:rPr>
              <w:t>Not addressed.</w:t>
            </w:r>
          </w:p>
        </w:tc>
      </w:tr>
      <w:t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t>11.  Size of Panels</w:t>
            </w:r>
          </w:p>
        </w:tc>
      </w:tr>
      <w:tr>
        <w:tc>
          <w:tcPr>
            <w:tcW w:w="3303" w:type="dxa"/>
          </w:tcPr>
          <w:p>
            <w:pPr>
              <w:spacing w:before="120" w:after="120"/>
              <w:rPr>
                <w:rFonts w:ascii="Arial" w:hAnsi="Arial" w:cs="Arial"/>
                <w:sz w:val="21"/>
                <w:szCs w:val="21"/>
              </w:rPr>
            </w:pPr>
            <w:r>
              <w:rPr>
                <w:rFonts w:ascii="Arial" w:hAnsi="Arial" w:cs="Arial"/>
                <w:sz w:val="21"/>
                <w:szCs w:val="21"/>
              </w:rPr>
              <w:t>6-9 member standing panel with staggered terms.</w:t>
            </w:r>
          </w:p>
          <w:p>
            <w:pPr>
              <w:spacing w:before="120" w:after="120"/>
              <w:rPr>
                <w:rFonts w:ascii="Arial" w:hAnsi="Arial" w:cs="Arial"/>
                <w:b/>
                <w:sz w:val="21"/>
                <w:szCs w:val="21"/>
              </w:rPr>
            </w:pPr>
            <w:r>
              <w:rPr>
                <w:rFonts w:ascii="Arial" w:hAnsi="Arial" w:cs="Arial"/>
                <w:sz w:val="21"/>
                <w:szCs w:val="21"/>
              </w:rPr>
              <w:t>1 or 3 member decisional panels.</w:t>
            </w:r>
          </w:p>
        </w:tc>
        <w:tc>
          <w:tcPr>
            <w:tcW w:w="3717" w:type="dxa"/>
          </w:tcPr>
          <w:p>
            <w:pPr>
              <w:spacing w:before="120" w:after="120"/>
              <w:rPr>
                <w:rFonts w:ascii="Arial" w:hAnsi="Arial" w:cs="Arial"/>
                <w:sz w:val="21"/>
                <w:szCs w:val="21"/>
              </w:rPr>
            </w:pPr>
            <w:r>
              <w:rPr>
                <w:rFonts w:ascii="Arial" w:hAnsi="Arial" w:cs="Arial"/>
                <w:sz w:val="21"/>
                <w:szCs w:val="21"/>
              </w:rPr>
              <w:t>Standing panel of at least 7.</w:t>
            </w:r>
            <w:r>
              <w:rPr>
                <w:rFonts w:ascii="Arial" w:hAnsi="Arial" w:cs="Arial"/>
                <w:sz w:val="21"/>
                <w:szCs w:val="21"/>
              </w:rPr>
              <w:br/>
            </w:r>
          </w:p>
          <w:p>
            <w:pPr>
              <w:spacing w:before="120" w:after="120"/>
              <w:rPr>
                <w:rFonts w:ascii="Arial" w:hAnsi="Arial" w:cs="Arial"/>
                <w:sz w:val="21"/>
                <w:szCs w:val="21"/>
              </w:rPr>
            </w:pPr>
            <w:r>
              <w:rPr>
                <w:rFonts w:ascii="Arial" w:hAnsi="Arial" w:cs="Arial"/>
                <w:sz w:val="21"/>
                <w:szCs w:val="21"/>
              </w:rPr>
              <w:t>3-member decisional panels.</w:t>
            </w:r>
          </w:p>
          <w:p>
            <w:pPr>
              <w:spacing w:before="120" w:after="120"/>
              <w:rPr>
                <w:rFonts w:ascii="Arial" w:hAnsi="Arial" w:cs="Arial"/>
                <w:sz w:val="21"/>
                <w:szCs w:val="21"/>
              </w:rPr>
            </w:pPr>
          </w:p>
        </w:tc>
        <w:tc>
          <w:tcPr>
            <w:tcW w:w="3841" w:type="dxa"/>
          </w:tcPr>
          <w:p>
            <w:pPr>
              <w:spacing w:before="120" w:after="120"/>
              <w:rPr>
                <w:rFonts w:ascii="Arial" w:hAnsi="Arial" w:cs="Arial"/>
                <w:sz w:val="21"/>
                <w:szCs w:val="21"/>
              </w:rPr>
            </w:pPr>
            <w:r>
              <w:rPr>
                <w:rFonts w:ascii="Arial" w:hAnsi="Arial" w:cs="Arial"/>
                <w:sz w:val="21"/>
                <w:szCs w:val="21"/>
              </w:rPr>
              <w:t>Generally similar to CCWG Proposal; however, Board recommends no Standing Panel be empanelled until scope of IRP clarified.</w:t>
            </w:r>
          </w:p>
        </w:tc>
        <w:tc>
          <w:tcPr>
            <w:tcW w:w="3915" w:type="dxa"/>
          </w:tcPr>
          <w:p>
            <w:pPr>
              <w:spacing w:before="120" w:after="120"/>
              <w:rPr>
                <w:rFonts w:ascii="Arial" w:hAnsi="Arial" w:cs="Arial"/>
                <w:sz w:val="21"/>
                <w:szCs w:val="21"/>
              </w:rPr>
            </w:pPr>
            <w:r>
              <w:rPr>
                <w:rFonts w:ascii="Arial" w:hAnsi="Arial" w:cs="Arial"/>
                <w:sz w:val="21"/>
                <w:szCs w:val="21"/>
              </w:rPr>
              <w:t>Standing Panel, although no Standing Panel would be empanelled until scope of MEM arbitration clarified. Unclear whether some panelists could be on both IRP and MEM panels.</w:t>
            </w:r>
          </w:p>
          <w:p>
            <w:pPr>
              <w:spacing w:before="120" w:after="120"/>
              <w:rPr>
                <w:rFonts w:ascii="Arial" w:hAnsi="Arial" w:cs="Arial"/>
                <w:b/>
                <w:sz w:val="21"/>
                <w:szCs w:val="21"/>
              </w:rPr>
            </w:pPr>
            <w:r>
              <w:rPr>
                <w:rFonts w:ascii="Arial" w:hAnsi="Arial" w:cs="Arial"/>
                <w:sz w:val="21"/>
                <w:szCs w:val="21"/>
              </w:rPr>
              <w:t>3-member decisional panels.</w:t>
            </w:r>
          </w:p>
        </w:tc>
      </w:tr>
      <w:tr>
        <w:tc>
          <w:tcPr>
            <w:tcW w:w="14776" w:type="dxa"/>
            <w:gridSpan w:val="4"/>
            <w:shd w:val="clear" w:color="auto" w:fill="B8CCE4"/>
          </w:tcPr>
          <w:p>
            <w:pPr>
              <w:keepNext/>
              <w:keepLines/>
              <w:spacing w:before="120" w:after="120"/>
              <w:rPr>
                <w:rFonts w:ascii="Arial" w:hAnsi="Arial" w:cs="Arial"/>
                <w:b/>
                <w:sz w:val="21"/>
                <w:szCs w:val="21"/>
              </w:rPr>
            </w:pPr>
            <w:r>
              <w:rPr>
                <w:rFonts w:ascii="Arial" w:hAnsi="Arial" w:cs="Arial"/>
                <w:b/>
                <w:sz w:val="21"/>
                <w:szCs w:val="21"/>
              </w:rPr>
              <w:t xml:space="preserve">12.  Standard of Review </w:t>
            </w:r>
          </w:p>
        </w:tc>
      </w:tr>
      <w:tr>
        <w:tc>
          <w:tcPr>
            <w:tcW w:w="3303" w:type="dxa"/>
          </w:tcPr>
          <w:p>
            <w:pPr>
              <w:spacing w:after="120"/>
              <w:rPr>
                <w:rFonts w:ascii="Arial" w:hAnsi="Arial" w:cs="Arial"/>
                <w:sz w:val="21"/>
                <w:szCs w:val="21"/>
              </w:rPr>
            </w:pPr>
            <w:r>
              <w:rPr>
                <w:rFonts w:ascii="Arial" w:hAnsi="Arial" w:cs="Arial"/>
                <w:sz w:val="21"/>
                <w:szCs w:val="21"/>
              </w:rPr>
              <w:t>Procedural examination of whether the Board complied with its Articles and Bylaws, focused on whether the Board acted without conflict of interest, exercised due diligence and reasonable care, and exercised independent judgment it believed to be in the best interests of ICANN.</w:t>
            </w:r>
          </w:p>
          <w:p>
            <w:pPr>
              <w:spacing w:after="120"/>
              <w:rPr>
                <w:rFonts w:ascii="Arial" w:hAnsi="Arial" w:cs="Arial"/>
                <w:sz w:val="21"/>
                <w:szCs w:val="21"/>
              </w:rPr>
            </w:pPr>
          </w:p>
        </w:tc>
        <w:tc>
          <w:tcPr>
            <w:tcW w:w="3717" w:type="dxa"/>
          </w:tcPr>
          <w:p>
            <w:pPr>
              <w:spacing w:after="120"/>
              <w:rPr>
                <w:rFonts w:ascii="Arial" w:hAnsi="Arial" w:cs="Arial"/>
                <w:sz w:val="21"/>
                <w:szCs w:val="21"/>
              </w:rPr>
            </w:pPr>
            <w:r>
              <w:rPr>
                <w:rFonts w:ascii="Arial" w:hAnsi="Arial" w:cs="Arial"/>
                <w:sz w:val="21"/>
                <w:szCs w:val="21"/>
              </w:rPr>
              <w:t>Substantive examination as to whether the complained-of action exceeds the scope of ICANN’s Mission and/or violates ICANN’s Articles or Bylaws. The panel may undertake a de novo review of the case, make findings of fact, and issue decisions based on those facts.</w:t>
            </w:r>
          </w:p>
        </w:tc>
        <w:tc>
          <w:tcPr>
            <w:tcW w:w="3841" w:type="dxa"/>
          </w:tcPr>
          <w:p>
            <w:pPr>
              <w:autoSpaceDE w:val="0"/>
              <w:autoSpaceDN w:val="0"/>
              <w:adjustRightInd w:val="0"/>
              <w:spacing w:after="240"/>
              <w:rPr>
                <w:rFonts w:ascii="Arial" w:hAnsi="Arial" w:cs="Arial"/>
                <w:sz w:val="21"/>
                <w:szCs w:val="21"/>
              </w:rPr>
            </w:pPr>
            <w:r>
              <w:rPr>
                <w:rFonts w:ascii="Arial" w:hAnsi="Arial" w:cs="Arial"/>
                <w:sz w:val="21"/>
                <w:szCs w:val="21"/>
              </w:rPr>
              <w:t xml:space="preserve">Board agrees that the standard of review requires modification. As an initial step, the Board recommends rolling back the standard of review to the standard that was in place pre- April 2013, stating: “Requests for such independent review shall be referred to an Independent Review Panel (IRP) which shall be charged with comparing contested actions of the Board to the Articles of Incorporation and Bylaws, and with declaring whether the Board has acted consistently with the provisions of those Articles of </w:t>
            </w:r>
            <w:r>
              <w:rPr>
                <w:rFonts w:ascii="Arial" w:hAnsi="Arial" w:cs="Arial"/>
                <w:sz w:val="21"/>
                <w:szCs w:val="21"/>
              </w:rPr>
              <w:lastRenderedPageBreak/>
              <w:t>Incorporation and Bylaws.”</w:t>
            </w:r>
          </w:p>
          <w:p>
            <w:pPr>
              <w:autoSpaceDE w:val="0"/>
              <w:autoSpaceDN w:val="0"/>
              <w:adjustRightInd w:val="0"/>
              <w:spacing w:after="240"/>
              <w:rPr>
                <w:rFonts w:ascii="Arial" w:hAnsi="Arial" w:cs="Arial"/>
                <w:color w:val="000000" w:themeColor="text1"/>
                <w:sz w:val="21"/>
                <w:szCs w:val="21"/>
              </w:rPr>
            </w:pPr>
            <w:r>
              <w:rPr>
                <w:rFonts w:ascii="Arial" w:hAnsi="Arial" w:cs="Arial"/>
                <w:color w:val="000000" w:themeColor="text1"/>
                <w:sz w:val="21"/>
                <w:szCs w:val="21"/>
              </w:rPr>
              <w:t>The Board proposes continuing consideration of the standard of review in the IRP enhancement work that will be ongoing.</w:t>
            </w:r>
          </w:p>
        </w:tc>
        <w:tc>
          <w:tcPr>
            <w:tcW w:w="3915" w:type="dxa"/>
          </w:tcPr>
          <w:p>
            <w:pPr>
              <w:pStyle w:val="BodyText"/>
              <w:spacing w:after="120"/>
              <w:ind w:firstLine="0"/>
              <w:rPr>
                <w:rFonts w:ascii="Arial" w:hAnsi="Arial" w:cs="Arial"/>
                <w:sz w:val="21"/>
                <w:szCs w:val="21"/>
              </w:rPr>
            </w:pPr>
            <w:r>
              <w:rPr>
                <w:rFonts w:ascii="Arial" w:hAnsi="Arial" w:cs="Arial"/>
                <w:sz w:val="21"/>
                <w:szCs w:val="21"/>
              </w:rPr>
              <w:lastRenderedPageBreak/>
              <w:t xml:space="preserve">An “objective examination” comparing contested actions of the Board to the Fundamental Bylaws and declaring whether the Board has acted consistently with the provisions of those Fundamental Bylaws.  </w:t>
            </w:r>
          </w:p>
        </w:tc>
      </w:tr>
      <w:t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lastRenderedPageBreak/>
              <w:t>13.  Panelists</w:t>
            </w:r>
          </w:p>
        </w:tc>
      </w:tr>
      <w:tr>
        <w:tc>
          <w:tcPr>
            <w:tcW w:w="3303" w:type="dxa"/>
          </w:tcPr>
          <w:p>
            <w:pPr>
              <w:rPr>
                <w:rFonts w:ascii="Arial" w:hAnsi="Arial" w:cs="Arial"/>
                <w:sz w:val="21"/>
                <w:szCs w:val="21"/>
              </w:rPr>
            </w:pPr>
            <w:r>
              <w:rPr>
                <w:rFonts w:ascii="Arial" w:hAnsi="Arial" w:cs="Arial"/>
                <w:sz w:val="21"/>
                <w:szCs w:val="21"/>
              </w:rPr>
              <w:t>Bylaws require that panelists have variety of expertise.</w:t>
            </w:r>
          </w:p>
        </w:tc>
        <w:tc>
          <w:tcPr>
            <w:tcW w:w="3717" w:type="dxa"/>
          </w:tcPr>
          <w:p>
            <w:pPr>
              <w:spacing w:after="240"/>
              <w:rPr>
                <w:rFonts w:ascii="Arial" w:hAnsi="Arial" w:cs="Arial"/>
                <w:sz w:val="21"/>
                <w:szCs w:val="21"/>
              </w:rPr>
            </w:pPr>
            <w:r>
              <w:rPr>
                <w:rFonts w:ascii="Arial" w:hAnsi="Arial" w:cs="Arial"/>
                <w:sz w:val="21"/>
                <w:szCs w:val="21"/>
              </w:rPr>
              <w:t xml:space="preserve">Significant legal expertise, particularly international law, corporate governance, and judicial systems/dispute resolution/arbitration. Panelists should also possess expertise, developed over time, about the DNS and ICANN’s policies, practices, and procedures. At a minimum, panelists should receive training on the workings and management of the domain name system. Panelists must have access to skilled technical experts upon request. In addition to legal expertise and a strong understanding of the DNS, panelists may confront issues where highly technical, civil society, business, diplomatic, and regulatory skills are needed. To the extent that individual panelists have one or more of these areas of expertise, the process must ensure that this expertise is available upon request. </w:t>
            </w:r>
          </w:p>
        </w:tc>
        <w:tc>
          <w:tcPr>
            <w:tcW w:w="3841" w:type="dxa"/>
          </w:tcPr>
          <w:p>
            <w:pPr>
              <w:pStyle w:val="BodyText"/>
              <w:spacing w:after="0"/>
              <w:ind w:firstLine="0"/>
              <w:rPr>
                <w:rFonts w:ascii="Arial" w:hAnsi="Arial" w:cs="Arial"/>
                <w:sz w:val="21"/>
                <w:szCs w:val="21"/>
              </w:rPr>
            </w:pPr>
            <w:r>
              <w:rPr>
                <w:rFonts w:ascii="Arial" w:hAnsi="Arial" w:cs="Arial"/>
                <w:sz w:val="21"/>
                <w:szCs w:val="21"/>
              </w:rPr>
              <w:t>Generally similar to CCWG Proposal; however, Board recommends no Standing Panel be empanelled until scope of IRP clarified.</w:t>
            </w:r>
          </w:p>
        </w:tc>
        <w:tc>
          <w:tcPr>
            <w:tcW w:w="3915" w:type="dxa"/>
          </w:tcPr>
          <w:p>
            <w:pPr>
              <w:pStyle w:val="BodyText"/>
              <w:spacing w:after="0"/>
              <w:ind w:firstLine="0"/>
              <w:rPr>
                <w:rFonts w:ascii="Arial" w:hAnsi="Arial" w:cs="Arial"/>
                <w:sz w:val="21"/>
                <w:szCs w:val="21"/>
              </w:rPr>
            </w:pPr>
            <w:r>
              <w:rPr>
                <w:rFonts w:ascii="Arial" w:hAnsi="Arial" w:cs="Arial"/>
                <w:sz w:val="21"/>
                <w:szCs w:val="21"/>
              </w:rPr>
              <w:t>Generally similar to CCWG Proposal; however, Board recommends no Standing Panel be empanelled until scope of MEM arbitration clarified.</w:t>
            </w:r>
          </w:p>
        </w:tc>
      </w:tr>
      <w:tr>
        <w:tc>
          <w:tcPr>
            <w:tcW w:w="14776" w:type="dxa"/>
            <w:gridSpan w:val="4"/>
            <w:shd w:val="clear" w:color="auto" w:fill="B8CCE4"/>
          </w:tcPr>
          <w:p>
            <w:pPr>
              <w:keepNext/>
              <w:spacing w:before="120" w:after="120"/>
              <w:rPr>
                <w:rFonts w:ascii="Arial" w:hAnsi="Arial" w:cs="Arial"/>
                <w:b/>
                <w:sz w:val="21"/>
                <w:szCs w:val="21"/>
              </w:rPr>
            </w:pPr>
            <w:r>
              <w:rPr>
                <w:rFonts w:ascii="Arial" w:hAnsi="Arial" w:cs="Arial"/>
                <w:b/>
                <w:sz w:val="21"/>
                <w:szCs w:val="21"/>
              </w:rPr>
              <w:lastRenderedPageBreak/>
              <w:t>14.  Panelist Diversity</w:t>
            </w:r>
          </w:p>
        </w:tc>
      </w:tr>
      <w:tr>
        <w:trPr>
          <w:cantSplit/>
        </w:trPr>
        <w:tc>
          <w:tcPr>
            <w:tcW w:w="3303" w:type="dxa"/>
          </w:tcPr>
          <w:p>
            <w:pPr>
              <w:rPr>
                <w:rFonts w:ascii="Arial" w:hAnsi="Arial" w:cs="Arial"/>
                <w:sz w:val="21"/>
                <w:szCs w:val="21"/>
              </w:rPr>
            </w:pPr>
            <w:r>
              <w:rPr>
                <w:rFonts w:ascii="Arial" w:hAnsi="Arial" w:cs="Arial"/>
                <w:sz w:val="21"/>
                <w:szCs w:val="21"/>
              </w:rPr>
              <w:t>Diversity of skills required.</w:t>
            </w:r>
          </w:p>
        </w:tc>
        <w:tc>
          <w:tcPr>
            <w:tcW w:w="3717" w:type="dxa"/>
          </w:tcPr>
          <w:p>
            <w:pPr>
              <w:spacing w:after="240"/>
              <w:rPr>
                <w:rFonts w:ascii="Arial" w:hAnsi="Arial" w:cs="Arial"/>
                <w:sz w:val="21"/>
                <w:szCs w:val="21"/>
              </w:rPr>
            </w:pPr>
            <w:r>
              <w:rPr>
                <w:rFonts w:ascii="Arial" w:hAnsi="Arial" w:cs="Arial"/>
                <w:sz w:val="21"/>
                <w:szCs w:val="21"/>
              </w:rPr>
              <w:t>English as primary working language with provision of translation services for claimants as needed. Reasonable efforts will be taken to achieve cultural, linguistic, gender, and legal tradition diversity, with an aspirational cap on number of panelists from any single region (based on the number of members of the Standing Panel as a whole).</w:t>
            </w:r>
          </w:p>
        </w:tc>
        <w:tc>
          <w:tcPr>
            <w:tcW w:w="3841" w:type="dxa"/>
          </w:tcPr>
          <w:p>
            <w:pPr>
              <w:pStyle w:val="BodyText"/>
              <w:ind w:firstLine="0"/>
              <w:rPr>
                <w:rFonts w:ascii="Arial" w:hAnsi="Arial" w:cs="Arial"/>
                <w:sz w:val="21"/>
                <w:szCs w:val="21"/>
              </w:rPr>
            </w:pPr>
            <w:r>
              <w:rPr>
                <w:rFonts w:ascii="Arial" w:hAnsi="Arial" w:cs="Arial"/>
                <w:sz w:val="21"/>
                <w:szCs w:val="21"/>
              </w:rPr>
              <w:t>Generally similar to CCWG Proposal.</w:t>
            </w:r>
          </w:p>
        </w:tc>
        <w:tc>
          <w:tcPr>
            <w:tcW w:w="3915" w:type="dxa"/>
          </w:tcPr>
          <w:p>
            <w:pPr>
              <w:pStyle w:val="BodyText"/>
              <w:ind w:firstLine="0"/>
              <w:rPr>
                <w:rFonts w:ascii="Arial" w:hAnsi="Arial" w:cs="Arial"/>
                <w:sz w:val="21"/>
                <w:szCs w:val="21"/>
              </w:rPr>
            </w:pPr>
            <w:r>
              <w:rPr>
                <w:rFonts w:ascii="Arial" w:hAnsi="Arial" w:cs="Arial"/>
                <w:sz w:val="21"/>
                <w:szCs w:val="21"/>
              </w:rPr>
              <w:t>Generally similar to CCWG Proposal.</w:t>
            </w:r>
          </w:p>
        </w:tc>
      </w:tr>
      <w:t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t>15.  Decisional Panel Selection</w:t>
            </w:r>
          </w:p>
        </w:tc>
      </w:tr>
      <w:tr>
        <w:tc>
          <w:tcPr>
            <w:tcW w:w="3303" w:type="dxa"/>
            <w:shd w:val="clear" w:color="auto" w:fill="auto"/>
          </w:tcPr>
          <w:p>
            <w:pPr>
              <w:pStyle w:val="BodyHang"/>
              <w:rPr>
                <w:rFonts w:ascii="Arial" w:hAnsi="Arial" w:cs="Arial"/>
                <w:sz w:val="21"/>
                <w:szCs w:val="21"/>
              </w:rPr>
            </w:pPr>
            <w:r>
              <w:rPr>
                <w:rFonts w:ascii="Arial" w:hAnsi="Arial" w:cs="Arial"/>
                <w:sz w:val="21"/>
                <w:szCs w:val="21"/>
              </w:rPr>
              <w:t>Determined by IRP Provider.</w:t>
            </w:r>
          </w:p>
        </w:tc>
        <w:tc>
          <w:tcPr>
            <w:tcW w:w="3717" w:type="dxa"/>
            <w:shd w:val="clear" w:color="auto" w:fill="auto"/>
          </w:tcPr>
          <w:p>
            <w:pPr>
              <w:spacing w:after="240"/>
              <w:rPr>
                <w:rFonts w:ascii="Arial" w:hAnsi="Arial" w:cs="Arial"/>
                <w:sz w:val="21"/>
                <w:szCs w:val="21"/>
              </w:rPr>
            </w:pPr>
            <w:r>
              <w:rPr>
                <w:rFonts w:ascii="Arial" w:hAnsi="Arial" w:cs="Arial"/>
                <w:sz w:val="21"/>
                <w:szCs w:val="21"/>
              </w:rPr>
              <w:t xml:space="preserve">In each case, a 3-member panel will be drawn from the Standing Panel. Each party will select one panelist, and the will select the third. </w:t>
            </w:r>
          </w:p>
        </w:tc>
        <w:tc>
          <w:tcPr>
            <w:tcW w:w="3841" w:type="dxa"/>
            <w:shd w:val="clear" w:color="auto" w:fill="auto"/>
          </w:tcPr>
          <w:p>
            <w:pPr>
              <w:rPr>
                <w:rFonts w:ascii="Arial" w:hAnsi="Arial" w:cs="Arial"/>
                <w:sz w:val="21"/>
                <w:szCs w:val="21"/>
              </w:rPr>
            </w:pPr>
            <w:r>
              <w:rPr>
                <w:rFonts w:ascii="Arial" w:hAnsi="Arial" w:cs="Arial"/>
                <w:sz w:val="21"/>
                <w:szCs w:val="21"/>
              </w:rPr>
              <w:t>Generally similar to CCWG Proposal.</w:t>
            </w:r>
          </w:p>
        </w:tc>
        <w:tc>
          <w:tcPr>
            <w:tcW w:w="3915" w:type="dxa"/>
            <w:shd w:val="clear" w:color="auto" w:fill="auto"/>
          </w:tcPr>
          <w:p>
            <w:pPr>
              <w:rPr>
                <w:rFonts w:ascii="Arial" w:hAnsi="Arial" w:cs="Arial"/>
                <w:sz w:val="21"/>
                <w:szCs w:val="21"/>
              </w:rPr>
            </w:pPr>
            <w:r>
              <w:rPr>
                <w:rFonts w:ascii="Arial" w:hAnsi="Arial" w:cs="Arial"/>
                <w:sz w:val="21"/>
                <w:szCs w:val="21"/>
              </w:rPr>
              <w:t>Unclear; no known differences.</w:t>
            </w:r>
          </w:p>
        </w:tc>
      </w:tr>
      <w:tr>
        <w:tc>
          <w:tcPr>
            <w:tcW w:w="14776" w:type="dxa"/>
            <w:gridSpan w:val="4"/>
            <w:shd w:val="clear" w:color="auto" w:fill="B8CCE4" w:themeFill="accent1" w:themeFillTint="66"/>
          </w:tcPr>
          <w:p>
            <w:pPr>
              <w:keepNext/>
              <w:keepLines/>
              <w:spacing w:before="120" w:after="120"/>
              <w:rPr>
                <w:rFonts w:ascii="Arial" w:hAnsi="Arial" w:cs="Arial"/>
                <w:b/>
                <w:sz w:val="21"/>
                <w:szCs w:val="21"/>
              </w:rPr>
            </w:pPr>
            <w:r>
              <w:rPr>
                <w:rFonts w:ascii="Arial" w:hAnsi="Arial" w:cs="Arial"/>
                <w:b/>
                <w:sz w:val="21"/>
                <w:szCs w:val="21"/>
              </w:rPr>
              <w:t>16.  Recall \ Tenure</w:t>
            </w:r>
          </w:p>
        </w:tc>
      </w:tr>
      <w:tr>
        <w:tc>
          <w:tcPr>
            <w:tcW w:w="3303" w:type="dxa"/>
            <w:shd w:val="clear" w:color="auto" w:fill="auto"/>
          </w:tcPr>
          <w:p>
            <w:pPr>
              <w:rPr>
                <w:rFonts w:ascii="Arial" w:hAnsi="Arial" w:cs="Arial"/>
                <w:sz w:val="21"/>
                <w:szCs w:val="21"/>
              </w:rPr>
            </w:pPr>
            <w:r>
              <w:rPr>
                <w:rFonts w:ascii="Arial" w:hAnsi="Arial" w:cs="Arial"/>
                <w:sz w:val="21"/>
                <w:szCs w:val="21"/>
              </w:rPr>
              <w:t>Set terms</w:t>
            </w:r>
          </w:p>
        </w:tc>
        <w:tc>
          <w:tcPr>
            <w:tcW w:w="3717" w:type="dxa"/>
            <w:shd w:val="clear" w:color="auto" w:fill="auto"/>
          </w:tcPr>
          <w:p>
            <w:pPr>
              <w:spacing w:after="240"/>
              <w:rPr>
                <w:rFonts w:ascii="Arial" w:hAnsi="Arial" w:cs="Arial"/>
                <w:sz w:val="21"/>
                <w:szCs w:val="21"/>
              </w:rPr>
            </w:pPr>
            <w:r>
              <w:rPr>
                <w:rFonts w:ascii="Arial" w:hAnsi="Arial" w:cs="Arial"/>
                <w:sz w:val="21"/>
                <w:szCs w:val="21"/>
              </w:rPr>
              <w:t>Appointments made for a fixed term of five years with no removal except for specified cause (corruption, misuse of position for personal use, etc.). The recall process will be developed via the IRP Sub Group.</w:t>
            </w:r>
          </w:p>
        </w:tc>
        <w:tc>
          <w:tcPr>
            <w:tcW w:w="3841" w:type="dxa"/>
            <w:shd w:val="clear" w:color="auto" w:fill="auto"/>
          </w:tcPr>
          <w:p>
            <w:pPr>
              <w:rPr>
                <w:rFonts w:ascii="Arial" w:hAnsi="Arial" w:cs="Arial"/>
                <w:sz w:val="21"/>
                <w:szCs w:val="21"/>
              </w:rPr>
            </w:pPr>
            <w:r>
              <w:rPr>
                <w:rFonts w:ascii="Arial" w:hAnsi="Arial" w:cs="Arial"/>
                <w:sz w:val="21"/>
                <w:szCs w:val="21"/>
              </w:rPr>
              <w:t xml:space="preserve">Generally similar to CCWG Proposal; the ICANN Board supports 5-year terms and agrees that a recall process should be developed to ensure accountability. </w:t>
            </w:r>
          </w:p>
        </w:tc>
        <w:tc>
          <w:tcPr>
            <w:tcW w:w="3915" w:type="dxa"/>
            <w:shd w:val="clear" w:color="auto" w:fill="auto"/>
          </w:tcPr>
          <w:p>
            <w:pPr>
              <w:rPr>
                <w:rFonts w:ascii="Arial" w:hAnsi="Arial" w:cs="Arial"/>
                <w:sz w:val="21"/>
                <w:szCs w:val="21"/>
              </w:rPr>
            </w:pPr>
            <w:r>
              <w:rPr>
                <w:rFonts w:ascii="Arial" w:hAnsi="Arial" w:cs="Arial"/>
                <w:sz w:val="21"/>
                <w:szCs w:val="21"/>
              </w:rPr>
              <w:t>Generally similar to CCWG Proposal.</w:t>
            </w:r>
          </w:p>
        </w:tc>
      </w:tr>
      <w:tr>
        <w:tc>
          <w:tcPr>
            <w:tcW w:w="14776" w:type="dxa"/>
            <w:gridSpan w:val="4"/>
            <w:shd w:val="clear" w:color="auto" w:fill="B8CCE4"/>
          </w:tcPr>
          <w:p>
            <w:pPr>
              <w:keepNext/>
              <w:keepLines/>
              <w:spacing w:before="120" w:after="120"/>
              <w:rPr>
                <w:rFonts w:ascii="Arial" w:hAnsi="Arial" w:cs="Arial"/>
                <w:b/>
                <w:sz w:val="21"/>
                <w:szCs w:val="21"/>
              </w:rPr>
            </w:pPr>
            <w:r>
              <w:rPr>
                <w:rFonts w:ascii="Arial" w:hAnsi="Arial" w:cs="Arial"/>
                <w:b/>
                <w:sz w:val="21"/>
                <w:szCs w:val="21"/>
              </w:rPr>
              <w:t>17.  Panel Independence, Conflicts, and Composition</w:t>
            </w:r>
          </w:p>
        </w:tc>
      </w:tr>
      <w:tr>
        <w:tc>
          <w:tcPr>
            <w:tcW w:w="3303" w:type="dxa"/>
          </w:tcPr>
          <w:p>
            <w:pPr>
              <w:rPr>
                <w:rFonts w:ascii="Arial" w:hAnsi="Arial" w:cs="Arial"/>
                <w:sz w:val="21"/>
                <w:szCs w:val="21"/>
              </w:rPr>
            </w:pPr>
            <w:r>
              <w:rPr>
                <w:rFonts w:ascii="Arial" w:hAnsi="Arial" w:cs="Arial"/>
                <w:sz w:val="21"/>
                <w:szCs w:val="21"/>
              </w:rPr>
              <w:t>Adherence to conflicts-of-interest policy.  Panelists cannot hold an official position or office within the ICANN structure.</w:t>
            </w:r>
          </w:p>
        </w:tc>
        <w:tc>
          <w:tcPr>
            <w:tcW w:w="3717" w:type="dxa"/>
          </w:tcPr>
          <w:p>
            <w:pPr>
              <w:spacing w:after="240"/>
              <w:rPr>
                <w:rFonts w:ascii="Arial" w:hAnsi="Arial" w:cs="Arial"/>
                <w:sz w:val="21"/>
                <w:szCs w:val="21"/>
              </w:rPr>
            </w:pPr>
            <w:r>
              <w:rPr>
                <w:rFonts w:ascii="Arial" w:hAnsi="Arial" w:cs="Arial"/>
                <w:sz w:val="21"/>
                <w:szCs w:val="21"/>
              </w:rPr>
              <w:t xml:space="preserve">IRP Panel members must be independent of ICANN, including ICANN SOs and ACs. Members should be compensated at a rate that cannot decline during their fixed term; no removal except for specified </w:t>
            </w:r>
            <w:r>
              <w:rPr>
                <w:rFonts w:ascii="Arial" w:hAnsi="Arial" w:cs="Arial"/>
                <w:sz w:val="21"/>
                <w:szCs w:val="21"/>
              </w:rPr>
              <w:lastRenderedPageBreak/>
              <w:t>cause (corruption, misuse of position for personal use, etc.) To ensure independence, term limits should apply (5 years, no renewal), and post-term appointment to Board, NomCom, or other positions within ICANN would be prohibited for a specified time period. Panelists will have an ongoing obligation to disclose any material relationship with ICANN, SOs and ACs, or any other party in an IRP.</w:t>
            </w:r>
          </w:p>
        </w:tc>
        <w:tc>
          <w:tcPr>
            <w:tcW w:w="3841" w:type="dxa"/>
          </w:tcPr>
          <w:p>
            <w:pPr>
              <w:rPr>
                <w:rFonts w:ascii="Arial" w:hAnsi="Arial" w:cs="Arial"/>
                <w:sz w:val="21"/>
                <w:szCs w:val="21"/>
              </w:rPr>
            </w:pPr>
            <w:r>
              <w:rPr>
                <w:rFonts w:ascii="Arial" w:hAnsi="Arial" w:cs="Arial"/>
                <w:sz w:val="21"/>
                <w:szCs w:val="21"/>
              </w:rPr>
              <w:lastRenderedPageBreak/>
              <w:t>Generally similar to CCWG Proposal.</w:t>
            </w:r>
          </w:p>
        </w:tc>
        <w:tc>
          <w:tcPr>
            <w:tcW w:w="3915" w:type="dxa"/>
          </w:tcPr>
          <w:p>
            <w:pPr>
              <w:rPr>
                <w:rFonts w:ascii="Arial" w:hAnsi="Arial" w:cs="Arial"/>
                <w:sz w:val="21"/>
                <w:szCs w:val="21"/>
              </w:rPr>
            </w:pPr>
            <w:r>
              <w:rPr>
                <w:rFonts w:ascii="Arial" w:hAnsi="Arial" w:cs="Arial"/>
                <w:sz w:val="21"/>
                <w:szCs w:val="21"/>
              </w:rPr>
              <w:t>Generally similar to CCWG Proposal.</w:t>
            </w:r>
          </w:p>
        </w:tc>
      </w:tr>
      <w:t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lastRenderedPageBreak/>
              <w:t>18.  Standing Panel Selection and Appointment</w:t>
            </w:r>
          </w:p>
        </w:tc>
      </w:tr>
      <w:tr>
        <w:tc>
          <w:tcPr>
            <w:tcW w:w="3303" w:type="dxa"/>
            <w:shd w:val="clear" w:color="auto" w:fill="FFFFFF" w:themeFill="background1"/>
          </w:tcPr>
          <w:p>
            <w:pPr>
              <w:spacing w:before="120" w:after="120"/>
              <w:rPr>
                <w:rFonts w:ascii="Arial" w:hAnsi="Arial" w:cs="Arial"/>
                <w:sz w:val="21"/>
                <w:szCs w:val="21"/>
              </w:rPr>
            </w:pPr>
            <w:r>
              <w:rPr>
                <w:rFonts w:ascii="Arial" w:hAnsi="Arial" w:cs="Arial"/>
                <w:sz w:val="21"/>
                <w:szCs w:val="21"/>
              </w:rPr>
              <w:t>Determined by IRP Provider.</w:t>
            </w:r>
          </w:p>
        </w:tc>
        <w:tc>
          <w:tcPr>
            <w:tcW w:w="3717" w:type="dxa"/>
            <w:shd w:val="clear" w:color="auto" w:fill="FFFFFF" w:themeFill="background1"/>
          </w:tcPr>
          <w:p>
            <w:pPr>
              <w:spacing w:after="240"/>
              <w:rPr>
                <w:rFonts w:ascii="Arial" w:hAnsi="Arial" w:cs="Arial"/>
                <w:b/>
                <w:sz w:val="21"/>
                <w:szCs w:val="21"/>
              </w:rPr>
            </w:pPr>
            <w:r>
              <w:rPr>
                <w:rFonts w:ascii="Arial" w:hAnsi="Arial" w:cs="Arial"/>
                <w:sz w:val="21"/>
                <w:szCs w:val="21"/>
              </w:rPr>
              <w:t xml:space="preserve">The selection of panelists would follow a 4-step process: ICANN, in consultation with the community, will initiate a tender process for an organization to provide administrative support for IRP, beginning by consulting the community on a draft tender document.  ICANN will then issue a call for expressions of interest from potential panelists; work with the community and Board to identify and solicit applications from well-qualified candidates with the goal of securing diversity; conduct an initial review and vetting of applications; and work with ICANN and the community to develop operational rules for IRP.  The community would nominate a slate of proposed panel members.  Final selection is subject to ICANN Board </w:t>
            </w:r>
            <w:r>
              <w:rPr>
                <w:rFonts w:ascii="Arial" w:hAnsi="Arial" w:cs="Arial"/>
                <w:sz w:val="21"/>
                <w:szCs w:val="21"/>
              </w:rPr>
              <w:lastRenderedPageBreak/>
              <w:t>confirmation.</w:t>
            </w:r>
          </w:p>
        </w:tc>
        <w:tc>
          <w:tcPr>
            <w:tcW w:w="3841" w:type="dxa"/>
            <w:shd w:val="clear" w:color="auto" w:fill="FFFFFF" w:themeFill="background1"/>
          </w:tcPr>
          <w:p>
            <w:pPr>
              <w:spacing w:before="120" w:after="120"/>
              <w:rPr>
                <w:rFonts w:ascii="Arial" w:hAnsi="Arial" w:cs="Arial"/>
                <w:sz w:val="21"/>
                <w:szCs w:val="21"/>
              </w:rPr>
            </w:pPr>
            <w:r>
              <w:rPr>
                <w:rFonts w:ascii="Arial" w:hAnsi="Arial" w:cs="Arial"/>
                <w:sz w:val="21"/>
                <w:szCs w:val="21"/>
              </w:rPr>
              <w:lastRenderedPageBreak/>
              <w:t>Generally similar to CCWG Proposal.</w:t>
            </w:r>
          </w:p>
        </w:tc>
        <w:tc>
          <w:tcPr>
            <w:tcW w:w="3915" w:type="dxa"/>
            <w:shd w:val="clear" w:color="auto" w:fill="FFFFFF" w:themeFill="background1"/>
          </w:tcPr>
          <w:p>
            <w:pPr>
              <w:spacing w:before="120" w:after="120"/>
              <w:rPr>
                <w:rFonts w:ascii="Arial" w:hAnsi="Arial" w:cs="Arial"/>
                <w:sz w:val="21"/>
                <w:szCs w:val="21"/>
              </w:rPr>
            </w:pPr>
            <w:r>
              <w:rPr>
                <w:rFonts w:ascii="Arial" w:hAnsi="Arial" w:cs="Arial"/>
                <w:sz w:val="21"/>
                <w:szCs w:val="21"/>
              </w:rPr>
              <w:t>Generally similar to CCWG Proposal.</w:t>
            </w:r>
          </w:p>
        </w:tc>
      </w:tr>
      <w:tr>
        <w:tc>
          <w:tcPr>
            <w:tcW w:w="14776" w:type="dxa"/>
            <w:gridSpan w:val="4"/>
            <w:shd w:val="clear" w:color="auto" w:fill="B8CCE4"/>
          </w:tcPr>
          <w:p>
            <w:pPr>
              <w:keepNext/>
              <w:keepLines/>
              <w:spacing w:before="120" w:after="120"/>
              <w:rPr>
                <w:rFonts w:ascii="Arial" w:hAnsi="Arial" w:cs="Arial"/>
                <w:b/>
                <w:sz w:val="21"/>
                <w:szCs w:val="21"/>
              </w:rPr>
            </w:pPr>
            <w:r>
              <w:rPr>
                <w:rFonts w:ascii="Arial" w:hAnsi="Arial" w:cs="Arial"/>
                <w:b/>
                <w:sz w:val="21"/>
                <w:szCs w:val="21"/>
              </w:rPr>
              <w:lastRenderedPageBreak/>
              <w:t>19.  Settlement Efforts</w:t>
            </w:r>
          </w:p>
        </w:tc>
      </w:tr>
      <w:tr>
        <w:tc>
          <w:tcPr>
            <w:tcW w:w="3303" w:type="dxa"/>
          </w:tcPr>
          <w:p>
            <w:pPr>
              <w:pStyle w:val="BodyHang"/>
              <w:ind w:left="0" w:firstLine="0"/>
              <w:rPr>
                <w:rFonts w:ascii="Arial" w:hAnsi="Arial" w:cs="Arial"/>
                <w:sz w:val="21"/>
                <w:szCs w:val="21"/>
              </w:rPr>
            </w:pPr>
            <w:r>
              <w:rPr>
                <w:rFonts w:ascii="Arial" w:hAnsi="Arial" w:cs="Arial"/>
                <w:sz w:val="21"/>
                <w:szCs w:val="21"/>
              </w:rPr>
              <w:t>Period of cooperative engagement with ICANN encouraged but not required.</w:t>
            </w:r>
          </w:p>
        </w:tc>
        <w:tc>
          <w:tcPr>
            <w:tcW w:w="3717" w:type="dxa"/>
          </w:tcPr>
          <w:p>
            <w:pPr>
              <w:spacing w:after="240"/>
              <w:rPr>
                <w:rFonts w:ascii="Arial" w:hAnsi="Arial" w:cs="Arial"/>
                <w:sz w:val="21"/>
                <w:szCs w:val="21"/>
              </w:rPr>
            </w:pPr>
            <w:r>
              <w:rPr>
                <w:rFonts w:ascii="Arial" w:hAnsi="Arial" w:cs="Arial"/>
                <w:sz w:val="21"/>
                <w:szCs w:val="21"/>
              </w:rPr>
              <w:t>Reasonable efforts, as specified in a published policy, must be made to resolve disputes informally prior to/in connection with filing an IRP case.  Mediators may be used. Either party can terminate informal dispute resolution efforts if, after specified period, that party concludes in good faith that further efforts are unlikely to produce agreement.</w:t>
            </w:r>
          </w:p>
        </w:tc>
        <w:tc>
          <w:tcPr>
            <w:tcW w:w="3841" w:type="dxa"/>
          </w:tcPr>
          <w:p>
            <w:pPr>
              <w:spacing w:after="240"/>
              <w:rPr>
                <w:rFonts w:ascii="Arial" w:hAnsi="Arial" w:cs="Arial"/>
                <w:sz w:val="21"/>
                <w:szCs w:val="21"/>
              </w:rPr>
            </w:pPr>
            <w:r>
              <w:rPr>
                <w:rFonts w:ascii="Arial" w:hAnsi="Arial" w:cs="Arial"/>
                <w:sz w:val="21"/>
                <w:szCs w:val="21"/>
              </w:rPr>
              <w:t>Generally similar to CCWG Proposal.  Board notes further detail is needed on how mediation would fit into timeline and other process points, but that “details can be worked through.”</w:t>
            </w:r>
          </w:p>
        </w:tc>
        <w:tc>
          <w:tcPr>
            <w:tcW w:w="3915" w:type="dxa"/>
          </w:tcPr>
          <w:p>
            <w:pPr>
              <w:spacing w:after="240"/>
              <w:rPr>
                <w:rFonts w:ascii="Arial" w:hAnsi="Arial" w:cs="Arial"/>
                <w:sz w:val="21"/>
                <w:szCs w:val="21"/>
              </w:rPr>
            </w:pPr>
            <w:r>
              <w:rPr>
                <w:rFonts w:ascii="Arial" w:hAnsi="Arial" w:cs="Arial"/>
                <w:sz w:val="21"/>
                <w:szCs w:val="21"/>
              </w:rPr>
              <w:t xml:space="preserve">Generally similar to CCWG Proposal. </w:t>
            </w:r>
          </w:p>
        </w:tc>
      </w:tr>
      <w:t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t>20.  Procedural Rule</w:t>
            </w:r>
          </w:p>
        </w:tc>
      </w:tr>
      <w:tr>
        <w:tc>
          <w:tcPr>
            <w:tcW w:w="3303" w:type="dxa"/>
          </w:tcPr>
          <w:p>
            <w:pPr>
              <w:pStyle w:val="BodyHang"/>
              <w:ind w:left="0" w:firstLine="0"/>
              <w:rPr>
                <w:rFonts w:ascii="Arial" w:hAnsi="Arial" w:cs="Arial"/>
                <w:sz w:val="21"/>
                <w:szCs w:val="21"/>
              </w:rPr>
            </w:pPr>
            <w:r>
              <w:rPr>
                <w:rFonts w:ascii="Arial" w:hAnsi="Arial" w:cs="Arial"/>
                <w:sz w:val="21"/>
                <w:szCs w:val="21"/>
              </w:rPr>
              <w:t>Right to submit 25 pages of argument along with evidence and expert support.</w:t>
            </w:r>
          </w:p>
        </w:tc>
        <w:tc>
          <w:tcPr>
            <w:tcW w:w="3717" w:type="dxa"/>
          </w:tcPr>
          <w:p>
            <w:pPr>
              <w:pStyle w:val="BodyHang"/>
              <w:rPr>
                <w:rFonts w:ascii="Arial" w:hAnsi="Arial" w:cs="Arial"/>
                <w:sz w:val="21"/>
                <w:szCs w:val="21"/>
              </w:rPr>
            </w:pPr>
            <w:r>
              <w:rPr>
                <w:rFonts w:ascii="Arial" w:hAnsi="Arial" w:cs="Arial"/>
                <w:sz w:val="21"/>
                <w:szCs w:val="21"/>
              </w:rPr>
              <w:t>To be developed.</w:t>
            </w:r>
          </w:p>
        </w:tc>
        <w:tc>
          <w:tcPr>
            <w:tcW w:w="3841" w:type="dxa"/>
          </w:tcPr>
          <w:p>
            <w:pPr>
              <w:pStyle w:val="BodyText"/>
              <w:ind w:firstLine="0"/>
              <w:rPr>
                <w:rFonts w:ascii="Arial" w:hAnsi="Arial" w:cs="Arial"/>
                <w:sz w:val="21"/>
                <w:szCs w:val="21"/>
              </w:rPr>
            </w:pPr>
            <w:r>
              <w:rPr>
                <w:rFonts w:ascii="Arial" w:hAnsi="Arial" w:cs="Arial"/>
                <w:sz w:val="21"/>
                <w:szCs w:val="21"/>
              </w:rPr>
              <w:t>Not addressed (to be developed).</w:t>
            </w:r>
          </w:p>
        </w:tc>
        <w:tc>
          <w:tcPr>
            <w:tcW w:w="3915" w:type="dxa"/>
          </w:tcPr>
          <w:p>
            <w:pPr>
              <w:spacing w:after="240"/>
              <w:rPr>
                <w:rFonts w:ascii="Arial" w:hAnsi="Arial" w:cs="Arial"/>
                <w:sz w:val="21"/>
                <w:szCs w:val="21"/>
              </w:rPr>
            </w:pPr>
            <w:r>
              <w:rPr>
                <w:rFonts w:ascii="Arial" w:hAnsi="Arial" w:cs="Arial"/>
                <w:sz w:val="21"/>
                <w:szCs w:val="21"/>
              </w:rPr>
              <w:t>To be developed.</w:t>
            </w:r>
          </w:p>
        </w:tc>
      </w:tr>
      <w:tr>
        <w:trPr>
          <w:trHeight w:val="511"/>
        </w:trP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t>21.  Decision Timing</w:t>
            </w:r>
          </w:p>
        </w:tc>
      </w:tr>
      <w:tr>
        <w:trPr>
          <w:trHeight w:val="511"/>
        </w:trPr>
        <w:tc>
          <w:tcPr>
            <w:tcW w:w="3303" w:type="dxa"/>
            <w:shd w:val="clear" w:color="auto" w:fill="FFFFFF" w:themeFill="background1"/>
          </w:tcPr>
          <w:p>
            <w:pPr>
              <w:rPr>
                <w:rFonts w:ascii="Arial" w:hAnsi="Arial" w:cs="Arial"/>
                <w:sz w:val="21"/>
                <w:szCs w:val="21"/>
              </w:rPr>
            </w:pPr>
            <w:r>
              <w:rPr>
                <w:rFonts w:ascii="Arial" w:hAnsi="Arial" w:cs="Arial"/>
                <w:sz w:val="21"/>
                <w:szCs w:val="21"/>
              </w:rPr>
              <w:t>Strive to issue decisions within 6 months.</w:t>
            </w:r>
          </w:p>
        </w:tc>
        <w:tc>
          <w:tcPr>
            <w:tcW w:w="3717" w:type="dxa"/>
            <w:shd w:val="clear" w:color="auto" w:fill="FFFFFF" w:themeFill="background1"/>
          </w:tcPr>
          <w:p>
            <w:pPr>
              <w:spacing w:after="240"/>
              <w:rPr>
                <w:rFonts w:ascii="Arial" w:hAnsi="Arial" w:cs="Arial"/>
                <w:sz w:val="21"/>
                <w:szCs w:val="21"/>
              </w:rPr>
            </w:pPr>
            <w:r>
              <w:rPr>
                <w:rFonts w:ascii="Arial" w:hAnsi="Arial" w:cs="Arial"/>
                <w:sz w:val="21"/>
                <w:szCs w:val="21"/>
              </w:rPr>
              <w:t>The Panel should complete work expeditiously; issuing an early scheduling order and decisions within 6 months, although updated completion schedule is possible as required.</w:t>
            </w:r>
          </w:p>
        </w:tc>
        <w:tc>
          <w:tcPr>
            <w:tcW w:w="3841" w:type="dxa"/>
            <w:shd w:val="clear" w:color="auto" w:fill="FFFFFF" w:themeFill="background1"/>
          </w:tcPr>
          <w:p>
            <w:pPr>
              <w:spacing w:after="240"/>
              <w:rPr>
                <w:rFonts w:ascii="Arial" w:hAnsi="Arial" w:cs="Arial"/>
                <w:sz w:val="21"/>
                <w:szCs w:val="21"/>
              </w:rPr>
            </w:pPr>
            <w:r>
              <w:rPr>
                <w:rFonts w:ascii="Arial" w:hAnsi="Arial" w:cs="Arial"/>
                <w:sz w:val="21"/>
                <w:szCs w:val="21"/>
              </w:rPr>
              <w:t>Generally similar to CCWG Proposal.</w:t>
            </w:r>
          </w:p>
        </w:tc>
        <w:tc>
          <w:tcPr>
            <w:tcW w:w="3915" w:type="dxa"/>
            <w:shd w:val="clear" w:color="auto" w:fill="FFFFFF" w:themeFill="background1"/>
          </w:tcPr>
          <w:p>
            <w:pPr>
              <w:rPr>
                <w:rFonts w:ascii="Arial" w:hAnsi="Arial" w:cs="Arial"/>
                <w:sz w:val="21"/>
                <w:szCs w:val="21"/>
              </w:rPr>
            </w:pPr>
            <w:r>
              <w:rPr>
                <w:rFonts w:ascii="Arial" w:hAnsi="Arial" w:cs="Arial"/>
                <w:sz w:val="21"/>
                <w:szCs w:val="21"/>
              </w:rPr>
              <w:t>Generally similar to CCWG Proposal.</w:t>
            </w:r>
          </w:p>
        </w:tc>
      </w:tr>
      <w:tr>
        <w:trPr>
          <w:trHeight w:val="511"/>
        </w:trP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t>22.  Accessibility and Cost</w:t>
            </w:r>
          </w:p>
        </w:tc>
      </w:tr>
      <w:tr>
        <w:tc>
          <w:tcPr>
            <w:tcW w:w="3303" w:type="dxa"/>
          </w:tcPr>
          <w:p>
            <w:pPr>
              <w:pStyle w:val="BodyText"/>
              <w:ind w:firstLine="0"/>
              <w:rPr>
                <w:rFonts w:ascii="Arial" w:hAnsi="Arial" w:cs="Arial"/>
                <w:sz w:val="21"/>
                <w:szCs w:val="21"/>
              </w:rPr>
            </w:pPr>
            <w:r>
              <w:rPr>
                <w:rFonts w:ascii="Arial" w:hAnsi="Arial" w:cs="Arial"/>
                <w:sz w:val="21"/>
                <w:szCs w:val="21"/>
              </w:rPr>
              <w:t xml:space="preserve">Losing party pays fees of panel.  Other costs may be shifted.  Fees shifted to challenger if cooperative engagement and </w:t>
            </w:r>
            <w:r>
              <w:rPr>
                <w:rFonts w:ascii="Arial" w:hAnsi="Arial" w:cs="Arial"/>
                <w:sz w:val="21"/>
                <w:szCs w:val="21"/>
              </w:rPr>
              <w:lastRenderedPageBreak/>
              <w:t xml:space="preserve">conciliation process not followed.  </w:t>
            </w:r>
          </w:p>
        </w:tc>
        <w:tc>
          <w:tcPr>
            <w:tcW w:w="3717" w:type="dxa"/>
          </w:tcPr>
          <w:p>
            <w:pPr>
              <w:spacing w:after="240"/>
              <w:rPr>
                <w:rFonts w:ascii="Arial" w:hAnsi="Arial" w:cs="Arial"/>
                <w:sz w:val="21"/>
                <w:szCs w:val="21"/>
              </w:rPr>
            </w:pPr>
            <w:r>
              <w:rPr>
                <w:rFonts w:ascii="Arial" w:hAnsi="Arial" w:cs="Arial"/>
                <w:sz w:val="21"/>
                <w:szCs w:val="21"/>
              </w:rPr>
              <w:lastRenderedPageBreak/>
              <w:t xml:space="preserve">ICANN would bear all the administrative costs of maintaining the system (including Panelist salaries), while each party should </w:t>
            </w:r>
            <w:r>
              <w:rPr>
                <w:rFonts w:ascii="Arial" w:hAnsi="Arial" w:cs="Arial"/>
                <w:sz w:val="21"/>
                <w:szCs w:val="21"/>
              </w:rPr>
              <w:lastRenderedPageBreak/>
              <w:t xml:space="preserve">bear the costs of their own legal advice.   The Panel may provide for loser pays/fee shifting in the event it identifies a challenge or defense as frivolous or abusive. IRP Sub Group may recommend filing fees to prevent abuse of the process. Access to pro bono representation for complainants that would otherwise be excluded from the process. </w:t>
            </w:r>
          </w:p>
        </w:tc>
        <w:tc>
          <w:tcPr>
            <w:tcW w:w="3841" w:type="dxa"/>
          </w:tcPr>
          <w:p>
            <w:pPr>
              <w:spacing w:after="240"/>
              <w:rPr>
                <w:rFonts w:ascii="Arial" w:hAnsi="Arial" w:cs="Arial"/>
                <w:sz w:val="21"/>
                <w:szCs w:val="21"/>
              </w:rPr>
            </w:pPr>
            <w:r>
              <w:rPr>
                <w:rFonts w:ascii="Arial" w:hAnsi="Arial" w:cs="Arial"/>
                <w:sz w:val="21"/>
                <w:szCs w:val="21"/>
              </w:rPr>
              <w:lastRenderedPageBreak/>
              <w:t>Generally similar to IRP cost-shifting process.</w:t>
            </w:r>
          </w:p>
        </w:tc>
        <w:tc>
          <w:tcPr>
            <w:tcW w:w="3915" w:type="dxa"/>
          </w:tcPr>
          <w:p>
            <w:pPr>
              <w:spacing w:after="240"/>
              <w:rPr>
                <w:rFonts w:ascii="Arial" w:hAnsi="Arial" w:cs="Arial"/>
                <w:sz w:val="21"/>
                <w:szCs w:val="21"/>
              </w:rPr>
            </w:pPr>
            <w:r>
              <w:rPr>
                <w:rFonts w:ascii="Arial" w:hAnsi="Arial" w:cs="Arial"/>
                <w:sz w:val="21"/>
                <w:szCs w:val="21"/>
              </w:rPr>
              <w:t xml:space="preserve">ICANN will fund the costs of MEM binding arbitration, including legal fees when a final award is issued.  </w:t>
            </w:r>
          </w:p>
          <w:p>
            <w:pPr>
              <w:spacing w:after="240"/>
              <w:rPr>
                <w:rFonts w:ascii="Arial" w:hAnsi="Arial" w:cs="Arial"/>
                <w:sz w:val="21"/>
                <w:szCs w:val="21"/>
              </w:rPr>
            </w:pPr>
          </w:p>
        </w:tc>
      </w:tr>
      <w:t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lastRenderedPageBreak/>
              <w:t>23.  Bylaw Implementation</w:t>
            </w:r>
          </w:p>
        </w:tc>
      </w:tr>
      <w:tr>
        <w:tc>
          <w:tcPr>
            <w:tcW w:w="3303" w:type="dxa"/>
          </w:tcPr>
          <w:p>
            <w:pPr>
              <w:pStyle w:val="BodyText"/>
              <w:ind w:firstLine="0"/>
              <w:rPr>
                <w:rFonts w:ascii="Arial" w:hAnsi="Arial" w:cs="Arial"/>
                <w:sz w:val="21"/>
                <w:szCs w:val="21"/>
              </w:rPr>
            </w:pPr>
            <w:r>
              <w:rPr>
                <w:rFonts w:ascii="Arial" w:hAnsi="Arial" w:cs="Arial"/>
                <w:sz w:val="21"/>
                <w:szCs w:val="21"/>
              </w:rPr>
              <w:t>Already existing in Bylaws, Article IV, § 3.</w:t>
            </w:r>
          </w:p>
        </w:tc>
        <w:tc>
          <w:tcPr>
            <w:tcW w:w="3717" w:type="dxa"/>
          </w:tcPr>
          <w:p>
            <w:pPr>
              <w:spacing w:after="240"/>
              <w:rPr>
                <w:rFonts w:ascii="Arial" w:hAnsi="Arial" w:cs="Arial"/>
                <w:sz w:val="21"/>
                <w:szCs w:val="21"/>
              </w:rPr>
            </w:pPr>
            <w:r>
              <w:rPr>
                <w:rFonts w:ascii="Arial" w:hAnsi="Arial" w:cs="Arial"/>
                <w:sz w:val="21"/>
                <w:szCs w:val="21"/>
              </w:rPr>
              <w:t xml:space="preserve">Revised IRP provisions to be adopted as Fundamental Bylaws. </w:t>
            </w:r>
          </w:p>
        </w:tc>
        <w:tc>
          <w:tcPr>
            <w:tcW w:w="3841" w:type="dxa"/>
          </w:tcPr>
          <w:p>
            <w:pPr>
              <w:spacing w:after="240"/>
              <w:rPr>
                <w:rFonts w:ascii="Arial" w:hAnsi="Arial" w:cs="Arial"/>
                <w:sz w:val="21"/>
                <w:szCs w:val="21"/>
              </w:rPr>
            </w:pPr>
            <w:r>
              <w:rPr>
                <w:rFonts w:ascii="Arial" w:hAnsi="Arial" w:cs="Arial"/>
                <w:sz w:val="21"/>
                <w:szCs w:val="21"/>
              </w:rPr>
              <w:t>Revised IRP provisions to be adopted as Fundamental Bylaws, but Community should consider whether to delay incorporating until additional process improvements are developed.</w:t>
            </w:r>
          </w:p>
        </w:tc>
        <w:tc>
          <w:tcPr>
            <w:tcW w:w="3915" w:type="dxa"/>
          </w:tcPr>
          <w:p>
            <w:pPr>
              <w:spacing w:after="240"/>
              <w:rPr>
                <w:rFonts w:ascii="Arial" w:hAnsi="Arial" w:cs="Arial"/>
                <w:sz w:val="21"/>
                <w:szCs w:val="21"/>
              </w:rPr>
            </w:pPr>
            <w:r>
              <w:rPr>
                <w:rFonts w:ascii="Arial" w:hAnsi="Arial" w:cs="Arial"/>
                <w:sz w:val="21"/>
                <w:szCs w:val="21"/>
              </w:rPr>
              <w:t>MEM provisions to be adopted as Fundamental Bylaws.</w:t>
            </w:r>
          </w:p>
        </w:tc>
      </w:tr>
      <w:tr>
        <w:tc>
          <w:tcPr>
            <w:tcW w:w="14776" w:type="dxa"/>
            <w:gridSpan w:val="4"/>
            <w:shd w:val="clear" w:color="auto" w:fill="B8CCE4"/>
          </w:tcPr>
          <w:p>
            <w:pPr>
              <w:keepNext/>
              <w:keepLines/>
              <w:spacing w:before="120" w:after="120"/>
              <w:rPr>
                <w:rFonts w:ascii="Arial" w:hAnsi="Arial" w:cs="Arial"/>
                <w:b/>
                <w:sz w:val="21"/>
                <w:szCs w:val="21"/>
              </w:rPr>
            </w:pPr>
            <w:r>
              <w:rPr>
                <w:rFonts w:ascii="Arial" w:hAnsi="Arial" w:cs="Arial"/>
                <w:b/>
                <w:sz w:val="21"/>
                <w:szCs w:val="21"/>
              </w:rPr>
              <w:t>24.  Timing to Initiate</w:t>
            </w:r>
          </w:p>
        </w:tc>
      </w:tr>
      <w:tr>
        <w:tc>
          <w:tcPr>
            <w:tcW w:w="3303" w:type="dxa"/>
            <w:shd w:val="clear" w:color="auto" w:fill="FFFFFF" w:themeFill="background1"/>
          </w:tcPr>
          <w:p>
            <w:pPr>
              <w:autoSpaceDE w:val="0"/>
              <w:autoSpaceDN w:val="0"/>
              <w:adjustRightInd w:val="0"/>
              <w:rPr>
                <w:rFonts w:ascii="Arial" w:hAnsi="Arial" w:cs="Arial"/>
                <w:sz w:val="21"/>
                <w:szCs w:val="21"/>
              </w:rPr>
            </w:pPr>
            <w:r>
              <w:rPr>
                <w:rFonts w:ascii="Arial" w:hAnsi="Arial" w:cs="Arial"/>
                <w:sz w:val="21"/>
                <w:szCs w:val="21"/>
              </w:rPr>
              <w:t>Within 30 days after posting of relevant Board minutes.</w:t>
            </w:r>
          </w:p>
        </w:tc>
        <w:tc>
          <w:tcPr>
            <w:tcW w:w="3717" w:type="dxa"/>
            <w:shd w:val="clear" w:color="auto" w:fill="FFFFFF" w:themeFill="background1"/>
          </w:tcPr>
          <w:p>
            <w:pPr>
              <w:spacing w:after="240"/>
              <w:rPr>
                <w:rFonts w:ascii="Arial" w:hAnsi="Arial" w:cs="Arial"/>
                <w:sz w:val="21"/>
                <w:szCs w:val="21"/>
              </w:rPr>
            </w:pPr>
            <w:r>
              <w:rPr>
                <w:rFonts w:ascii="Arial" w:hAnsi="Arial" w:cs="Arial"/>
                <w:sz w:val="21"/>
                <w:szCs w:val="21"/>
              </w:rPr>
              <w:t>To be developed.</w:t>
            </w:r>
          </w:p>
        </w:tc>
        <w:tc>
          <w:tcPr>
            <w:tcW w:w="3841" w:type="dxa"/>
            <w:shd w:val="clear" w:color="auto" w:fill="FFFFFF" w:themeFill="background1"/>
          </w:tcPr>
          <w:p>
            <w:pPr>
              <w:spacing w:after="240"/>
              <w:rPr>
                <w:rFonts w:ascii="Arial" w:hAnsi="Arial" w:cs="Arial"/>
                <w:sz w:val="21"/>
                <w:szCs w:val="21"/>
              </w:rPr>
            </w:pPr>
            <w:r>
              <w:rPr>
                <w:rFonts w:ascii="Arial" w:hAnsi="Arial" w:cs="Arial"/>
                <w:sz w:val="21"/>
                <w:szCs w:val="21"/>
              </w:rPr>
              <w:t>Would continue 30 day period until new period agreed.</w:t>
            </w:r>
          </w:p>
        </w:tc>
        <w:tc>
          <w:tcPr>
            <w:tcW w:w="3915" w:type="dxa"/>
            <w:shd w:val="clear" w:color="auto" w:fill="FFFFFF" w:themeFill="background1"/>
          </w:tcPr>
          <w:p>
            <w:pPr>
              <w:spacing w:after="240"/>
              <w:rPr>
                <w:rFonts w:ascii="Arial" w:hAnsi="Arial" w:cs="Arial"/>
                <w:sz w:val="21"/>
                <w:szCs w:val="21"/>
              </w:rPr>
            </w:pPr>
            <w:r>
              <w:rPr>
                <w:rFonts w:ascii="Arial" w:hAnsi="Arial" w:cs="Arial"/>
                <w:sz w:val="21"/>
                <w:szCs w:val="21"/>
              </w:rPr>
              <w:t xml:space="preserve">Period in which to file a petition not addressed. Once petition is initiated by any SO/AC, 15 day discussion period followed by 21 day consideration period before MEM Issue Group may be formed. </w:t>
            </w:r>
          </w:p>
        </w:tc>
      </w:tr>
      <w:tr>
        <w:tc>
          <w:tcPr>
            <w:tcW w:w="14776" w:type="dxa"/>
            <w:gridSpan w:val="4"/>
            <w:shd w:val="clear" w:color="auto" w:fill="B8CCE4"/>
          </w:tcPr>
          <w:p>
            <w:pPr>
              <w:keepNext/>
              <w:keepLines/>
              <w:spacing w:before="120" w:after="120"/>
              <w:rPr>
                <w:rFonts w:ascii="Arial" w:hAnsi="Arial" w:cs="Arial"/>
                <w:b/>
                <w:sz w:val="21"/>
                <w:szCs w:val="21"/>
              </w:rPr>
            </w:pPr>
            <w:r>
              <w:rPr>
                <w:rFonts w:ascii="Arial" w:hAnsi="Arial" w:cs="Arial"/>
                <w:b/>
                <w:sz w:val="21"/>
                <w:szCs w:val="21"/>
              </w:rPr>
              <w:t>25.  Process to Initiate</w:t>
            </w:r>
          </w:p>
        </w:tc>
      </w:tr>
      <w:tr>
        <w:tc>
          <w:tcPr>
            <w:tcW w:w="3303" w:type="dxa"/>
          </w:tcPr>
          <w:p>
            <w:pPr>
              <w:pStyle w:val="BodyText"/>
              <w:ind w:firstLine="0"/>
              <w:rPr>
                <w:rFonts w:ascii="Arial" w:hAnsi="Arial" w:cs="Arial"/>
                <w:sz w:val="21"/>
                <w:szCs w:val="21"/>
              </w:rPr>
            </w:pPr>
            <w:r>
              <w:rPr>
                <w:rFonts w:ascii="Arial" w:hAnsi="Arial" w:cs="Arial"/>
                <w:sz w:val="21"/>
                <w:szCs w:val="21"/>
              </w:rPr>
              <w:t>Party submits complaint.</w:t>
            </w:r>
          </w:p>
        </w:tc>
        <w:tc>
          <w:tcPr>
            <w:tcW w:w="3717" w:type="dxa"/>
          </w:tcPr>
          <w:p>
            <w:pPr>
              <w:spacing w:after="240"/>
              <w:rPr>
                <w:rFonts w:ascii="Arial" w:hAnsi="Arial" w:cs="Arial"/>
                <w:sz w:val="21"/>
                <w:szCs w:val="21"/>
              </w:rPr>
            </w:pPr>
            <w:r>
              <w:rPr>
                <w:rFonts w:ascii="Arial" w:hAnsi="Arial" w:cs="Arial"/>
                <w:sz w:val="21"/>
                <w:szCs w:val="21"/>
              </w:rPr>
              <w:t xml:space="preserve">Aggrieved party would file complaint that a specific action or inaction violated the Articles or Bylaws.  CMSM could be a party to the proceeding along with the other relevant aggrieved party.  Other </w:t>
            </w:r>
            <w:r>
              <w:rPr>
                <w:rFonts w:ascii="Arial" w:hAnsi="Arial" w:cs="Arial"/>
                <w:sz w:val="21"/>
                <w:szCs w:val="21"/>
              </w:rPr>
              <w:lastRenderedPageBreak/>
              <w:t>parties may join proceeding based on not-yet-developed rules for intervention.  For CMSM to participate, SOs/ACs could develop an unspecified level of consensus and direct the CMSM to act, or the CMSM could be a party in all actions.</w:t>
            </w:r>
          </w:p>
        </w:tc>
        <w:tc>
          <w:tcPr>
            <w:tcW w:w="3841" w:type="dxa"/>
          </w:tcPr>
          <w:p>
            <w:pPr>
              <w:pStyle w:val="BodyText"/>
              <w:ind w:firstLine="0"/>
              <w:rPr>
                <w:rFonts w:ascii="Arial" w:hAnsi="Arial" w:cs="Arial"/>
                <w:sz w:val="21"/>
                <w:szCs w:val="21"/>
              </w:rPr>
            </w:pPr>
            <w:r>
              <w:rPr>
                <w:rFonts w:ascii="Arial" w:hAnsi="Arial" w:cs="Arial"/>
                <w:sz w:val="21"/>
                <w:szCs w:val="21"/>
              </w:rPr>
              <w:lastRenderedPageBreak/>
              <w:t>Unspecified, support for “refining existing IRP process.”</w:t>
            </w:r>
          </w:p>
        </w:tc>
        <w:tc>
          <w:tcPr>
            <w:tcW w:w="3915" w:type="dxa"/>
          </w:tcPr>
          <w:p>
            <w:pPr>
              <w:spacing w:after="240"/>
              <w:rPr>
                <w:rFonts w:ascii="Arial" w:hAnsi="Arial" w:cs="Arial"/>
                <w:sz w:val="21"/>
                <w:szCs w:val="21"/>
              </w:rPr>
            </w:pPr>
            <w:r>
              <w:rPr>
                <w:rFonts w:ascii="Arial" w:hAnsi="Arial" w:cs="Arial"/>
                <w:sz w:val="21"/>
                <w:szCs w:val="21"/>
              </w:rPr>
              <w:t xml:space="preserve">Any SO/AC would submit a petition after developing an unspecified level of consensus; an unspecified number of SOs/ACs supporting the petition may form a MEM Issue Group, who submits </w:t>
            </w:r>
            <w:r>
              <w:rPr>
                <w:rFonts w:ascii="Arial" w:hAnsi="Arial" w:cs="Arial"/>
                <w:sz w:val="21"/>
                <w:szCs w:val="21"/>
              </w:rPr>
              <w:lastRenderedPageBreak/>
              <w:t xml:space="preserve">a request for arbitration. </w:t>
            </w:r>
          </w:p>
        </w:tc>
      </w:tr>
      <w:tr>
        <w:tc>
          <w:tcPr>
            <w:tcW w:w="14776" w:type="dxa"/>
            <w:gridSpan w:val="4"/>
            <w:shd w:val="clear" w:color="auto" w:fill="B8CCE4"/>
          </w:tcPr>
          <w:p>
            <w:pPr>
              <w:spacing w:before="120" w:after="120"/>
              <w:rPr>
                <w:rFonts w:ascii="Arial" w:hAnsi="Arial" w:cs="Arial"/>
                <w:b/>
                <w:sz w:val="21"/>
                <w:szCs w:val="21"/>
              </w:rPr>
            </w:pPr>
            <w:r>
              <w:rPr>
                <w:rFonts w:ascii="Arial" w:hAnsi="Arial" w:cs="Arial"/>
                <w:b/>
                <w:sz w:val="21"/>
                <w:szCs w:val="21"/>
              </w:rPr>
              <w:lastRenderedPageBreak/>
              <w:t>26.  Secretariat Administration</w:t>
            </w:r>
          </w:p>
        </w:tc>
      </w:tr>
      <w:tr>
        <w:tc>
          <w:tcPr>
            <w:tcW w:w="3303" w:type="dxa"/>
            <w:shd w:val="clear" w:color="auto" w:fill="FFFFFF" w:themeFill="background1"/>
          </w:tcPr>
          <w:p>
            <w:pPr>
              <w:autoSpaceDE w:val="0"/>
              <w:autoSpaceDN w:val="0"/>
              <w:adjustRightInd w:val="0"/>
              <w:spacing w:after="240"/>
              <w:rPr>
                <w:rFonts w:ascii="Arial" w:hAnsi="Arial" w:cs="Arial"/>
                <w:color w:val="000000" w:themeColor="text1"/>
                <w:sz w:val="21"/>
                <w:szCs w:val="21"/>
              </w:rPr>
            </w:pPr>
            <w:r>
              <w:rPr>
                <w:rFonts w:ascii="Arial" w:hAnsi="Arial" w:cs="Arial"/>
                <w:color w:val="000000" w:themeColor="text1"/>
                <w:sz w:val="22"/>
                <w:szCs w:val="22"/>
              </w:rPr>
              <w:t>International dispute resolution provider.</w:t>
            </w:r>
          </w:p>
        </w:tc>
        <w:tc>
          <w:tcPr>
            <w:tcW w:w="3717" w:type="dxa"/>
            <w:shd w:val="clear" w:color="auto" w:fill="FFFFFF" w:themeFill="background1"/>
          </w:tcPr>
          <w:p>
            <w:pPr>
              <w:autoSpaceDE w:val="0"/>
              <w:autoSpaceDN w:val="0"/>
              <w:adjustRightInd w:val="0"/>
              <w:spacing w:after="240"/>
              <w:rPr>
                <w:rFonts w:ascii="Arial" w:hAnsi="Arial" w:cs="Arial"/>
                <w:color w:val="000000" w:themeColor="text1"/>
                <w:sz w:val="21"/>
                <w:szCs w:val="21"/>
              </w:rPr>
            </w:pPr>
            <w:r>
              <w:rPr>
                <w:rFonts w:ascii="Arial" w:hAnsi="Arial" w:cs="Arial"/>
                <w:color w:val="000000" w:themeColor="text1"/>
                <w:sz w:val="22"/>
                <w:szCs w:val="22"/>
              </w:rPr>
              <w:t>Unspecified.</w:t>
            </w:r>
          </w:p>
        </w:tc>
        <w:tc>
          <w:tcPr>
            <w:tcW w:w="3841" w:type="dxa"/>
            <w:shd w:val="clear" w:color="auto" w:fill="FFFFFF" w:themeFill="background1"/>
          </w:tcPr>
          <w:p>
            <w:pPr>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Unspecified; agreed with CCWG.</w:t>
            </w:r>
          </w:p>
        </w:tc>
        <w:tc>
          <w:tcPr>
            <w:tcW w:w="3915" w:type="dxa"/>
            <w:shd w:val="clear" w:color="auto" w:fill="FFFFFF" w:themeFill="background1"/>
          </w:tcPr>
          <w:p>
            <w:pPr>
              <w:autoSpaceDE w:val="0"/>
              <w:autoSpaceDN w:val="0"/>
              <w:adjustRightInd w:val="0"/>
              <w:spacing w:after="240"/>
              <w:rPr>
                <w:rFonts w:ascii="Arial" w:hAnsi="Arial" w:cs="Arial"/>
                <w:color w:val="000000" w:themeColor="text1"/>
                <w:sz w:val="22"/>
                <w:szCs w:val="22"/>
              </w:rPr>
            </w:pPr>
            <w:r>
              <w:rPr>
                <w:rFonts w:ascii="Arial" w:hAnsi="Arial" w:cs="Arial"/>
                <w:color w:val="000000" w:themeColor="text1"/>
                <w:sz w:val="22"/>
                <w:szCs w:val="22"/>
              </w:rPr>
              <w:t>Unspecified.</w:t>
            </w:r>
          </w:p>
        </w:tc>
      </w:tr>
      <w:tr>
        <w:tc>
          <w:tcPr>
            <w:tcW w:w="14776" w:type="dxa"/>
            <w:gridSpan w:val="4"/>
            <w:shd w:val="clear" w:color="auto" w:fill="B8CCE4" w:themeFill="accent1" w:themeFillTint="66"/>
          </w:tcPr>
          <w:p>
            <w:pPr>
              <w:keepNext/>
              <w:spacing w:before="120" w:after="120"/>
              <w:rPr>
                <w:rFonts w:ascii="Arial" w:hAnsi="Arial" w:cs="Arial"/>
                <w:b/>
                <w:sz w:val="21"/>
                <w:szCs w:val="21"/>
              </w:rPr>
            </w:pPr>
            <w:r>
              <w:rPr>
                <w:rFonts w:ascii="Arial" w:hAnsi="Arial" w:cs="Arial"/>
                <w:b/>
                <w:sz w:val="21"/>
                <w:szCs w:val="21"/>
              </w:rPr>
              <w:t>27.  Periodic Review</w:t>
            </w:r>
          </w:p>
        </w:tc>
      </w:tr>
      <w:tr>
        <w:tc>
          <w:tcPr>
            <w:tcW w:w="3303" w:type="dxa"/>
            <w:shd w:val="clear" w:color="auto" w:fill="FFFFFF" w:themeFill="background1"/>
          </w:tcPr>
          <w:p>
            <w:pPr>
              <w:pStyle w:val="BodyHang"/>
              <w:ind w:left="26" w:firstLine="0"/>
              <w:rPr>
                <w:rFonts w:ascii="Arial" w:hAnsi="Arial" w:cs="Arial"/>
                <w:sz w:val="21"/>
                <w:szCs w:val="21"/>
              </w:rPr>
            </w:pPr>
            <w:r>
              <w:rPr>
                <w:rFonts w:ascii="Arial" w:hAnsi="Arial" w:cs="Arial"/>
                <w:sz w:val="21"/>
                <w:szCs w:val="21"/>
              </w:rPr>
              <w:t xml:space="preserve">Could be conducted. </w:t>
            </w:r>
          </w:p>
        </w:tc>
        <w:tc>
          <w:tcPr>
            <w:tcW w:w="3717" w:type="dxa"/>
            <w:shd w:val="clear" w:color="auto" w:fill="FFFFFF" w:themeFill="background1"/>
          </w:tcPr>
          <w:p>
            <w:pPr>
              <w:pStyle w:val="BodyHang"/>
              <w:ind w:left="40" w:firstLine="0"/>
              <w:rPr>
                <w:rFonts w:ascii="Arial" w:hAnsi="Arial" w:cs="Arial"/>
                <w:sz w:val="21"/>
                <w:szCs w:val="21"/>
              </w:rPr>
            </w:pPr>
            <w:r>
              <w:rPr>
                <w:rFonts w:ascii="Arial" w:hAnsi="Arial" w:cs="Arial"/>
                <w:sz w:val="21"/>
                <w:szCs w:val="21"/>
              </w:rPr>
              <w:t>IRP process subject to periodic review.</w:t>
            </w:r>
          </w:p>
        </w:tc>
        <w:tc>
          <w:tcPr>
            <w:tcW w:w="3841" w:type="dxa"/>
            <w:shd w:val="clear" w:color="auto" w:fill="FFFFFF" w:themeFill="background1"/>
          </w:tcPr>
          <w:p>
            <w:pPr>
              <w:pStyle w:val="BodyText"/>
              <w:ind w:firstLine="0"/>
              <w:rPr>
                <w:rFonts w:ascii="Arial" w:hAnsi="Arial" w:cs="Arial"/>
                <w:sz w:val="21"/>
                <w:szCs w:val="21"/>
              </w:rPr>
            </w:pPr>
            <w:r>
              <w:rPr>
                <w:rFonts w:ascii="Arial" w:hAnsi="Arial" w:cs="Arial"/>
                <w:sz w:val="21"/>
                <w:szCs w:val="21"/>
              </w:rPr>
              <w:t>Generally similar to CCWG Proposal.</w:t>
            </w:r>
          </w:p>
        </w:tc>
        <w:tc>
          <w:tcPr>
            <w:tcW w:w="3915" w:type="dxa"/>
            <w:shd w:val="clear" w:color="auto" w:fill="FFFFFF" w:themeFill="background1"/>
          </w:tcPr>
          <w:p>
            <w:pPr>
              <w:pStyle w:val="BodyText"/>
              <w:ind w:firstLine="0"/>
              <w:rPr>
                <w:rFonts w:ascii="Arial" w:hAnsi="Arial" w:cs="Arial"/>
                <w:sz w:val="21"/>
                <w:szCs w:val="21"/>
              </w:rPr>
            </w:pPr>
            <w:r>
              <w:rPr>
                <w:rFonts w:ascii="Arial" w:hAnsi="Arial" w:cs="Arial"/>
                <w:sz w:val="21"/>
                <w:szCs w:val="21"/>
              </w:rPr>
              <w:t>Generally similar to CCWG Proposal.</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4776" w:type="dxa"/>
            <w:gridSpan w:val="4"/>
            <w:shd w:val="clear" w:color="auto" w:fill="B8CCE4" w:themeFill="accent1" w:themeFillTint="66"/>
          </w:tcPr>
          <w:p>
            <w:pPr>
              <w:keepNext/>
              <w:spacing w:before="120" w:after="120"/>
              <w:rPr>
                <w:rFonts w:ascii="Arial" w:hAnsi="Arial" w:cs="Arial"/>
                <w:b/>
                <w:sz w:val="21"/>
                <w:szCs w:val="21"/>
              </w:rPr>
            </w:pPr>
            <w:r>
              <w:rPr>
                <w:rFonts w:ascii="Arial" w:hAnsi="Arial" w:cs="Arial"/>
                <w:b/>
                <w:sz w:val="21"/>
                <w:szCs w:val="21"/>
              </w:rPr>
              <w:t>28.  Exhaustion of Remedies</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303" w:type="dxa"/>
            <w:shd w:val="clear" w:color="auto" w:fill="FFFFFF" w:themeFill="background1"/>
          </w:tcPr>
          <w:p>
            <w:pPr>
              <w:pStyle w:val="BodyHang"/>
              <w:ind w:left="26" w:firstLine="0"/>
              <w:rPr>
                <w:rFonts w:ascii="Arial" w:hAnsi="Arial" w:cs="Arial"/>
                <w:sz w:val="21"/>
                <w:szCs w:val="21"/>
              </w:rPr>
            </w:pPr>
            <w:r>
              <w:rPr>
                <w:rFonts w:ascii="Arial" w:hAnsi="Arial" w:cs="Arial"/>
                <w:sz w:val="21"/>
                <w:szCs w:val="21"/>
              </w:rPr>
              <w:t>No requirement to use IRP before filing lawsuit in civil court to seek redress.</w:t>
            </w:r>
          </w:p>
        </w:tc>
        <w:tc>
          <w:tcPr>
            <w:tcW w:w="3717" w:type="dxa"/>
            <w:shd w:val="clear" w:color="auto" w:fill="FFFFFF" w:themeFill="background1"/>
          </w:tcPr>
          <w:p>
            <w:pPr>
              <w:pStyle w:val="BodyHang"/>
              <w:ind w:left="40" w:firstLine="0"/>
              <w:rPr>
                <w:rFonts w:ascii="Arial" w:hAnsi="Arial" w:cs="Arial"/>
                <w:sz w:val="21"/>
                <w:szCs w:val="21"/>
              </w:rPr>
            </w:pPr>
            <w:r>
              <w:rPr>
                <w:rFonts w:ascii="Arial" w:hAnsi="Arial" w:cs="Arial"/>
                <w:sz w:val="21"/>
                <w:szCs w:val="21"/>
              </w:rPr>
              <w:t>Specifics of any requirement to use IRP, rather than immediately filing a lawsuit, to be determined. Cal. Corp. Code § 5710 requires certain exhaustion steps before filing a derivative action.</w:t>
            </w:r>
          </w:p>
        </w:tc>
        <w:tc>
          <w:tcPr>
            <w:tcW w:w="3841" w:type="dxa"/>
            <w:shd w:val="clear" w:color="auto" w:fill="FFFFFF" w:themeFill="background1"/>
          </w:tcPr>
          <w:p>
            <w:pPr>
              <w:pStyle w:val="BodyText"/>
              <w:ind w:firstLine="0"/>
              <w:rPr>
                <w:rFonts w:ascii="Arial" w:hAnsi="Arial" w:cs="Arial"/>
                <w:sz w:val="21"/>
                <w:szCs w:val="21"/>
              </w:rPr>
            </w:pPr>
            <w:r>
              <w:rPr>
                <w:rFonts w:ascii="Arial" w:hAnsi="Arial" w:cs="Arial"/>
                <w:sz w:val="21"/>
                <w:szCs w:val="21"/>
              </w:rPr>
              <w:t>Unspecified.</w:t>
            </w:r>
          </w:p>
        </w:tc>
        <w:tc>
          <w:tcPr>
            <w:tcW w:w="3915" w:type="dxa"/>
            <w:shd w:val="clear" w:color="auto" w:fill="FFFFFF" w:themeFill="background1"/>
          </w:tcPr>
          <w:p>
            <w:pPr>
              <w:pStyle w:val="BodyText"/>
              <w:ind w:firstLine="0"/>
              <w:rPr>
                <w:rFonts w:ascii="Arial" w:hAnsi="Arial" w:cs="Arial"/>
                <w:sz w:val="21"/>
                <w:szCs w:val="21"/>
              </w:rPr>
            </w:pPr>
            <w:r>
              <w:rPr>
                <w:rFonts w:ascii="Arial" w:hAnsi="Arial" w:cs="Arial"/>
                <w:sz w:val="21"/>
                <w:szCs w:val="21"/>
              </w:rPr>
              <w:t xml:space="preserve">The MEM process would be the only mechanism for the community to address a violation of Fundamental Bylaws by the Board, after which the MEM Issues Group could obtain court  enforcement if necessary. </w:t>
            </w:r>
          </w:p>
        </w:tc>
      </w:tr>
    </w:tbl>
    <w:p>
      <w:pPr>
        <w:rPr>
          <w:rFonts w:ascii="Arial" w:hAnsi="Arial" w:cs="Arial"/>
          <w:sz w:val="21"/>
          <w:szCs w:val="21"/>
        </w:rPr>
      </w:pPr>
    </w:p>
    <w:p>
      <w:pPr>
        <w:autoSpaceDE w:val="0"/>
        <w:autoSpaceDN w:val="0"/>
        <w:adjustRightInd w:val="0"/>
      </w:pPr>
    </w:p>
    <w:sectPr>
      <w:headerReference w:type="default" r:id="rId19"/>
      <w:footerReference w:type="default" r:id="rId20"/>
      <w:pgSz w:w="15840" w:h="12240" w:orient="landscape" w:code="1"/>
      <w:pgMar w:top="720" w:right="720" w:bottom="1080" w:left="72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SansPro-Regular">
    <w:altName w:val="Arial Unicode MS"/>
    <w:panose1 w:val="00000000000000000000"/>
    <w:charset w:val="00"/>
    <w:family w:val="auto"/>
    <w:notTrueType/>
    <w:pitch w:val="default"/>
    <w:sig w:usb0="00000003" w:usb1="09060000" w:usb2="00000010"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sz w:val="24"/>
      </w:rPr>
    </w:pPr>
    <w:r>
      <w:rPr>
        <w:sz w:val="24"/>
      </w:rPr>
      <w:fldChar w:fldCharType="begin"/>
    </w:r>
    <w:r>
      <w:rPr>
        <w:sz w:val="24"/>
      </w:rPr>
      <w:instrText xml:space="preserve"> PAGE   \* MERGEFORMAT </w:instrText>
    </w:r>
    <w:r>
      <w:rPr>
        <w:sz w:val="24"/>
      </w:rPr>
      <w:fldChar w:fldCharType="separate"/>
    </w:r>
    <w:r>
      <w:rPr>
        <w:noProof/>
        <w:sz w:val="24"/>
      </w:rPr>
      <w:t>2</w:t>
    </w:r>
    <w:r>
      <w:rPr>
        <w:sz w:val="24"/>
      </w:rPr>
      <w:fldChar w:fldCharType="end"/>
    </w:r>
  </w:p>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 xml:space="preserve">ACTIVE </w:t>
    </w:r>
    <w:proofErr w:type="spellStart"/>
    <w:r>
      <w:rPr>
        <w:rStyle w:val="DocID"/>
      </w:rPr>
      <w:t>210365800v.2</w:t>
    </w:r>
    <w:proofErr w:type="spellEnd"/>
    <w:r>
      <w:rPr>
        <w:rStyle w:val="DocI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7200"/>
      </w:tabs>
      <w:rPr>
        <w:rFonts w:ascii="Arial" w:hAnsi="Arial" w:cs="Arial"/>
        <w:sz w:val="20"/>
        <w:szCs w:val="20"/>
      </w:rPr>
    </w:pPr>
    <w:r>
      <w:tab/>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rPr>
          <w:noProof/>
        </w:rPr>
      </w:pPr>
      <w:r>
        <w:rPr>
          <w:noProof/>
        </w:rPr>
        <w:separator/>
      </w:r>
    </w:p>
  </w:footnote>
  <w:footnote w:type="continuationSeparator" w:id="0">
    <w:p>
      <w:r>
        <w:continuationSeparator/>
      </w:r>
    </w:p>
  </w:footnote>
  <w:footnote w:id="1">
    <w:p>
      <w:pPr>
        <w:pStyle w:val="FootnoteText"/>
        <w:rPr>
          <w:rFonts w:ascii="Arial" w:hAnsi="Arial" w:cs="Arial"/>
          <w:szCs w:val="20"/>
        </w:rPr>
      </w:pPr>
      <w:r>
        <w:rPr>
          <w:rStyle w:val="FootnoteReference"/>
          <w:rFonts w:ascii="Arial" w:hAnsi="Arial" w:cs="Arial"/>
          <w:szCs w:val="20"/>
        </w:rPr>
        <w:footnoteRef/>
      </w:r>
      <w:r>
        <w:rPr>
          <w:rFonts w:ascii="Arial" w:hAnsi="Arial" w:cs="Arial"/>
          <w:szCs w:val="20"/>
        </w:rPr>
        <w:t xml:space="preserve"> ICANN Board comments indicated agreement to revising IRP processes to make them binding, ““Agreed. Decisions should be binding unless there is a conflict with the Board’s fiduciary responsibilities.”  Board Input to CCWG-Accountability 2nd Draft Proposal Comments Matrix and Notes on Proposed Elements at 41.   Nevertheless, counsel for Board has also indicated via email that “ICANN’s board has not taken a formal position on the binding nature of the enhanced IRP.  It has discussed taking on a binding IRP if the IRP process is enhanced and designed for that purpose</w:t>
      </w:r>
      <w:r>
        <w:rPr>
          <w:rStyle w:val="Heading3Char"/>
          <w:rFonts w:ascii="Arial" w:hAnsi="Arial"/>
          <w:sz w:val="20"/>
          <w:szCs w:val="20"/>
        </w:rPr>
        <w:t>.”  Email from K. Wallace, “Re: Counsel Dialogue on CCWG Proposal,” September 22, 2015.</w:t>
      </w:r>
    </w:p>
  </w:footnote>
  <w:footnote w:id="2">
    <w:p>
      <w:pPr>
        <w:pStyle w:val="FootnoteText"/>
        <w:rPr>
          <w:rFonts w:ascii="Arial" w:hAnsi="Arial" w:cs="Arial"/>
        </w:rPr>
      </w:pPr>
      <w:r>
        <w:rPr>
          <w:rStyle w:val="FootnoteReference"/>
          <w:rFonts w:ascii="Arial" w:hAnsi="Arial" w:cs="Arial"/>
        </w:rPr>
        <w:footnoteRef/>
      </w:r>
      <w:r>
        <w:rPr>
          <w:rFonts w:ascii="Arial" w:hAnsi="Arial" w:cs="Arial"/>
        </w:rPr>
        <w:t xml:space="preserve"> “Generally similar to CCWG Proposal” indicates elements of the CCWG 2nd Draft Proposal that the ICANN Board appears to generally agree with based on our review and understanding of the “Board Input to CCWG-Accountability 2nd Draft Proposal Comments Matrix and Notes on Proposed Elements,” dated 11 September 2015 and other documents submitted by the ICANN Board as part of the ICANN Board Comments on CCWG-Accountability 2nd Draft Proposal.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699pt;margin-top:1.35pt;width:80.25pt;height:110.55pt;z-index:251666432;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middle" o:allowincell="f" stroked="f" strokeweight="1.5pt">
          <v:stroke linestyle="thinThin"/>
          <v:textbox style="mso-fit-shape-to-text:t">
            <w:txbxContent>
              <w:p>
                <w:pPr>
                  <w:pStyle w:val="Draft"/>
                  <w:rPr>
                    <w:sz w:val="20"/>
                    <w:szCs w:val="20"/>
                  </w:rPr>
                </w:pPr>
                <w:r>
                  <w:t>DRAFT</w:t>
                </w:r>
                <w:r>
                  <w:br/>
                </w:r>
                <w:r>
                  <w:rPr>
                    <w:sz w:val="20"/>
                    <w:szCs w:val="20"/>
                  </w:rPr>
                  <w:t>7/28/2015</w:t>
                </w:r>
              </w:p>
              <w:p>
                <w:pPr>
                  <w:pStyle w:val="Draft"/>
                  <w:rPr>
                    <w:sz w:val="20"/>
                    <w:szCs w:val="20"/>
                  </w:rPr>
                </w:pPr>
                <w:r>
                  <w:rPr>
                    <w:sz w:val="20"/>
                    <w:szCs w:val="20"/>
                  </w:rPr>
                  <w:t>Adler &amp; Colvin</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right" w:pos="9360"/>
      </w:tabs>
    </w:pPr>
    <w:r>
      <w:rPr>
        <w:noProof/>
      </w:rPr>
      <w:drawing>
        <wp:inline distT="0" distB="0" distL="0" distR="0">
          <wp:extent cx="1600200" cy="444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00200" cy="444500"/>
                  </a:xfrm>
                  <a:prstGeom prst="rect">
                    <a:avLst/>
                  </a:prstGeom>
                  <a:noFill/>
                  <a:ln w="9525">
                    <a:noFill/>
                    <a:miter lim="800000"/>
                    <a:headEnd/>
                    <a:tailEnd/>
                  </a:ln>
                </pic:spPr>
              </pic:pic>
            </a:graphicData>
          </a:graphic>
        </wp:inline>
      </w:drawing>
    </w:r>
    <w:r>
      <w:rPr>
        <w:noProof/>
      </w:rPr>
      <w:t xml:space="preserve"> </w:t>
    </w:r>
    <w:r>
      <w:tab/>
    </w:r>
    <w:r>
      <w:rPr>
        <w:noProof/>
      </w:rPr>
      <w:drawing>
        <wp:inline distT="0" distB="0" distL="0" distR="0">
          <wp:extent cx="1552575" cy="578020"/>
          <wp:effectExtent l="19050" t="0" r="9525" b="0"/>
          <wp:docPr id="2"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cstate="print"/>
                  <a:srcRect/>
                  <a:stretch>
                    <a:fillRect/>
                  </a:stretch>
                </pic:blipFill>
                <pic:spPr bwMode="auto">
                  <a:xfrm>
                    <a:off x="0" y="0"/>
                    <a:ext cx="1555436" cy="579085"/>
                  </a:xfrm>
                  <a:prstGeom prst="rect">
                    <a:avLst/>
                  </a:prstGeom>
                  <a:noFill/>
                </pic:spPr>
              </pic:pic>
            </a:graphicData>
          </a:graphic>
        </wp:inline>
      </w:drawing>
    </w:r>
  </w:p>
  <w:p>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644.25pt;margin-top:17.1pt;width:80.25pt;height:110.55pt;z-index:25166438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middle" o:allowincell="f" stroked="f" strokeweight="1.5pt">
          <v:stroke linestyle="thinThin"/>
          <v:textbox style="mso-fit-shape-to-text:t">
            <w:txbxContent>
              <w:p>
                <w:pPr>
                  <w:pStyle w:val="Draft"/>
                  <w:rPr>
                    <w:sz w:val="20"/>
                    <w:szCs w:val="20"/>
                  </w:rPr>
                </w:pPr>
                <w:r>
                  <w:t>DRAFT</w:t>
                </w:r>
                <w:r>
                  <w:br/>
                </w:r>
                <w:r>
                  <w:rPr>
                    <w:sz w:val="20"/>
                    <w:szCs w:val="20"/>
                  </w:rPr>
                  <w:t>7/28/2015</w:t>
                </w:r>
              </w:p>
              <w:p>
                <w:pPr>
                  <w:pStyle w:val="Draft"/>
                  <w:rPr>
                    <w:sz w:val="20"/>
                    <w:szCs w:val="20"/>
                  </w:rPr>
                </w:pPr>
                <w:r>
                  <w:rPr>
                    <w:sz w:val="20"/>
                    <w:szCs w:val="20"/>
                  </w:rPr>
                  <w:t>Adler &amp; Colvin</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920F1A4"/>
    <w:lvl w:ilvl="0">
      <w:start w:val="1"/>
      <w:numFmt w:val="decimal"/>
      <w:lvlText w:val="%1."/>
      <w:lvlJc w:val="left"/>
      <w:pPr>
        <w:tabs>
          <w:tab w:val="num" w:pos="1800"/>
        </w:tabs>
        <w:ind w:left="1800" w:hanging="360"/>
      </w:pPr>
    </w:lvl>
  </w:abstractNum>
  <w:abstractNum w:abstractNumId="1">
    <w:nsid w:val="FFFFFF7D"/>
    <w:multiLevelType w:val="singleLevel"/>
    <w:tmpl w:val="1FEE5A5C"/>
    <w:lvl w:ilvl="0">
      <w:start w:val="1"/>
      <w:numFmt w:val="decimal"/>
      <w:lvlText w:val="%1."/>
      <w:lvlJc w:val="left"/>
      <w:pPr>
        <w:tabs>
          <w:tab w:val="num" w:pos="1440"/>
        </w:tabs>
        <w:ind w:left="1440" w:hanging="360"/>
      </w:pPr>
    </w:lvl>
  </w:abstractNum>
  <w:abstractNum w:abstractNumId="2">
    <w:nsid w:val="FFFFFF7E"/>
    <w:multiLevelType w:val="singleLevel"/>
    <w:tmpl w:val="48264578"/>
    <w:lvl w:ilvl="0">
      <w:start w:val="1"/>
      <w:numFmt w:val="decimal"/>
      <w:lvlText w:val="%1."/>
      <w:lvlJc w:val="left"/>
      <w:pPr>
        <w:tabs>
          <w:tab w:val="num" w:pos="1080"/>
        </w:tabs>
        <w:ind w:left="1080" w:hanging="360"/>
      </w:pPr>
    </w:lvl>
  </w:abstractNum>
  <w:abstractNum w:abstractNumId="3">
    <w:nsid w:val="FFFFFF7F"/>
    <w:multiLevelType w:val="singleLevel"/>
    <w:tmpl w:val="D0A85C72"/>
    <w:lvl w:ilvl="0">
      <w:start w:val="1"/>
      <w:numFmt w:val="decimal"/>
      <w:lvlText w:val="%1."/>
      <w:lvlJc w:val="left"/>
      <w:pPr>
        <w:tabs>
          <w:tab w:val="num" w:pos="720"/>
        </w:tabs>
        <w:ind w:left="720" w:hanging="360"/>
      </w:pPr>
    </w:lvl>
  </w:abstractNum>
  <w:abstractNum w:abstractNumId="4">
    <w:nsid w:val="FFFFFF80"/>
    <w:multiLevelType w:val="singleLevel"/>
    <w:tmpl w:val="9D949C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3A68D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83845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F4EAAA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21E7108"/>
    <w:lvl w:ilvl="0">
      <w:start w:val="1"/>
      <w:numFmt w:val="decimal"/>
      <w:lvlText w:val="%1."/>
      <w:lvlJc w:val="left"/>
      <w:pPr>
        <w:tabs>
          <w:tab w:val="num" w:pos="360"/>
        </w:tabs>
        <w:ind w:left="360" w:hanging="360"/>
      </w:pPr>
    </w:lvl>
  </w:abstractNum>
  <w:abstractNum w:abstractNumId="9">
    <w:nsid w:val="FFFFFF89"/>
    <w:multiLevelType w:val="singleLevel"/>
    <w:tmpl w:val="88F83372"/>
    <w:lvl w:ilvl="0">
      <w:start w:val="1"/>
      <w:numFmt w:val="bullet"/>
      <w:lvlText w:val=""/>
      <w:lvlJc w:val="left"/>
      <w:pPr>
        <w:tabs>
          <w:tab w:val="num" w:pos="360"/>
        </w:tabs>
        <w:ind w:left="360" w:hanging="360"/>
      </w:pPr>
      <w:rPr>
        <w:rFonts w:ascii="Symbol" w:hAnsi="Symbol" w:hint="default"/>
      </w:rPr>
    </w:lvl>
  </w:abstractNum>
  <w:abstractNum w:abstractNumId="10">
    <w:nsid w:val="00B375DB"/>
    <w:multiLevelType w:val="hybridMultilevel"/>
    <w:tmpl w:val="448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AB1124"/>
    <w:multiLevelType w:val="hybridMultilevel"/>
    <w:tmpl w:val="05BA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16548C"/>
    <w:multiLevelType w:val="multilevel"/>
    <w:tmpl w:val="C5F85496"/>
    <w:lvl w:ilvl="0">
      <w:start w:val="1"/>
      <w:numFmt w:val="upperRoman"/>
      <w:lvlRestart w:val="0"/>
      <w:pStyle w:val="Heading1"/>
      <w:suff w:val="nothing"/>
      <w:lvlText w:val="Article %1"/>
      <w:lvlJc w:val="left"/>
      <w:pPr>
        <w:ind w:left="0" w:firstLine="0"/>
      </w:pPr>
      <w:rPr>
        <w:rFonts w:hint="default"/>
      </w:rPr>
    </w:lvl>
    <w:lvl w:ilvl="1">
      <w:start w:val="1"/>
      <w:numFmt w:val="decimal"/>
      <w:pStyle w:val="Heading2"/>
      <w:lvlText w:val="Section %2."/>
      <w:lvlJc w:val="left"/>
      <w:pPr>
        <w:tabs>
          <w:tab w:val="num" w:pos="2232"/>
        </w:tabs>
        <w:ind w:left="0" w:firstLine="1440"/>
      </w:pPr>
      <w:rPr>
        <w:rFonts w:hint="default"/>
      </w:rPr>
    </w:lvl>
    <w:lvl w:ilvl="2">
      <w:start w:val="1"/>
      <w:numFmt w:val="lowerLetter"/>
      <w:pStyle w:val="Heading3"/>
      <w:lvlText w:val="(%3)"/>
      <w:lvlJc w:val="left"/>
      <w:pPr>
        <w:tabs>
          <w:tab w:val="num" w:pos="2160"/>
        </w:tabs>
        <w:ind w:left="0" w:firstLine="1440"/>
      </w:pPr>
      <w:rPr>
        <w:rFonts w:hint="default"/>
      </w:rPr>
    </w:lvl>
    <w:lvl w:ilvl="3">
      <w:start w:val="1"/>
      <w:numFmt w:val="lowerRoman"/>
      <w:pStyle w:val="Heading4"/>
      <w:lvlText w:val="(%4)"/>
      <w:lvlJc w:val="left"/>
      <w:pPr>
        <w:tabs>
          <w:tab w:val="num" w:pos="1440"/>
        </w:tabs>
        <w:ind w:left="0" w:firstLine="1440"/>
      </w:pPr>
      <w:rPr>
        <w:rFonts w:hint="default"/>
      </w:rPr>
    </w:lvl>
    <w:lvl w:ilvl="4">
      <w:start w:val="1"/>
      <w:numFmt w:val="upperLetter"/>
      <w:lvlRestart w:val="0"/>
      <w:pStyle w:val="Heading5"/>
      <w:lvlText w:val="%5."/>
      <w:lvlJc w:val="left"/>
      <w:pPr>
        <w:tabs>
          <w:tab w:val="num" w:pos="1440"/>
        </w:tabs>
        <w:ind w:left="0" w:firstLine="1440"/>
      </w:pPr>
      <w:rPr>
        <w:rFonts w:hint="default"/>
      </w:rPr>
    </w:lvl>
    <w:lvl w:ilvl="5">
      <w:start w:val="1"/>
      <w:numFmt w:val="lowerLetter"/>
      <w:pStyle w:val="Heading6"/>
      <w:lvlText w:val="%6)"/>
      <w:lvlJc w:val="left"/>
      <w:pPr>
        <w:tabs>
          <w:tab w:val="num" w:pos="2304"/>
        </w:tabs>
        <w:ind w:left="2304" w:hanging="432"/>
      </w:pPr>
      <w:rPr>
        <w:rFonts w:hint="default"/>
      </w:rPr>
    </w:lvl>
    <w:lvl w:ilvl="6">
      <w:start w:val="1"/>
      <w:numFmt w:val="lowerRoman"/>
      <w:pStyle w:val="Heading7"/>
      <w:lvlText w:val="%7."/>
      <w:lvlJc w:val="right"/>
      <w:pPr>
        <w:tabs>
          <w:tab w:val="num" w:pos="2880"/>
        </w:tabs>
        <w:ind w:left="0" w:firstLine="2160"/>
      </w:pPr>
      <w:rPr>
        <w:rFonts w:hint="default"/>
      </w:rPr>
    </w:lvl>
    <w:lvl w:ilvl="7">
      <w:start w:val="1"/>
      <w:numFmt w:val="lowerLetter"/>
      <w:pStyle w:val="Heading8"/>
      <w:lvlText w:val="%8."/>
      <w:lvlJc w:val="left"/>
      <w:pPr>
        <w:tabs>
          <w:tab w:val="num" w:pos="2592"/>
        </w:tabs>
        <w:ind w:left="2592" w:hanging="432"/>
      </w:pPr>
      <w:rPr>
        <w:rFonts w:hint="default"/>
      </w:rPr>
    </w:lvl>
    <w:lvl w:ilvl="8">
      <w:start w:val="1"/>
      <w:numFmt w:val="lowerRoman"/>
      <w:lvlText w:val="%9."/>
      <w:lvlJc w:val="right"/>
      <w:pPr>
        <w:tabs>
          <w:tab w:val="num" w:pos="2736"/>
        </w:tabs>
        <w:ind w:left="2736" w:hanging="144"/>
      </w:pPr>
      <w:rPr>
        <w:rFonts w:hint="default"/>
      </w:rPr>
    </w:lvl>
  </w:abstractNum>
  <w:abstractNum w:abstractNumId="13">
    <w:nsid w:val="0B8C3926"/>
    <w:multiLevelType w:val="hybridMultilevel"/>
    <w:tmpl w:val="6EB8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3C28E1"/>
    <w:multiLevelType w:val="hybridMultilevel"/>
    <w:tmpl w:val="0CCAF7CA"/>
    <w:lvl w:ilvl="0" w:tplc="BFEAE7EA">
      <w:start w:val="1"/>
      <w:numFmt w:val="decimal"/>
      <w:lvlText w:val="%1."/>
      <w:lvlJc w:val="left"/>
      <w:pPr>
        <w:tabs>
          <w:tab w:val="num" w:pos="720"/>
        </w:tabs>
        <w:ind w:left="720" w:hanging="360"/>
      </w:pPr>
    </w:lvl>
    <w:lvl w:ilvl="1" w:tplc="9398B678" w:tentative="1">
      <w:start w:val="1"/>
      <w:numFmt w:val="decimal"/>
      <w:lvlText w:val="%2."/>
      <w:lvlJc w:val="left"/>
      <w:pPr>
        <w:tabs>
          <w:tab w:val="num" w:pos="1440"/>
        </w:tabs>
        <w:ind w:left="1440" w:hanging="360"/>
      </w:pPr>
    </w:lvl>
    <w:lvl w:ilvl="2" w:tplc="BCA6B492" w:tentative="1">
      <w:start w:val="1"/>
      <w:numFmt w:val="decimal"/>
      <w:lvlText w:val="%3."/>
      <w:lvlJc w:val="left"/>
      <w:pPr>
        <w:tabs>
          <w:tab w:val="num" w:pos="2160"/>
        </w:tabs>
        <w:ind w:left="2160" w:hanging="360"/>
      </w:pPr>
    </w:lvl>
    <w:lvl w:ilvl="3" w:tplc="E736A346" w:tentative="1">
      <w:start w:val="1"/>
      <w:numFmt w:val="decimal"/>
      <w:lvlText w:val="%4."/>
      <w:lvlJc w:val="left"/>
      <w:pPr>
        <w:tabs>
          <w:tab w:val="num" w:pos="2880"/>
        </w:tabs>
        <w:ind w:left="2880" w:hanging="360"/>
      </w:pPr>
    </w:lvl>
    <w:lvl w:ilvl="4" w:tplc="1C36BE68" w:tentative="1">
      <w:start w:val="1"/>
      <w:numFmt w:val="decimal"/>
      <w:lvlText w:val="%5."/>
      <w:lvlJc w:val="left"/>
      <w:pPr>
        <w:tabs>
          <w:tab w:val="num" w:pos="3600"/>
        </w:tabs>
        <w:ind w:left="3600" w:hanging="360"/>
      </w:pPr>
    </w:lvl>
    <w:lvl w:ilvl="5" w:tplc="2EF85E88" w:tentative="1">
      <w:start w:val="1"/>
      <w:numFmt w:val="decimal"/>
      <w:lvlText w:val="%6."/>
      <w:lvlJc w:val="left"/>
      <w:pPr>
        <w:tabs>
          <w:tab w:val="num" w:pos="4320"/>
        </w:tabs>
        <w:ind w:left="4320" w:hanging="360"/>
      </w:pPr>
    </w:lvl>
    <w:lvl w:ilvl="6" w:tplc="1D826768" w:tentative="1">
      <w:start w:val="1"/>
      <w:numFmt w:val="decimal"/>
      <w:lvlText w:val="%7."/>
      <w:lvlJc w:val="left"/>
      <w:pPr>
        <w:tabs>
          <w:tab w:val="num" w:pos="5040"/>
        </w:tabs>
        <w:ind w:left="5040" w:hanging="360"/>
      </w:pPr>
    </w:lvl>
    <w:lvl w:ilvl="7" w:tplc="75A83732" w:tentative="1">
      <w:start w:val="1"/>
      <w:numFmt w:val="decimal"/>
      <w:lvlText w:val="%8."/>
      <w:lvlJc w:val="left"/>
      <w:pPr>
        <w:tabs>
          <w:tab w:val="num" w:pos="5760"/>
        </w:tabs>
        <w:ind w:left="5760" w:hanging="360"/>
      </w:pPr>
    </w:lvl>
    <w:lvl w:ilvl="8" w:tplc="CBCCC5A2" w:tentative="1">
      <w:start w:val="1"/>
      <w:numFmt w:val="decimal"/>
      <w:lvlText w:val="%9."/>
      <w:lvlJc w:val="left"/>
      <w:pPr>
        <w:tabs>
          <w:tab w:val="num" w:pos="6480"/>
        </w:tabs>
        <w:ind w:left="6480" w:hanging="360"/>
      </w:pPr>
    </w:lvl>
  </w:abstractNum>
  <w:abstractNum w:abstractNumId="15">
    <w:nsid w:val="141C20A5"/>
    <w:multiLevelType w:val="hybridMultilevel"/>
    <w:tmpl w:val="F7FAC110"/>
    <w:lvl w:ilvl="0" w:tplc="4B26666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81E6796"/>
    <w:multiLevelType w:val="hybridMultilevel"/>
    <w:tmpl w:val="5BB467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1A73B70"/>
    <w:multiLevelType w:val="hybridMultilevel"/>
    <w:tmpl w:val="FE5466BC"/>
    <w:lvl w:ilvl="0" w:tplc="970E6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AB4BB1"/>
    <w:multiLevelType w:val="hybridMultilevel"/>
    <w:tmpl w:val="C212D1E4"/>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9">
    <w:nsid w:val="3D941792"/>
    <w:multiLevelType w:val="hybridMultilevel"/>
    <w:tmpl w:val="BCEE98D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nsid w:val="460A2AD2"/>
    <w:multiLevelType w:val="hybridMultilevel"/>
    <w:tmpl w:val="F8F6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3E5371"/>
    <w:multiLevelType w:val="hybridMultilevel"/>
    <w:tmpl w:val="DA7C4C5E"/>
    <w:lvl w:ilvl="0" w:tplc="970E6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912E55"/>
    <w:multiLevelType w:val="hybridMultilevel"/>
    <w:tmpl w:val="5374F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2D7498"/>
    <w:multiLevelType w:val="hybridMultilevel"/>
    <w:tmpl w:val="60AC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57561B"/>
    <w:multiLevelType w:val="hybridMultilevel"/>
    <w:tmpl w:val="25D49DFA"/>
    <w:lvl w:ilvl="0" w:tplc="13760EFC">
      <w:start w:val="1"/>
      <w:numFmt w:val="bullet"/>
      <w:pStyle w:val="ListBullet"/>
      <w:lvlText w:val=""/>
      <w:lvlJc w:val="left"/>
      <w:pPr>
        <w:tabs>
          <w:tab w:val="num" w:pos="720"/>
        </w:tabs>
        <w:ind w:left="720" w:hanging="360"/>
      </w:pPr>
      <w:rPr>
        <w:rFonts w:ascii="Wingdings" w:hAnsi="Wingdings" w:hint="default"/>
      </w:rPr>
    </w:lvl>
    <w:lvl w:ilvl="1" w:tplc="183888B2" w:tentative="1">
      <w:start w:val="1"/>
      <w:numFmt w:val="bullet"/>
      <w:lvlText w:val="o"/>
      <w:lvlJc w:val="left"/>
      <w:pPr>
        <w:tabs>
          <w:tab w:val="num" w:pos="1440"/>
        </w:tabs>
        <w:ind w:left="1440" w:hanging="360"/>
      </w:pPr>
      <w:rPr>
        <w:rFonts w:ascii="Courier New" w:hAnsi="Courier New" w:hint="default"/>
      </w:rPr>
    </w:lvl>
    <w:lvl w:ilvl="2" w:tplc="959ACA64" w:tentative="1">
      <w:start w:val="1"/>
      <w:numFmt w:val="bullet"/>
      <w:lvlText w:val=""/>
      <w:lvlJc w:val="left"/>
      <w:pPr>
        <w:tabs>
          <w:tab w:val="num" w:pos="2160"/>
        </w:tabs>
        <w:ind w:left="2160" w:hanging="360"/>
      </w:pPr>
      <w:rPr>
        <w:rFonts w:ascii="Wingdings" w:hAnsi="Wingdings" w:hint="default"/>
      </w:rPr>
    </w:lvl>
    <w:lvl w:ilvl="3" w:tplc="DA268334" w:tentative="1">
      <w:start w:val="1"/>
      <w:numFmt w:val="bullet"/>
      <w:lvlText w:val=""/>
      <w:lvlJc w:val="left"/>
      <w:pPr>
        <w:tabs>
          <w:tab w:val="num" w:pos="2880"/>
        </w:tabs>
        <w:ind w:left="2880" w:hanging="360"/>
      </w:pPr>
      <w:rPr>
        <w:rFonts w:ascii="Symbol" w:hAnsi="Symbol" w:hint="default"/>
      </w:rPr>
    </w:lvl>
    <w:lvl w:ilvl="4" w:tplc="E1C84124" w:tentative="1">
      <w:start w:val="1"/>
      <w:numFmt w:val="bullet"/>
      <w:lvlText w:val="o"/>
      <w:lvlJc w:val="left"/>
      <w:pPr>
        <w:tabs>
          <w:tab w:val="num" w:pos="3600"/>
        </w:tabs>
        <w:ind w:left="3600" w:hanging="360"/>
      </w:pPr>
      <w:rPr>
        <w:rFonts w:ascii="Courier New" w:hAnsi="Courier New" w:hint="default"/>
      </w:rPr>
    </w:lvl>
    <w:lvl w:ilvl="5" w:tplc="7E7A6B0E" w:tentative="1">
      <w:start w:val="1"/>
      <w:numFmt w:val="bullet"/>
      <w:lvlText w:val=""/>
      <w:lvlJc w:val="left"/>
      <w:pPr>
        <w:tabs>
          <w:tab w:val="num" w:pos="4320"/>
        </w:tabs>
        <w:ind w:left="4320" w:hanging="360"/>
      </w:pPr>
      <w:rPr>
        <w:rFonts w:ascii="Wingdings" w:hAnsi="Wingdings" w:hint="default"/>
      </w:rPr>
    </w:lvl>
    <w:lvl w:ilvl="6" w:tplc="8D2671D2" w:tentative="1">
      <w:start w:val="1"/>
      <w:numFmt w:val="bullet"/>
      <w:lvlText w:val=""/>
      <w:lvlJc w:val="left"/>
      <w:pPr>
        <w:tabs>
          <w:tab w:val="num" w:pos="5040"/>
        </w:tabs>
        <w:ind w:left="5040" w:hanging="360"/>
      </w:pPr>
      <w:rPr>
        <w:rFonts w:ascii="Symbol" w:hAnsi="Symbol" w:hint="default"/>
      </w:rPr>
    </w:lvl>
    <w:lvl w:ilvl="7" w:tplc="0D70052A" w:tentative="1">
      <w:start w:val="1"/>
      <w:numFmt w:val="bullet"/>
      <w:lvlText w:val="o"/>
      <w:lvlJc w:val="left"/>
      <w:pPr>
        <w:tabs>
          <w:tab w:val="num" w:pos="5760"/>
        </w:tabs>
        <w:ind w:left="5760" w:hanging="360"/>
      </w:pPr>
      <w:rPr>
        <w:rFonts w:ascii="Courier New" w:hAnsi="Courier New" w:hint="default"/>
      </w:rPr>
    </w:lvl>
    <w:lvl w:ilvl="8" w:tplc="9CBAFF98" w:tentative="1">
      <w:start w:val="1"/>
      <w:numFmt w:val="bullet"/>
      <w:lvlText w:val=""/>
      <w:lvlJc w:val="left"/>
      <w:pPr>
        <w:tabs>
          <w:tab w:val="num" w:pos="6480"/>
        </w:tabs>
        <w:ind w:left="6480" w:hanging="360"/>
      </w:pPr>
      <w:rPr>
        <w:rFonts w:ascii="Wingdings" w:hAnsi="Wingdings" w:hint="default"/>
      </w:rPr>
    </w:lvl>
  </w:abstractNum>
  <w:abstractNum w:abstractNumId="25">
    <w:nsid w:val="724501D8"/>
    <w:multiLevelType w:val="hybridMultilevel"/>
    <w:tmpl w:val="CB00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2B74D4"/>
    <w:multiLevelType w:val="hybridMultilevel"/>
    <w:tmpl w:val="570E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243AF4"/>
    <w:multiLevelType w:val="hybridMultilevel"/>
    <w:tmpl w:val="B920887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8">
    <w:nsid w:val="772E77E6"/>
    <w:multiLevelType w:val="hybridMultilevel"/>
    <w:tmpl w:val="0776B8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24"/>
  </w:num>
  <w:num w:numId="22">
    <w:abstractNumId w:val="26"/>
  </w:num>
  <w:num w:numId="23">
    <w:abstractNumId w:val="16"/>
  </w:num>
  <w:num w:numId="24">
    <w:abstractNumId w:val="15"/>
  </w:num>
  <w:num w:numId="25">
    <w:abstractNumId w:val="22"/>
  </w:num>
  <w:num w:numId="26">
    <w:abstractNumId w:val="28"/>
  </w:num>
  <w:num w:numId="27">
    <w:abstractNumId w:val="17"/>
  </w:num>
  <w:num w:numId="28">
    <w:abstractNumId w:val="21"/>
  </w:num>
  <w:num w:numId="29">
    <w:abstractNumId w:val="19"/>
  </w:num>
  <w:num w:numId="30">
    <w:abstractNumId w:val="18"/>
  </w:num>
  <w:num w:numId="31">
    <w:abstractNumId w:val="20"/>
  </w:num>
  <w:num w:numId="32">
    <w:abstractNumId w:val="10"/>
  </w:num>
  <w:num w:numId="33">
    <w:abstractNumId w:val="25"/>
  </w:num>
  <w:num w:numId="34">
    <w:abstractNumId w:val="11"/>
  </w:num>
  <w:num w:numId="35">
    <w:abstractNumId w:val="13"/>
  </w:num>
  <w:num w:numId="36">
    <w:abstractNumId w:val="23"/>
  </w:num>
  <w:num w:numId="3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80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caption" w:semiHidden="1" w:unhideWhenUsed="1" w:qFormat="1"/>
    <w:lsdException w:name="footnote reference" w:uiPriority="99"/>
    <w:lsdException w:name="List Bullet" w:qFormat="1"/>
    <w:lsdException w:name="Body Text" w:qFormat="1"/>
    <w:lsdException w:name="Hyperlink" w:uiPriority="99"/>
    <w:lsdException w:name="Plai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semiHidden/>
    <w:qFormat/>
    <w:pPr>
      <w:keepNext/>
      <w:numPr>
        <w:numId w:val="20"/>
      </w:numPr>
      <w:spacing w:before="480" w:after="240"/>
      <w:jc w:val="center"/>
      <w:outlineLvl w:val="0"/>
    </w:pPr>
    <w:rPr>
      <w:rFonts w:cs="Arial"/>
      <w:b/>
      <w:bCs/>
      <w:caps/>
      <w:kern w:val="32"/>
    </w:rPr>
  </w:style>
  <w:style w:type="paragraph" w:styleId="Heading2">
    <w:name w:val="heading 2"/>
    <w:basedOn w:val="Normal"/>
    <w:next w:val="BodyText"/>
    <w:link w:val="Heading2Char"/>
    <w:semiHidden/>
    <w:qFormat/>
    <w:pPr>
      <w:numPr>
        <w:ilvl w:val="1"/>
        <w:numId w:val="20"/>
      </w:numPr>
      <w:spacing w:after="240"/>
      <w:jc w:val="both"/>
      <w:outlineLvl w:val="1"/>
    </w:pPr>
    <w:rPr>
      <w:rFonts w:cs="Arial"/>
      <w:bCs/>
      <w:iCs/>
    </w:rPr>
  </w:style>
  <w:style w:type="paragraph" w:styleId="Heading3">
    <w:name w:val="heading 3"/>
    <w:basedOn w:val="Heading2"/>
    <w:next w:val="BodyText"/>
    <w:link w:val="Heading3Char"/>
    <w:semiHidden/>
    <w:qFormat/>
    <w:pPr>
      <w:numPr>
        <w:ilvl w:val="2"/>
      </w:numPr>
      <w:outlineLvl w:val="2"/>
    </w:pPr>
    <w:rPr>
      <w:bCs w:val="0"/>
      <w:szCs w:val="26"/>
    </w:rPr>
  </w:style>
  <w:style w:type="paragraph" w:styleId="Heading4">
    <w:name w:val="heading 4"/>
    <w:basedOn w:val="Heading3"/>
    <w:next w:val="BodyText"/>
    <w:link w:val="Heading4Char"/>
    <w:semiHidden/>
    <w:qFormat/>
    <w:pPr>
      <w:numPr>
        <w:ilvl w:val="3"/>
      </w:numPr>
      <w:outlineLvl w:val="3"/>
    </w:pPr>
    <w:rPr>
      <w:bCs/>
      <w:szCs w:val="28"/>
    </w:rPr>
  </w:style>
  <w:style w:type="paragraph" w:styleId="Heading5">
    <w:name w:val="heading 5"/>
    <w:basedOn w:val="Heading4"/>
    <w:next w:val="Normal"/>
    <w:link w:val="Heading5Char"/>
    <w:semiHidden/>
    <w:qFormat/>
    <w:pPr>
      <w:numPr>
        <w:ilvl w:val="4"/>
      </w:numPr>
      <w:outlineLvl w:val="4"/>
    </w:pPr>
    <w:rPr>
      <w:bCs w:val="0"/>
      <w:iCs w:val="0"/>
      <w:szCs w:val="26"/>
    </w:rPr>
  </w:style>
  <w:style w:type="paragraph" w:styleId="Heading6">
    <w:name w:val="heading 6"/>
    <w:basedOn w:val="Normal"/>
    <w:next w:val="Normal"/>
    <w:link w:val="Heading6Char"/>
    <w:semiHidden/>
    <w:qFormat/>
    <w:pPr>
      <w:numPr>
        <w:ilvl w:val="5"/>
        <w:numId w:val="20"/>
      </w:numPr>
      <w:spacing w:before="240" w:after="240"/>
      <w:outlineLvl w:val="5"/>
    </w:pPr>
    <w:rPr>
      <w:bCs/>
      <w:sz w:val="22"/>
      <w:szCs w:val="22"/>
    </w:rPr>
  </w:style>
  <w:style w:type="paragraph" w:styleId="Heading7">
    <w:name w:val="heading 7"/>
    <w:basedOn w:val="Normal"/>
    <w:next w:val="BodyText"/>
    <w:link w:val="Heading7Char"/>
    <w:autoRedefine/>
    <w:semiHidden/>
    <w:qFormat/>
    <w:pPr>
      <w:numPr>
        <w:ilvl w:val="6"/>
        <w:numId w:val="20"/>
      </w:numPr>
      <w:spacing w:after="240"/>
      <w:jc w:val="both"/>
      <w:outlineLvl w:val="6"/>
    </w:pPr>
  </w:style>
  <w:style w:type="paragraph" w:styleId="Heading8">
    <w:name w:val="heading 8"/>
    <w:basedOn w:val="Normal"/>
    <w:next w:val="Normal"/>
    <w:link w:val="Heading8Char"/>
    <w:semiHidden/>
    <w:qFormat/>
    <w:pPr>
      <w:numPr>
        <w:ilvl w:val="7"/>
        <w:numId w:val="20"/>
      </w:numPr>
      <w:spacing w:before="240" w:after="60"/>
      <w:outlineLvl w:val="7"/>
    </w:pPr>
    <w:rPr>
      <w:i/>
      <w:iCs/>
    </w:rPr>
  </w:style>
  <w:style w:type="paragraph" w:styleId="Heading9">
    <w:name w:val="heading 9"/>
    <w:basedOn w:val="Normal"/>
    <w:next w:val="Normal"/>
    <w:link w:val="Heading9Char"/>
    <w:semiHidden/>
    <w:qFormat/>
    <w:pPr>
      <w:spacing w:before="120" w:after="120"/>
      <w:jc w:val="both"/>
      <w:outlineLvl w:val="8"/>
    </w:pPr>
    <w:rPr>
      <w:rFonts w:cs="Arial"/>
      <w:color w:val="8080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rFonts w:ascii="Book Antiqua" w:hAnsi="Book Antiqua"/>
      <w:sz w:val="20"/>
    </w:rPr>
  </w:style>
  <w:style w:type="character" w:styleId="FootnoteReference">
    <w:name w:val="footnote reference"/>
    <w:basedOn w:val="DefaultParagraphFont"/>
    <w:uiPriority w:val="99"/>
    <w:semiHidden/>
    <w:rPr>
      <w:vertAlign w:val="superscript"/>
    </w:rPr>
  </w:style>
  <w:style w:type="paragraph" w:styleId="Header">
    <w:name w:val="header"/>
    <w:basedOn w:val="Normal"/>
    <w:link w:val="HeaderChar"/>
    <w:uiPriority w:val="99"/>
  </w:style>
  <w:style w:type="paragraph" w:styleId="Footer">
    <w:name w:val="footer"/>
    <w:basedOn w:val="Normal"/>
    <w:link w:val="FooterChar"/>
    <w:rPr>
      <w:sz w:val="16"/>
    </w:rPr>
  </w:style>
  <w:style w:type="character" w:styleId="PageNumber">
    <w:name w:val="page number"/>
    <w:basedOn w:val="DefaultParagraphFont"/>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cs="Arial"/>
      <w:b/>
      <w:bCs/>
      <w:caps/>
      <w:kern w:val="32"/>
      <w:sz w:val="24"/>
      <w:szCs w:val="24"/>
    </w:rPr>
  </w:style>
  <w:style w:type="paragraph" w:styleId="BodyText">
    <w:name w:val="Body Text"/>
    <w:basedOn w:val="Normal"/>
    <w:link w:val="BodyTextChar"/>
    <w:qFormat/>
    <w:pPr>
      <w:spacing w:after="240"/>
      <w:ind w:firstLine="1440"/>
      <w:jc w:val="both"/>
    </w:pPr>
    <w:rPr>
      <w:color w:val="000000"/>
    </w:rPr>
  </w:style>
  <w:style w:type="character" w:customStyle="1" w:styleId="BodyTextChar">
    <w:name w:val="Body Text Char"/>
    <w:basedOn w:val="DefaultParagraphFont"/>
    <w:link w:val="BodyText"/>
    <w:rPr>
      <w:color w:val="000000"/>
      <w:sz w:val="24"/>
      <w:szCs w:val="24"/>
    </w:rPr>
  </w:style>
  <w:style w:type="paragraph" w:styleId="Quote">
    <w:name w:val="Quote"/>
    <w:basedOn w:val="Normal"/>
    <w:next w:val="Normal"/>
    <w:link w:val="QuoteChar"/>
    <w:uiPriority w:val="29"/>
    <w:qFormat/>
    <w:pPr>
      <w:spacing w:after="240"/>
      <w:ind w:left="720" w:right="720"/>
    </w:pPr>
    <w:rPr>
      <w:iCs/>
      <w:szCs w:val="20"/>
    </w:rPr>
  </w:style>
  <w:style w:type="character" w:customStyle="1" w:styleId="QuoteChar">
    <w:name w:val="Quote Char"/>
    <w:basedOn w:val="DefaultParagraphFont"/>
    <w:link w:val="Quote"/>
    <w:uiPriority w:val="29"/>
    <w:rPr>
      <w:iCs/>
      <w:sz w:val="24"/>
    </w:rPr>
  </w:style>
  <w:style w:type="paragraph" w:styleId="ListBullet">
    <w:name w:val="List Bullet"/>
    <w:basedOn w:val="Normal"/>
    <w:qFormat/>
    <w:pPr>
      <w:numPr>
        <w:numId w:val="21"/>
      </w:numPr>
      <w:ind w:right="650"/>
    </w:pPr>
    <w:rPr>
      <w:szCs w:val="20"/>
    </w:rPr>
  </w:style>
  <w:style w:type="character" w:customStyle="1" w:styleId="FooterChar">
    <w:name w:val="Footer Char"/>
    <w:basedOn w:val="DefaultParagraphFont"/>
    <w:link w:val="Footer"/>
    <w:rPr>
      <w:sz w:val="16"/>
      <w:szCs w:val="24"/>
    </w:rPr>
  </w:style>
  <w:style w:type="character" w:customStyle="1" w:styleId="HeaderChar">
    <w:name w:val="Header Char"/>
    <w:basedOn w:val="DefaultParagraphFont"/>
    <w:link w:val="Header"/>
    <w:uiPriority w:val="99"/>
    <w:rPr>
      <w:sz w:val="24"/>
      <w:szCs w:val="24"/>
    </w:rPr>
  </w:style>
  <w:style w:type="character" w:customStyle="1" w:styleId="Heading2Char">
    <w:name w:val="Heading 2 Char"/>
    <w:basedOn w:val="DefaultParagraphFont"/>
    <w:link w:val="Heading2"/>
    <w:rPr>
      <w:rFonts w:cs="Arial"/>
      <w:bCs/>
      <w:iCs/>
      <w:sz w:val="24"/>
      <w:szCs w:val="24"/>
    </w:rPr>
  </w:style>
  <w:style w:type="character" w:customStyle="1" w:styleId="Heading3Char">
    <w:name w:val="Heading 3 Char"/>
    <w:basedOn w:val="DefaultParagraphFont"/>
    <w:link w:val="Heading3"/>
    <w:rPr>
      <w:rFonts w:cs="Arial"/>
      <w:iCs/>
      <w:sz w:val="24"/>
      <w:szCs w:val="26"/>
    </w:rPr>
  </w:style>
  <w:style w:type="character" w:customStyle="1" w:styleId="Heading4Char">
    <w:name w:val="Heading 4 Char"/>
    <w:basedOn w:val="DefaultParagraphFont"/>
    <w:link w:val="Heading4"/>
    <w:rPr>
      <w:rFonts w:cs="Arial"/>
      <w:bCs/>
      <w:iCs/>
      <w:sz w:val="24"/>
      <w:szCs w:val="28"/>
    </w:rPr>
  </w:style>
  <w:style w:type="character" w:customStyle="1" w:styleId="Heading5Char">
    <w:name w:val="Heading 5 Char"/>
    <w:basedOn w:val="DefaultParagraphFont"/>
    <w:link w:val="Heading5"/>
    <w:rPr>
      <w:rFonts w:cs="Arial"/>
      <w:sz w:val="24"/>
      <w:szCs w:val="26"/>
    </w:rPr>
  </w:style>
  <w:style w:type="character" w:customStyle="1" w:styleId="Heading6Char">
    <w:name w:val="Heading 6 Char"/>
    <w:basedOn w:val="DefaultParagraphFont"/>
    <w:link w:val="Heading6"/>
    <w:rPr>
      <w:bCs/>
      <w:sz w:val="22"/>
      <w:szCs w:val="22"/>
    </w:rPr>
  </w:style>
  <w:style w:type="character" w:customStyle="1" w:styleId="Heading7Char">
    <w:name w:val="Heading 7 Char"/>
    <w:basedOn w:val="DefaultParagraphFont"/>
    <w:link w:val="Heading7"/>
    <w:rPr>
      <w:sz w:val="24"/>
      <w:szCs w:val="24"/>
    </w:rPr>
  </w:style>
  <w:style w:type="character" w:customStyle="1" w:styleId="Heading8Char">
    <w:name w:val="Heading 8 Char"/>
    <w:basedOn w:val="DefaultParagraphFont"/>
    <w:link w:val="Heading8"/>
    <w:rPr>
      <w:i/>
      <w:iCs/>
      <w:sz w:val="24"/>
      <w:szCs w:val="24"/>
    </w:rPr>
  </w:style>
  <w:style w:type="character" w:customStyle="1" w:styleId="Heading9Char">
    <w:name w:val="Heading 9 Char"/>
    <w:basedOn w:val="DefaultParagraphFont"/>
    <w:link w:val="Heading9"/>
    <w:rPr>
      <w:rFonts w:cs="Arial"/>
      <w:color w:val="808080"/>
      <w:sz w:val="24"/>
      <w:szCs w:val="22"/>
    </w:rPr>
  </w:style>
  <w:style w:type="paragraph" w:customStyle="1" w:styleId="Page">
    <w:name w:val="Page"/>
    <w:basedOn w:val="Footer"/>
    <w:semiHidden/>
    <w:pPr>
      <w:jc w:val="center"/>
    </w:pPr>
    <w:rPr>
      <w:sz w:val="24"/>
    </w:rPr>
  </w:style>
  <w:style w:type="paragraph" w:styleId="TOC1">
    <w:name w:val="toc 1"/>
    <w:basedOn w:val="Normal"/>
    <w:next w:val="Normal"/>
    <w:uiPriority w:val="39"/>
    <w:semiHidden/>
    <w:pPr>
      <w:tabs>
        <w:tab w:val="left" w:pos="1440"/>
        <w:tab w:val="right" w:leader="dot" w:pos="9274"/>
      </w:tabs>
      <w:spacing w:before="120" w:after="120"/>
      <w:outlineLvl w:val="0"/>
    </w:pPr>
  </w:style>
  <w:style w:type="paragraph" w:styleId="TOC2">
    <w:name w:val="toc 2"/>
    <w:basedOn w:val="Normal"/>
    <w:next w:val="Normal"/>
    <w:uiPriority w:val="39"/>
    <w:semiHidden/>
    <w:pPr>
      <w:tabs>
        <w:tab w:val="left" w:pos="2880"/>
        <w:tab w:val="right" w:leader="dot" w:pos="9274"/>
      </w:tabs>
      <w:ind w:left="2880" w:right="720" w:hanging="1440"/>
    </w:pPr>
  </w:style>
  <w:style w:type="paragraph" w:styleId="TOC3">
    <w:name w:val="toc 3"/>
    <w:basedOn w:val="Normal"/>
    <w:next w:val="Normal"/>
    <w:autoRedefine/>
    <w:uiPriority w:val="39"/>
    <w:semiHidden/>
    <w:pPr>
      <w:tabs>
        <w:tab w:val="left" w:pos="3600"/>
        <w:tab w:val="right" w:leader="dot" w:pos="9274"/>
      </w:tabs>
      <w:ind w:left="2880"/>
    </w:pPr>
  </w:style>
  <w:style w:type="paragraph" w:styleId="TOC4">
    <w:name w:val="toc 4"/>
    <w:basedOn w:val="Normal"/>
    <w:next w:val="Normal"/>
    <w:autoRedefine/>
    <w:uiPriority w:val="39"/>
    <w:semiHidden/>
    <w:pPr>
      <w:ind w:left="720"/>
    </w:pPr>
  </w:style>
  <w:style w:type="paragraph" w:styleId="TOC5">
    <w:name w:val="toc 5"/>
    <w:basedOn w:val="Normal"/>
    <w:next w:val="Normal"/>
    <w:uiPriority w:val="39"/>
    <w:semiHidden/>
    <w:pPr>
      <w:tabs>
        <w:tab w:val="left" w:pos="1440"/>
        <w:tab w:val="left" w:pos="3600"/>
        <w:tab w:val="right" w:leader="dot" w:pos="9274"/>
      </w:tabs>
      <w:ind w:left="3600" w:right="720" w:hanging="720"/>
    </w:pPr>
  </w:style>
  <w:style w:type="paragraph" w:customStyle="1" w:styleId="BodyTextBlock">
    <w:name w:val="Body Text Block"/>
    <w:basedOn w:val="BodyText"/>
    <w:qFormat/>
    <w:pPr>
      <w:ind w:firstLine="0"/>
    </w:pPr>
  </w:style>
  <w:style w:type="paragraph" w:styleId="Title">
    <w:name w:val="Title"/>
    <w:basedOn w:val="Normal"/>
    <w:link w:val="TitleChar"/>
    <w:pPr>
      <w:spacing w:after="360"/>
      <w:jc w:val="center"/>
    </w:pPr>
    <w:rPr>
      <w:b/>
      <w:sz w:val="30"/>
      <w:szCs w:val="20"/>
    </w:rPr>
  </w:style>
  <w:style w:type="character" w:customStyle="1" w:styleId="TitleChar">
    <w:name w:val="Title Char"/>
    <w:basedOn w:val="DefaultParagraphFont"/>
    <w:link w:val="Title"/>
    <w:rPr>
      <w:b/>
      <w:sz w:val="30"/>
    </w:rPr>
  </w:style>
  <w:style w:type="paragraph" w:styleId="IndexHeading">
    <w:name w:val="index heading"/>
    <w:basedOn w:val="Normal"/>
    <w:next w:val="Normal"/>
    <w:semiHidden/>
    <w:rPr>
      <w:rFonts w:asciiTheme="majorHAnsi" w:eastAsiaTheme="majorEastAsia" w:hAnsiTheme="majorHAnsi" w:cstheme="majorBidi"/>
      <w:b/>
      <w:bCs/>
    </w:rPr>
  </w:style>
  <w:style w:type="paragraph" w:styleId="NoteHeading">
    <w:name w:val="Note Heading"/>
    <w:basedOn w:val="Normal"/>
    <w:next w:val="Normal"/>
    <w:link w:val="NoteHeadingChar"/>
    <w:semiHidden/>
  </w:style>
  <w:style w:type="character" w:customStyle="1" w:styleId="NoteHeadingChar">
    <w:name w:val="Note Heading Char"/>
    <w:basedOn w:val="DefaultParagraphFont"/>
    <w:link w:val="NoteHeading"/>
    <w:rPr>
      <w:sz w:val="24"/>
      <w:szCs w:val="24"/>
    </w:rPr>
  </w:style>
  <w:style w:type="paragraph" w:styleId="TOAHeading">
    <w:name w:val="toa heading"/>
    <w:basedOn w:val="Normal"/>
    <w:next w:val="Normal"/>
    <w:semiHidden/>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Lines/>
      <w:numPr>
        <w:numId w:val="0"/>
      </w:numPr>
      <w:spacing w:after="0"/>
      <w:jc w:val="left"/>
      <w:outlineLvl w:val="9"/>
    </w:pPr>
    <w:rPr>
      <w:rFonts w:asciiTheme="majorHAnsi" w:eastAsiaTheme="majorEastAsia" w:hAnsiTheme="majorHAnsi" w:cstheme="majorBidi"/>
      <w:caps w:val="0"/>
      <w:color w:val="365F91" w:themeColor="accent1" w:themeShade="BF"/>
      <w:kern w:val="0"/>
      <w:sz w:val="28"/>
      <w:szCs w:val="28"/>
    </w:rPr>
  </w:style>
  <w:style w:type="paragraph" w:styleId="TOC6">
    <w:name w:val="toc 6"/>
    <w:basedOn w:val="Normal"/>
    <w:next w:val="Normal"/>
    <w:autoRedefine/>
    <w:semiHidden/>
    <w:pPr>
      <w:spacing w:after="100"/>
      <w:ind w:left="1200"/>
    </w:pPr>
  </w:style>
  <w:style w:type="paragraph" w:styleId="TOC7">
    <w:name w:val="toc 7"/>
    <w:basedOn w:val="Normal"/>
    <w:next w:val="Normal"/>
    <w:autoRedefine/>
    <w:semiHidden/>
    <w:pPr>
      <w:spacing w:after="100"/>
      <w:ind w:left="1440"/>
    </w:pPr>
  </w:style>
  <w:style w:type="paragraph" w:styleId="TOC8">
    <w:name w:val="toc 8"/>
    <w:basedOn w:val="Normal"/>
    <w:next w:val="Normal"/>
    <w:autoRedefine/>
    <w:semiHidden/>
    <w:pPr>
      <w:spacing w:after="100"/>
      <w:ind w:left="1680"/>
    </w:pPr>
  </w:style>
  <w:style w:type="paragraph" w:styleId="TOC9">
    <w:name w:val="toc 9"/>
    <w:basedOn w:val="Normal"/>
    <w:next w:val="Normal"/>
    <w:autoRedefine/>
    <w:semiHidden/>
    <w:pPr>
      <w:spacing w:after="100"/>
      <w:ind w:left="1920"/>
    </w:pPr>
  </w:style>
  <w:style w:type="paragraph" w:styleId="PlainText">
    <w:name w:val="Plain Text"/>
    <w:basedOn w:val="Normal"/>
    <w:link w:val="PlainTextChar"/>
    <w:uiPriority w:val="99"/>
    <w:unhideWhenUsed/>
    <w:rPr>
      <w:rFonts w:ascii="Arial" w:eastAsiaTheme="minorHAnsi" w:hAnsi="Arial" w:cstheme="minorBidi"/>
      <w:sz w:val="20"/>
      <w:szCs w:val="21"/>
    </w:rPr>
  </w:style>
  <w:style w:type="character" w:customStyle="1" w:styleId="PlainTextChar">
    <w:name w:val="Plain Text Char"/>
    <w:basedOn w:val="DefaultParagraphFont"/>
    <w:link w:val="PlainText"/>
    <w:uiPriority w:val="99"/>
    <w:rPr>
      <w:rFonts w:ascii="Arial" w:eastAsiaTheme="minorHAnsi" w:hAnsi="Arial" w:cstheme="minorBidi"/>
      <w:szCs w:val="21"/>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rPr>
      <w:color w:val="800080" w:themeColor="followedHyperlink"/>
      <w:u w:val="single"/>
    </w:rPr>
  </w:style>
  <w:style w:type="paragraph" w:styleId="Date">
    <w:name w:val="Date"/>
    <w:basedOn w:val="Normal"/>
    <w:next w:val="Normal"/>
    <w:link w:val="DateChar"/>
    <w:unhideWhenUsed/>
    <w:pPr>
      <w:spacing w:after="240"/>
    </w:pPr>
    <w:rPr>
      <w:rFonts w:eastAsiaTheme="minorHAnsi" w:cstheme="minorBidi"/>
    </w:rPr>
  </w:style>
  <w:style w:type="character" w:customStyle="1" w:styleId="DateChar">
    <w:name w:val="Date Char"/>
    <w:basedOn w:val="DefaultParagraphFont"/>
    <w:link w:val="Date"/>
    <w:rPr>
      <w:rFonts w:eastAsiaTheme="minorHAnsi" w:cstheme="minorBidi"/>
      <w:sz w:val="24"/>
      <w:szCs w:val="24"/>
    </w:rPr>
  </w:style>
  <w:style w:type="paragraph" w:customStyle="1" w:styleId="MemoHeading">
    <w:name w:val="MemoHeading"/>
    <w:basedOn w:val="Normal"/>
    <w:semiHidden/>
    <w:pPr>
      <w:spacing w:before="240" w:after="480"/>
      <w:jc w:val="center"/>
    </w:pPr>
    <w:rPr>
      <w:rFonts w:ascii="Times New Roman Bold" w:hAnsi="Times New Roman Bold"/>
      <w:b/>
      <w:caps/>
      <w:szCs w:val="36"/>
      <w:u w:val="single"/>
    </w:rPr>
  </w:style>
  <w:style w:type="paragraph" w:customStyle="1" w:styleId="MemoTableData">
    <w:name w:val="MemoTableData"/>
    <w:basedOn w:val="Normal"/>
    <w:semiHidden/>
    <w:pPr>
      <w:spacing w:after="240"/>
      <w:jc w:val="both"/>
    </w:pPr>
    <w:rPr>
      <w:szCs w:val="20"/>
    </w:rPr>
  </w:style>
  <w:style w:type="paragraph" w:customStyle="1" w:styleId="ReLine">
    <w:name w:val="Re Line"/>
    <w:basedOn w:val="MemoTableData"/>
  </w:style>
  <w:style w:type="paragraph" w:customStyle="1" w:styleId="MemoTableLabel">
    <w:name w:val="MemoTableLabel"/>
    <w:basedOn w:val="Normal"/>
    <w:semiHidden/>
    <w:pPr>
      <w:spacing w:after="240"/>
      <w:jc w:val="both"/>
    </w:pPr>
    <w:rPr>
      <w:cap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Draft">
    <w:name w:val="Draft"/>
    <w:qFormat/>
    <w:pPr>
      <w:jc w:val="center"/>
    </w:pPr>
    <w:rPr>
      <w:color w:val="0070C0"/>
      <w:sz w:val="30"/>
      <w:szCs w:val="24"/>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paragraph" w:customStyle="1" w:styleId="BodyHang">
    <w:name w:val="Body Hang"/>
    <w:basedOn w:val="BodyText"/>
    <w:pPr>
      <w:ind w:left="360" w:hanging="360"/>
      <w:jc w:val="left"/>
    </w:pPr>
    <w:rPr>
      <w:color w:val="auto"/>
    </w:rPr>
  </w:style>
  <w:style w:type="paragraph" w:customStyle="1" w:styleId="TitleLeft">
    <w:name w:val="Title Left"/>
    <w:basedOn w:val="Normal"/>
    <w:next w:val="Normal"/>
    <w:pPr>
      <w:keepNext/>
      <w:keepLines/>
      <w:spacing w:after="240"/>
    </w:pPr>
    <w:rPr>
      <w:rFonts w:eastAsia="Calibri"/>
      <w:b/>
      <w:bCs/>
    </w:rPr>
  </w:style>
  <w:style w:type="character" w:customStyle="1" w:styleId="FootnoteTextChar">
    <w:name w:val="Footnote Text Char"/>
    <w:basedOn w:val="DefaultParagraphFont"/>
    <w:link w:val="FootnoteText"/>
    <w:uiPriority w:val="99"/>
    <w:rPr>
      <w:rFonts w:ascii="Book Antiqua" w:hAnsi="Book Antiqua"/>
      <w:szCs w:val="24"/>
    </w:rPr>
  </w:style>
  <w:style w:type="paragraph" w:customStyle="1" w:styleId="BodyHang25">
    <w:name w:val="Body Hang .25&quot;"/>
    <w:basedOn w:val="BodyHang"/>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List Bullet" w:qFormat="1"/>
    <w:lsdException w:name="Body Text" w:qFormat="1"/>
    <w:lsdException w:name="Hyperlink" w:uiPriority="99"/>
    <w:lsdException w:name="Plai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A6914"/>
    <w:rPr>
      <w:sz w:val="24"/>
      <w:szCs w:val="24"/>
    </w:rPr>
  </w:style>
  <w:style w:type="paragraph" w:styleId="Heading1">
    <w:name w:val="heading 1"/>
    <w:basedOn w:val="Normal"/>
    <w:next w:val="BodyText"/>
    <w:link w:val="Heading1Char"/>
    <w:semiHidden/>
    <w:qFormat/>
    <w:rsid w:val="000B5CEF"/>
    <w:pPr>
      <w:keepNext/>
      <w:numPr>
        <w:numId w:val="20"/>
      </w:numPr>
      <w:spacing w:before="480" w:after="240"/>
      <w:jc w:val="center"/>
      <w:outlineLvl w:val="0"/>
    </w:pPr>
    <w:rPr>
      <w:rFonts w:cs="Arial"/>
      <w:b/>
      <w:bCs/>
      <w:caps/>
      <w:kern w:val="32"/>
    </w:rPr>
  </w:style>
  <w:style w:type="paragraph" w:styleId="Heading2">
    <w:name w:val="heading 2"/>
    <w:basedOn w:val="Normal"/>
    <w:next w:val="BodyText"/>
    <w:link w:val="Heading2Char"/>
    <w:semiHidden/>
    <w:qFormat/>
    <w:rsid w:val="000B5CEF"/>
    <w:pPr>
      <w:numPr>
        <w:ilvl w:val="1"/>
        <w:numId w:val="20"/>
      </w:numPr>
      <w:spacing w:after="240"/>
      <w:jc w:val="both"/>
      <w:outlineLvl w:val="1"/>
    </w:pPr>
    <w:rPr>
      <w:rFonts w:cs="Arial"/>
      <w:bCs/>
      <w:iCs/>
    </w:rPr>
  </w:style>
  <w:style w:type="paragraph" w:styleId="Heading3">
    <w:name w:val="heading 3"/>
    <w:basedOn w:val="Heading2"/>
    <w:next w:val="BodyText"/>
    <w:link w:val="Heading3Char"/>
    <w:semiHidden/>
    <w:qFormat/>
    <w:rsid w:val="000B5CEF"/>
    <w:pPr>
      <w:numPr>
        <w:ilvl w:val="2"/>
      </w:numPr>
      <w:outlineLvl w:val="2"/>
    </w:pPr>
    <w:rPr>
      <w:bCs w:val="0"/>
      <w:szCs w:val="26"/>
    </w:rPr>
  </w:style>
  <w:style w:type="paragraph" w:styleId="Heading4">
    <w:name w:val="heading 4"/>
    <w:basedOn w:val="Heading3"/>
    <w:next w:val="BodyText"/>
    <w:link w:val="Heading4Char"/>
    <w:semiHidden/>
    <w:qFormat/>
    <w:rsid w:val="000B5CEF"/>
    <w:pPr>
      <w:numPr>
        <w:ilvl w:val="3"/>
      </w:numPr>
      <w:outlineLvl w:val="3"/>
    </w:pPr>
    <w:rPr>
      <w:bCs/>
      <w:szCs w:val="28"/>
    </w:rPr>
  </w:style>
  <w:style w:type="paragraph" w:styleId="Heading5">
    <w:name w:val="heading 5"/>
    <w:basedOn w:val="Heading4"/>
    <w:next w:val="Normal"/>
    <w:link w:val="Heading5Char"/>
    <w:semiHidden/>
    <w:qFormat/>
    <w:rsid w:val="000B5CEF"/>
    <w:pPr>
      <w:numPr>
        <w:ilvl w:val="4"/>
      </w:numPr>
      <w:outlineLvl w:val="4"/>
    </w:pPr>
    <w:rPr>
      <w:bCs w:val="0"/>
      <w:iCs w:val="0"/>
      <w:szCs w:val="26"/>
    </w:rPr>
  </w:style>
  <w:style w:type="paragraph" w:styleId="Heading6">
    <w:name w:val="heading 6"/>
    <w:basedOn w:val="Normal"/>
    <w:next w:val="Normal"/>
    <w:link w:val="Heading6Char"/>
    <w:semiHidden/>
    <w:qFormat/>
    <w:rsid w:val="000B5CEF"/>
    <w:pPr>
      <w:numPr>
        <w:ilvl w:val="5"/>
        <w:numId w:val="20"/>
      </w:numPr>
      <w:spacing w:before="240" w:after="240"/>
      <w:outlineLvl w:val="5"/>
    </w:pPr>
    <w:rPr>
      <w:bCs/>
      <w:sz w:val="22"/>
      <w:szCs w:val="22"/>
    </w:rPr>
  </w:style>
  <w:style w:type="paragraph" w:styleId="Heading7">
    <w:name w:val="heading 7"/>
    <w:basedOn w:val="Normal"/>
    <w:next w:val="BodyText"/>
    <w:link w:val="Heading7Char"/>
    <w:autoRedefine/>
    <w:semiHidden/>
    <w:qFormat/>
    <w:rsid w:val="000B5CEF"/>
    <w:pPr>
      <w:numPr>
        <w:ilvl w:val="6"/>
        <w:numId w:val="20"/>
      </w:numPr>
      <w:spacing w:after="240"/>
      <w:jc w:val="both"/>
      <w:outlineLvl w:val="6"/>
    </w:pPr>
  </w:style>
  <w:style w:type="paragraph" w:styleId="Heading8">
    <w:name w:val="heading 8"/>
    <w:basedOn w:val="Normal"/>
    <w:next w:val="Normal"/>
    <w:link w:val="Heading8Char"/>
    <w:semiHidden/>
    <w:qFormat/>
    <w:rsid w:val="000B5CEF"/>
    <w:pPr>
      <w:numPr>
        <w:ilvl w:val="7"/>
        <w:numId w:val="20"/>
      </w:numPr>
      <w:spacing w:before="240" w:after="60"/>
      <w:outlineLvl w:val="7"/>
    </w:pPr>
    <w:rPr>
      <w:i/>
      <w:iCs/>
    </w:rPr>
  </w:style>
  <w:style w:type="paragraph" w:styleId="Heading9">
    <w:name w:val="heading 9"/>
    <w:basedOn w:val="Normal"/>
    <w:next w:val="Normal"/>
    <w:link w:val="Heading9Char"/>
    <w:semiHidden/>
    <w:qFormat/>
    <w:rsid w:val="000B5CEF"/>
    <w:pPr>
      <w:spacing w:before="120" w:after="120"/>
      <w:jc w:val="both"/>
      <w:outlineLvl w:val="8"/>
    </w:pPr>
    <w:rPr>
      <w:rFonts w:cs="Arial"/>
      <w:color w:val="8080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Book Antiqua" w:hAnsi="Book Antiqua"/>
      <w:sz w:val="20"/>
    </w:rPr>
  </w:style>
  <w:style w:type="character" w:styleId="FootnoteReference">
    <w:name w:val="footnote reference"/>
    <w:basedOn w:val="DefaultParagraphFont"/>
    <w:semiHidden/>
    <w:rPr>
      <w:vertAlign w:val="superscript"/>
    </w:rPr>
  </w:style>
  <w:style w:type="paragraph" w:styleId="Header">
    <w:name w:val="header"/>
    <w:basedOn w:val="Normal"/>
    <w:link w:val="HeaderChar"/>
    <w:rsid w:val="00E258F7"/>
  </w:style>
  <w:style w:type="paragraph" w:styleId="Footer">
    <w:name w:val="footer"/>
    <w:basedOn w:val="Normal"/>
    <w:link w:val="FooterChar"/>
    <w:rsid w:val="000B5CEF"/>
    <w:rPr>
      <w:sz w:val="16"/>
    </w:rPr>
  </w:style>
  <w:style w:type="character" w:styleId="PageNumber">
    <w:name w:val="page number"/>
    <w:basedOn w:val="DefaultParagraphFont"/>
    <w:semiHidden/>
  </w:style>
  <w:style w:type="table" w:styleId="TableGrid">
    <w:name w:val="Table Grid"/>
    <w:basedOn w:val="TableNormal"/>
    <w:rsid w:val="00BF2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B5CEF"/>
    <w:rPr>
      <w:rFonts w:cs="Arial"/>
      <w:b/>
      <w:bCs/>
      <w:caps/>
      <w:kern w:val="32"/>
      <w:sz w:val="24"/>
      <w:szCs w:val="24"/>
    </w:rPr>
  </w:style>
  <w:style w:type="paragraph" w:styleId="BodyText">
    <w:name w:val="Body Text"/>
    <w:basedOn w:val="Normal"/>
    <w:link w:val="BodyTextChar"/>
    <w:qFormat/>
    <w:rsid w:val="000B5CEF"/>
    <w:pPr>
      <w:spacing w:after="240"/>
      <w:ind w:firstLine="1440"/>
      <w:jc w:val="both"/>
    </w:pPr>
    <w:rPr>
      <w:color w:val="000000"/>
    </w:rPr>
  </w:style>
  <w:style w:type="character" w:customStyle="1" w:styleId="BodyTextChar">
    <w:name w:val="Body Text Char"/>
    <w:basedOn w:val="DefaultParagraphFont"/>
    <w:link w:val="BodyText"/>
    <w:rsid w:val="000B5CEF"/>
    <w:rPr>
      <w:color w:val="000000"/>
      <w:sz w:val="24"/>
      <w:szCs w:val="24"/>
    </w:rPr>
  </w:style>
  <w:style w:type="paragraph" w:styleId="Quote">
    <w:name w:val="Quote"/>
    <w:basedOn w:val="Normal"/>
    <w:next w:val="Normal"/>
    <w:link w:val="QuoteChar"/>
    <w:uiPriority w:val="29"/>
    <w:qFormat/>
    <w:rsid w:val="00E258F7"/>
    <w:pPr>
      <w:spacing w:after="240"/>
      <w:ind w:left="720" w:right="720"/>
    </w:pPr>
    <w:rPr>
      <w:iCs/>
      <w:szCs w:val="20"/>
    </w:rPr>
  </w:style>
  <w:style w:type="character" w:customStyle="1" w:styleId="QuoteChar">
    <w:name w:val="Quote Char"/>
    <w:basedOn w:val="DefaultParagraphFont"/>
    <w:link w:val="Quote"/>
    <w:uiPriority w:val="29"/>
    <w:rsid w:val="00E258F7"/>
    <w:rPr>
      <w:iCs/>
      <w:sz w:val="24"/>
    </w:rPr>
  </w:style>
  <w:style w:type="paragraph" w:styleId="ListBullet">
    <w:name w:val="List Bullet"/>
    <w:basedOn w:val="Normal"/>
    <w:qFormat/>
    <w:rsid w:val="00E258F7"/>
    <w:pPr>
      <w:numPr>
        <w:numId w:val="21"/>
      </w:numPr>
      <w:ind w:right="650"/>
    </w:pPr>
    <w:rPr>
      <w:szCs w:val="20"/>
    </w:rPr>
  </w:style>
  <w:style w:type="character" w:customStyle="1" w:styleId="FooterChar">
    <w:name w:val="Footer Char"/>
    <w:basedOn w:val="DefaultParagraphFont"/>
    <w:link w:val="Footer"/>
    <w:rsid w:val="000B5CEF"/>
    <w:rPr>
      <w:sz w:val="16"/>
      <w:szCs w:val="24"/>
    </w:rPr>
  </w:style>
  <w:style w:type="character" w:customStyle="1" w:styleId="HeaderChar">
    <w:name w:val="Header Char"/>
    <w:basedOn w:val="DefaultParagraphFont"/>
    <w:link w:val="Header"/>
    <w:rsid w:val="00E258F7"/>
    <w:rPr>
      <w:sz w:val="24"/>
      <w:szCs w:val="24"/>
    </w:rPr>
  </w:style>
  <w:style w:type="character" w:customStyle="1" w:styleId="Heading2Char">
    <w:name w:val="Heading 2 Char"/>
    <w:basedOn w:val="DefaultParagraphFont"/>
    <w:link w:val="Heading2"/>
    <w:rsid w:val="000B5CEF"/>
    <w:rPr>
      <w:rFonts w:cs="Arial"/>
      <w:bCs/>
      <w:iCs/>
      <w:sz w:val="24"/>
      <w:szCs w:val="24"/>
    </w:rPr>
  </w:style>
  <w:style w:type="character" w:customStyle="1" w:styleId="Heading3Char">
    <w:name w:val="Heading 3 Char"/>
    <w:basedOn w:val="DefaultParagraphFont"/>
    <w:link w:val="Heading3"/>
    <w:rsid w:val="000B5CEF"/>
    <w:rPr>
      <w:rFonts w:cs="Arial"/>
      <w:iCs/>
      <w:sz w:val="24"/>
      <w:szCs w:val="26"/>
    </w:rPr>
  </w:style>
  <w:style w:type="character" w:customStyle="1" w:styleId="Heading4Char">
    <w:name w:val="Heading 4 Char"/>
    <w:basedOn w:val="DefaultParagraphFont"/>
    <w:link w:val="Heading4"/>
    <w:rsid w:val="000B5CEF"/>
    <w:rPr>
      <w:rFonts w:cs="Arial"/>
      <w:bCs/>
      <w:iCs/>
      <w:sz w:val="24"/>
      <w:szCs w:val="28"/>
    </w:rPr>
  </w:style>
  <w:style w:type="character" w:customStyle="1" w:styleId="Heading5Char">
    <w:name w:val="Heading 5 Char"/>
    <w:basedOn w:val="DefaultParagraphFont"/>
    <w:link w:val="Heading5"/>
    <w:rsid w:val="000B5CEF"/>
    <w:rPr>
      <w:rFonts w:cs="Arial"/>
      <w:sz w:val="24"/>
      <w:szCs w:val="26"/>
    </w:rPr>
  </w:style>
  <w:style w:type="character" w:customStyle="1" w:styleId="Heading6Char">
    <w:name w:val="Heading 6 Char"/>
    <w:basedOn w:val="DefaultParagraphFont"/>
    <w:link w:val="Heading6"/>
    <w:rsid w:val="000B5CEF"/>
    <w:rPr>
      <w:bCs/>
      <w:sz w:val="22"/>
      <w:szCs w:val="22"/>
    </w:rPr>
  </w:style>
  <w:style w:type="character" w:customStyle="1" w:styleId="Heading7Char">
    <w:name w:val="Heading 7 Char"/>
    <w:basedOn w:val="DefaultParagraphFont"/>
    <w:link w:val="Heading7"/>
    <w:rsid w:val="000B5CEF"/>
    <w:rPr>
      <w:sz w:val="24"/>
      <w:szCs w:val="24"/>
    </w:rPr>
  </w:style>
  <w:style w:type="character" w:customStyle="1" w:styleId="Heading8Char">
    <w:name w:val="Heading 8 Char"/>
    <w:basedOn w:val="DefaultParagraphFont"/>
    <w:link w:val="Heading8"/>
    <w:rsid w:val="000B5CEF"/>
    <w:rPr>
      <w:i/>
      <w:iCs/>
      <w:sz w:val="24"/>
      <w:szCs w:val="24"/>
    </w:rPr>
  </w:style>
  <w:style w:type="character" w:customStyle="1" w:styleId="Heading9Char">
    <w:name w:val="Heading 9 Char"/>
    <w:basedOn w:val="DefaultParagraphFont"/>
    <w:link w:val="Heading9"/>
    <w:rsid w:val="000B5CEF"/>
    <w:rPr>
      <w:rFonts w:cs="Arial"/>
      <w:color w:val="808080"/>
      <w:sz w:val="24"/>
      <w:szCs w:val="22"/>
    </w:rPr>
  </w:style>
  <w:style w:type="paragraph" w:customStyle="1" w:styleId="Page">
    <w:name w:val="Page"/>
    <w:basedOn w:val="Footer"/>
    <w:semiHidden/>
    <w:rsid w:val="000B5CEF"/>
    <w:pPr>
      <w:jc w:val="center"/>
    </w:pPr>
    <w:rPr>
      <w:sz w:val="24"/>
    </w:rPr>
  </w:style>
  <w:style w:type="paragraph" w:styleId="TOC1">
    <w:name w:val="toc 1"/>
    <w:basedOn w:val="Normal"/>
    <w:next w:val="Normal"/>
    <w:uiPriority w:val="39"/>
    <w:semiHidden/>
    <w:rsid w:val="000B5CEF"/>
    <w:pPr>
      <w:tabs>
        <w:tab w:val="left" w:pos="1440"/>
        <w:tab w:val="right" w:leader="dot" w:pos="9274"/>
      </w:tabs>
      <w:spacing w:before="120" w:after="120"/>
      <w:outlineLvl w:val="0"/>
    </w:pPr>
  </w:style>
  <w:style w:type="paragraph" w:styleId="TOC2">
    <w:name w:val="toc 2"/>
    <w:basedOn w:val="Normal"/>
    <w:next w:val="Normal"/>
    <w:uiPriority w:val="39"/>
    <w:semiHidden/>
    <w:rsid w:val="000B5CEF"/>
    <w:pPr>
      <w:tabs>
        <w:tab w:val="left" w:pos="2880"/>
        <w:tab w:val="right" w:leader="dot" w:pos="9274"/>
      </w:tabs>
      <w:ind w:left="2880" w:right="720" w:hanging="1440"/>
    </w:pPr>
  </w:style>
  <w:style w:type="paragraph" w:styleId="TOC3">
    <w:name w:val="toc 3"/>
    <w:basedOn w:val="Normal"/>
    <w:next w:val="Normal"/>
    <w:autoRedefine/>
    <w:uiPriority w:val="39"/>
    <w:semiHidden/>
    <w:rsid w:val="000B5CEF"/>
    <w:pPr>
      <w:tabs>
        <w:tab w:val="left" w:pos="3600"/>
        <w:tab w:val="right" w:leader="dot" w:pos="9274"/>
      </w:tabs>
      <w:ind w:left="2880"/>
    </w:pPr>
  </w:style>
  <w:style w:type="paragraph" w:styleId="TOC4">
    <w:name w:val="toc 4"/>
    <w:basedOn w:val="Normal"/>
    <w:next w:val="Normal"/>
    <w:autoRedefine/>
    <w:uiPriority w:val="39"/>
    <w:semiHidden/>
    <w:rsid w:val="000B5CEF"/>
    <w:pPr>
      <w:ind w:left="720"/>
    </w:pPr>
  </w:style>
  <w:style w:type="paragraph" w:styleId="TOC5">
    <w:name w:val="toc 5"/>
    <w:basedOn w:val="Normal"/>
    <w:next w:val="Normal"/>
    <w:uiPriority w:val="39"/>
    <w:semiHidden/>
    <w:rsid w:val="000B5CEF"/>
    <w:pPr>
      <w:tabs>
        <w:tab w:val="left" w:pos="1440"/>
        <w:tab w:val="left" w:pos="3600"/>
        <w:tab w:val="right" w:leader="dot" w:pos="9274"/>
      </w:tabs>
      <w:ind w:left="3600" w:right="720" w:hanging="720"/>
    </w:pPr>
  </w:style>
  <w:style w:type="paragraph" w:customStyle="1" w:styleId="BodyTextBlock">
    <w:name w:val="Body Text Block"/>
    <w:basedOn w:val="BodyText"/>
    <w:qFormat/>
    <w:rsid w:val="000B5CEF"/>
    <w:pPr>
      <w:ind w:firstLine="0"/>
    </w:pPr>
  </w:style>
  <w:style w:type="paragraph" w:styleId="Title">
    <w:name w:val="Title"/>
    <w:basedOn w:val="Normal"/>
    <w:link w:val="TitleChar"/>
    <w:rsid w:val="00E258F7"/>
    <w:pPr>
      <w:spacing w:after="360"/>
      <w:jc w:val="center"/>
    </w:pPr>
    <w:rPr>
      <w:b/>
      <w:sz w:val="30"/>
      <w:szCs w:val="20"/>
    </w:rPr>
  </w:style>
  <w:style w:type="character" w:customStyle="1" w:styleId="TitleChar">
    <w:name w:val="Title Char"/>
    <w:basedOn w:val="DefaultParagraphFont"/>
    <w:link w:val="Title"/>
    <w:rsid w:val="00E258F7"/>
    <w:rPr>
      <w:b/>
      <w:sz w:val="30"/>
    </w:rPr>
  </w:style>
  <w:style w:type="paragraph" w:styleId="IndexHeading">
    <w:name w:val="index heading"/>
    <w:basedOn w:val="Normal"/>
    <w:next w:val="Normal"/>
    <w:semiHidden/>
    <w:rsid w:val="00EA6914"/>
    <w:rPr>
      <w:rFonts w:asciiTheme="majorHAnsi" w:eastAsiaTheme="majorEastAsia" w:hAnsiTheme="majorHAnsi" w:cstheme="majorBidi"/>
      <w:b/>
      <w:bCs/>
    </w:rPr>
  </w:style>
  <w:style w:type="paragraph" w:styleId="NoteHeading">
    <w:name w:val="Note Heading"/>
    <w:basedOn w:val="Normal"/>
    <w:next w:val="Normal"/>
    <w:link w:val="NoteHeadingChar"/>
    <w:semiHidden/>
    <w:rsid w:val="00EA6914"/>
  </w:style>
  <w:style w:type="character" w:customStyle="1" w:styleId="NoteHeadingChar">
    <w:name w:val="Note Heading Char"/>
    <w:basedOn w:val="DefaultParagraphFont"/>
    <w:link w:val="NoteHeading"/>
    <w:rsid w:val="00EA6914"/>
    <w:rPr>
      <w:sz w:val="24"/>
      <w:szCs w:val="24"/>
    </w:rPr>
  </w:style>
  <w:style w:type="paragraph" w:styleId="TOAHeading">
    <w:name w:val="toa heading"/>
    <w:basedOn w:val="Normal"/>
    <w:next w:val="Normal"/>
    <w:semiHidden/>
    <w:rsid w:val="00EA6914"/>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EA6914"/>
    <w:pPr>
      <w:keepLines/>
      <w:numPr>
        <w:numId w:val="0"/>
      </w:numPr>
      <w:spacing w:after="0"/>
      <w:jc w:val="left"/>
      <w:outlineLvl w:val="9"/>
    </w:pPr>
    <w:rPr>
      <w:rFonts w:asciiTheme="majorHAnsi" w:eastAsiaTheme="majorEastAsia" w:hAnsiTheme="majorHAnsi" w:cstheme="majorBidi"/>
      <w:caps w:val="0"/>
      <w:color w:val="365F91" w:themeColor="accent1" w:themeShade="BF"/>
      <w:kern w:val="0"/>
      <w:sz w:val="28"/>
      <w:szCs w:val="28"/>
    </w:rPr>
  </w:style>
  <w:style w:type="paragraph" w:styleId="TOC6">
    <w:name w:val="toc 6"/>
    <w:basedOn w:val="Normal"/>
    <w:next w:val="Normal"/>
    <w:autoRedefine/>
    <w:semiHidden/>
    <w:rsid w:val="00EA6914"/>
    <w:pPr>
      <w:spacing w:after="100"/>
      <w:ind w:left="1200"/>
    </w:pPr>
  </w:style>
  <w:style w:type="paragraph" w:styleId="TOC7">
    <w:name w:val="toc 7"/>
    <w:basedOn w:val="Normal"/>
    <w:next w:val="Normal"/>
    <w:autoRedefine/>
    <w:semiHidden/>
    <w:rsid w:val="00EA6914"/>
    <w:pPr>
      <w:spacing w:after="100"/>
      <w:ind w:left="1440"/>
    </w:pPr>
  </w:style>
  <w:style w:type="paragraph" w:styleId="TOC8">
    <w:name w:val="toc 8"/>
    <w:basedOn w:val="Normal"/>
    <w:next w:val="Normal"/>
    <w:autoRedefine/>
    <w:semiHidden/>
    <w:rsid w:val="00EA6914"/>
    <w:pPr>
      <w:spacing w:after="100"/>
      <w:ind w:left="1680"/>
    </w:pPr>
  </w:style>
  <w:style w:type="paragraph" w:styleId="TOC9">
    <w:name w:val="toc 9"/>
    <w:basedOn w:val="Normal"/>
    <w:next w:val="Normal"/>
    <w:autoRedefine/>
    <w:semiHidden/>
    <w:rsid w:val="00EA6914"/>
    <w:pPr>
      <w:spacing w:after="100"/>
      <w:ind w:left="1920"/>
    </w:pPr>
  </w:style>
  <w:style w:type="paragraph" w:styleId="PlainText">
    <w:name w:val="Plain Text"/>
    <w:basedOn w:val="Normal"/>
    <w:link w:val="PlainTextChar"/>
    <w:uiPriority w:val="99"/>
    <w:unhideWhenUsed/>
    <w:rsid w:val="00817846"/>
    <w:rPr>
      <w:rFonts w:ascii="Arial" w:eastAsiaTheme="minorHAnsi" w:hAnsi="Arial" w:cstheme="minorBidi"/>
      <w:sz w:val="20"/>
      <w:szCs w:val="21"/>
    </w:rPr>
  </w:style>
  <w:style w:type="character" w:customStyle="1" w:styleId="PlainTextChar">
    <w:name w:val="Plain Text Char"/>
    <w:basedOn w:val="DefaultParagraphFont"/>
    <w:link w:val="PlainText"/>
    <w:uiPriority w:val="99"/>
    <w:rsid w:val="00817846"/>
    <w:rPr>
      <w:rFonts w:ascii="Arial" w:eastAsiaTheme="minorHAnsi" w:hAnsi="Arial" w:cstheme="minorBidi"/>
      <w:szCs w:val="21"/>
    </w:rPr>
  </w:style>
  <w:style w:type="paragraph" w:styleId="ListParagraph">
    <w:name w:val="List Paragraph"/>
    <w:basedOn w:val="Normal"/>
    <w:uiPriority w:val="34"/>
    <w:rsid w:val="00452701"/>
    <w:pPr>
      <w:ind w:left="720"/>
      <w:contextualSpacing/>
    </w:pPr>
  </w:style>
  <w:style w:type="character" w:styleId="Hyperlink">
    <w:name w:val="Hyperlink"/>
    <w:basedOn w:val="DefaultParagraphFont"/>
    <w:uiPriority w:val="99"/>
    <w:unhideWhenUsed/>
    <w:rsid w:val="00595352"/>
    <w:rPr>
      <w:color w:val="0000FF"/>
      <w:u w:val="single"/>
    </w:rPr>
  </w:style>
  <w:style w:type="character" w:styleId="FollowedHyperlink">
    <w:name w:val="FollowedHyperlink"/>
    <w:basedOn w:val="DefaultParagraphFont"/>
    <w:rsid w:val="00595352"/>
    <w:rPr>
      <w:color w:val="800080" w:themeColor="followedHyperlink"/>
      <w:u w:val="single"/>
    </w:rPr>
  </w:style>
  <w:style w:type="paragraph" w:styleId="Date">
    <w:name w:val="Date"/>
    <w:basedOn w:val="Normal"/>
    <w:next w:val="Normal"/>
    <w:link w:val="DateChar"/>
    <w:unhideWhenUsed/>
    <w:rsid w:val="003A27F6"/>
    <w:pPr>
      <w:spacing w:after="240"/>
    </w:pPr>
    <w:rPr>
      <w:rFonts w:eastAsiaTheme="minorHAnsi" w:cstheme="minorBidi"/>
    </w:rPr>
  </w:style>
  <w:style w:type="character" w:customStyle="1" w:styleId="DateChar">
    <w:name w:val="Date Char"/>
    <w:basedOn w:val="DefaultParagraphFont"/>
    <w:link w:val="Date"/>
    <w:rsid w:val="003A27F6"/>
    <w:rPr>
      <w:rFonts w:eastAsiaTheme="minorHAnsi" w:cstheme="minorBidi"/>
      <w:sz w:val="24"/>
      <w:szCs w:val="24"/>
    </w:rPr>
  </w:style>
  <w:style w:type="paragraph" w:customStyle="1" w:styleId="MemoHeading">
    <w:name w:val="MemoHeading"/>
    <w:basedOn w:val="Normal"/>
    <w:semiHidden/>
    <w:rsid w:val="003A27F6"/>
    <w:pPr>
      <w:spacing w:before="240" w:after="480"/>
      <w:jc w:val="center"/>
    </w:pPr>
    <w:rPr>
      <w:rFonts w:ascii="Times New Roman Bold" w:hAnsi="Times New Roman Bold"/>
      <w:b/>
      <w:caps/>
      <w:szCs w:val="36"/>
      <w:u w:val="single"/>
    </w:rPr>
  </w:style>
  <w:style w:type="paragraph" w:customStyle="1" w:styleId="MemoTableData">
    <w:name w:val="MemoTableData"/>
    <w:basedOn w:val="Normal"/>
    <w:semiHidden/>
    <w:rsid w:val="003A27F6"/>
    <w:pPr>
      <w:spacing w:after="240"/>
      <w:jc w:val="both"/>
    </w:pPr>
    <w:rPr>
      <w:szCs w:val="20"/>
    </w:rPr>
  </w:style>
  <w:style w:type="paragraph" w:customStyle="1" w:styleId="ReLine">
    <w:name w:val="Re Line"/>
    <w:basedOn w:val="MemoTableData"/>
    <w:rsid w:val="003A27F6"/>
  </w:style>
  <w:style w:type="paragraph" w:customStyle="1" w:styleId="MemoTableLabel">
    <w:name w:val="MemoTableLabel"/>
    <w:basedOn w:val="Normal"/>
    <w:semiHidden/>
    <w:rsid w:val="003A27F6"/>
    <w:pPr>
      <w:spacing w:after="240"/>
      <w:jc w:val="both"/>
    </w:pPr>
    <w:rPr>
      <w:caps/>
    </w:rPr>
  </w:style>
  <w:style w:type="paragraph" w:styleId="BalloonText">
    <w:name w:val="Balloon Text"/>
    <w:basedOn w:val="Normal"/>
    <w:link w:val="BalloonTextChar"/>
    <w:rsid w:val="00E22648"/>
    <w:rPr>
      <w:rFonts w:ascii="Tahoma" w:hAnsi="Tahoma" w:cs="Tahoma"/>
      <w:sz w:val="16"/>
      <w:szCs w:val="16"/>
    </w:rPr>
  </w:style>
  <w:style w:type="character" w:customStyle="1" w:styleId="BalloonTextChar">
    <w:name w:val="Balloon Text Char"/>
    <w:basedOn w:val="DefaultParagraphFont"/>
    <w:link w:val="BalloonText"/>
    <w:rsid w:val="00E22648"/>
    <w:rPr>
      <w:rFonts w:ascii="Tahoma" w:hAnsi="Tahoma" w:cs="Tahoma"/>
      <w:sz w:val="16"/>
      <w:szCs w:val="16"/>
    </w:rPr>
  </w:style>
  <w:style w:type="paragraph" w:customStyle="1" w:styleId="Draft">
    <w:name w:val="Draft"/>
    <w:qFormat/>
    <w:rsid w:val="00A81C68"/>
    <w:pPr>
      <w:jc w:val="center"/>
    </w:pPr>
    <w:rPr>
      <w:color w:val="0070C0"/>
      <w:sz w:val="30"/>
      <w:szCs w:val="24"/>
    </w:rPr>
  </w:style>
</w:styles>
</file>

<file path=word/webSettings.xml><?xml version="1.0" encoding="utf-8"?>
<w:webSettings xmlns:r="http://schemas.openxmlformats.org/officeDocument/2006/relationships" xmlns:w="http://schemas.openxmlformats.org/wordprocessingml/2006/main">
  <w:divs>
    <w:div w:id="279143420">
      <w:bodyDiv w:val="1"/>
      <w:marLeft w:val="0"/>
      <w:marRight w:val="0"/>
      <w:marTop w:val="0"/>
      <w:marBottom w:val="0"/>
      <w:divBdr>
        <w:top w:val="none" w:sz="0" w:space="0" w:color="auto"/>
        <w:left w:val="none" w:sz="0" w:space="0" w:color="auto"/>
        <w:bottom w:val="none" w:sz="0" w:space="0" w:color="auto"/>
        <w:right w:val="none" w:sz="0" w:space="0" w:color="auto"/>
      </w:divBdr>
    </w:div>
    <w:div w:id="580020831">
      <w:bodyDiv w:val="1"/>
      <w:marLeft w:val="0"/>
      <w:marRight w:val="0"/>
      <w:marTop w:val="0"/>
      <w:marBottom w:val="0"/>
      <w:divBdr>
        <w:top w:val="none" w:sz="0" w:space="0" w:color="auto"/>
        <w:left w:val="none" w:sz="0" w:space="0" w:color="auto"/>
        <w:bottom w:val="none" w:sz="0" w:space="0" w:color="auto"/>
        <w:right w:val="none" w:sz="0" w:space="0" w:color="auto"/>
      </w:divBdr>
    </w:div>
    <w:div w:id="785664416">
      <w:bodyDiv w:val="1"/>
      <w:marLeft w:val="0"/>
      <w:marRight w:val="0"/>
      <w:marTop w:val="0"/>
      <w:marBottom w:val="0"/>
      <w:divBdr>
        <w:top w:val="none" w:sz="0" w:space="0" w:color="auto"/>
        <w:left w:val="none" w:sz="0" w:space="0" w:color="auto"/>
        <w:bottom w:val="none" w:sz="0" w:space="0" w:color="auto"/>
        <w:right w:val="none" w:sz="0" w:space="0" w:color="auto"/>
      </w:divBdr>
    </w:div>
    <w:div w:id="13353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Mode="External" Target="https://community.icann.org/download/attachments/53783460/CCWG-2ndDraft-FINAL-7August.pdf?version=1&amp;modificationDate=1439640755000&amp;api=v2" Type="http://schemas.openxmlformats.org/officeDocument/2006/relationships/hyperlink" Id="rId8"></Relationship><Relationship Target="header1.xml" Type="http://schemas.openxmlformats.org/officeDocument/2006/relationships/header" Id="rId13"></Relationship><Relationship Target="footer3.xml" Type="http://schemas.openxmlformats.org/officeDocument/2006/relationships/footer" Id="rId18"></Relationship><Relationship Target="styles.xml" Type="http://schemas.openxmlformats.org/officeDocument/2006/relationships/styles" Id="rId3"></Relationship><Relationship Target="fontTable.xml" Type="http://schemas.openxmlformats.org/officeDocument/2006/relationships/fontTable" Id="rId21"></Relationship><Relationship Target="endnotes.xml" Type="http://schemas.openxmlformats.org/officeDocument/2006/relationships/endnotes" Id="rId7"></Relationship><Relationship TargetMode="External" Target="https://community.icann.org/download/attachments/52896826/Memo%20Re%20MEM.pdf?version=1&amp;modificationDate=1442761613000&amp;api=v2" Type="http://schemas.openxmlformats.org/officeDocument/2006/relationships/hyperlink" Id="rId12"></Relationship><Relationship Target="header3.xml" Type="http://schemas.openxmlformats.org/officeDocument/2006/relationships/header" Id="rId17"></Relationship><Relationship Target="numbering.xml" Type="http://schemas.openxmlformats.org/officeDocument/2006/relationships/numbering" Id="rId2"></Relationship><Relationship Target="footer2.xml" Type="http://schemas.openxmlformats.org/officeDocument/2006/relationships/footer" Id="rId16"></Relationship><Relationship Target="footer4.xml" Type="http://schemas.openxmlformats.org/officeDocument/2006/relationships/footer" Id="rId20"></Relationship><Relationship Target="footnotes.xml" Type="http://schemas.openxmlformats.org/officeDocument/2006/relationships/footnotes" Id="rId6"></Relationship><Relationship TargetMode="External" Target="https://community.icann.org/pages/viewpage.action?pageId=56135688&amp;preview=%2F56135688%2F56135809%2FMemo+on+Proposed+Approach+for+Community+Enforceability.pdf" Type="http://schemas.openxmlformats.org/officeDocument/2006/relationships/hyperlink" Id="rId11"></Relationship><Relationship Target="webSettings.xml" Type="http://schemas.openxmlformats.org/officeDocument/2006/relationships/webSettings" Id="rId5"></Relationship><Relationship Target="footer1.xml" Type="http://schemas.openxmlformats.org/officeDocument/2006/relationships/footer" Id="rId15"></Relationship><Relationship Target="stylesWithEffects.xml" Type="http://schemas.microsoft.com/office/2007/relationships/stylesWithEffects" Id="rId23"></Relationship><Relationship TargetMode="External" Target="https://community.icann.org/download/attachments/56136438/43.%20d%29%20%20ICANN%20Board%20Supplementary%20and%20Final%20Comments%20-%20Frequently%20Asked%20Questions%20Regarding%20Approach%20for%20Community%20Enforceability.pdf?version=1&amp;modificationDate=1" Type="http://schemas.openxmlformats.org/officeDocument/2006/relationships/hyperlink" Id="rId10"></Relationship><Relationship Target="header4.xml" Type="http://schemas.openxmlformats.org/officeDocument/2006/relationships/header" Id="rId19"></Relationship><Relationship Target="settings.xml" Type="http://schemas.openxmlformats.org/officeDocument/2006/relationships/settings" Id="rId4"></Relationship><Relationship TargetMode="External" Target="https://community.icann.org/download/attachments/56136438/43.%20b%29%20%20ICANN%20Board%20Supplementary%20and%20Final%20Comments%20-%20Comments%20Matrix%20and%20Notes%20on%20Proposed%20Elements.pdf?version=1&amp;modificationDate=1442421741531&amp;api=v2" Type="http://schemas.openxmlformats.org/officeDocument/2006/relationships/hyperlink" Id="rId9"></Relationship><Relationship Target="header2.xml" Type="http://schemas.openxmlformats.org/officeDocument/2006/relationships/header" Id="rId14"></Relationship><Relationship Target="theme/theme1.xml" Type="http://schemas.openxmlformats.org/officeDocument/2006/relationships/theme" Id="rId22"></Relationship></Relationships>
</file>

<file path=word/_rels/header3.xml.rels><?xml version="1.0" encoding="UTF-8" ?><Relationships xmlns="http://schemas.openxmlformats.org/package/2006/relationships"><Relationship Target="media/image2.jpeg" Type="http://schemas.openxmlformats.org/officeDocument/2006/relationships/image" Id="rId2"></Relationship><Relationship Target="media/image1.emf" Type="http://schemas.openxmlformats.org/officeDocument/2006/relationships/image"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210365800v.2</vt:lpwstr>
  </property>
</Properties>
</file>