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adjustRightInd/>
        <w:ind w:left="540" w:right="0" w:hanging="540"/>
        <w:rPr>
          <w:rStyle w:val="SectionTile"/>
          <w:rFonts w:ascii="Helvetica" w:eastAsia="MS Gothic" w:hAnsi="Helvetica"/>
          <w:b w:val="0"/>
          <w:bCs w:val="0"/>
          <w:sz w:val="40"/>
          <w:szCs w:val="24"/>
        </w:rPr>
      </w:pPr>
      <w:r>
        <w:rPr>
          <w:rStyle w:val="SectionTile"/>
          <w:rFonts w:ascii="Helvetica" w:eastAsia="MS Gothic" w:hAnsi="Helvetica"/>
          <w:b w:val="0"/>
          <w:bCs w:val="0"/>
          <w:sz w:val="40"/>
          <w:szCs w:val="24"/>
        </w:rPr>
        <w:t>2) Accountability Mechanisms</w:t>
      </w:r>
    </w:p>
    <w:p>
      <w:pPr>
        <w:pStyle w:val="Heading2"/>
        <w:adjustRightInd/>
        <w:rPr>
          <w:rFonts w:cs="Times New Roman"/>
          <w:szCs w:val="24"/>
        </w:rPr>
      </w:pPr>
      <w:r>
        <w:rPr>
          <w:rFonts w:cs="Times New Roman"/>
          <w:szCs w:val="24"/>
        </w:rPr>
        <w:t>2.1 Description of Overall Accountability Architecture</w:t>
      </w:r>
    </w:p>
    <w:p>
      <w:pPr>
        <w:adjustRightInd/>
        <w:ind w:firstLine="0"/>
        <w:rPr>
          <w:rFonts w:cs="Times New Roman"/>
          <w:szCs w:val="24"/>
        </w:rPr>
      </w:pPr>
      <w:r>
        <w:rPr>
          <w:rFonts w:cs="Times New Roman"/>
          <w:szCs w:val="24"/>
        </w:rPr>
        <w:t xml:space="preserve">The CCWG-Accountability identifies four building blocks that would form the accountability mechanisms required to improve accountability. </w:t>
      </w:r>
    </w:p>
    <w:p>
      <w:pPr>
        <w:adjustRightInd/>
        <w:ind w:firstLine="0"/>
        <w:rPr>
          <w:rFonts w:cs="Times New Roman"/>
          <w:b/>
          <w:szCs w:val="24"/>
        </w:rPr>
      </w:pPr>
      <w:r>
        <w:rPr>
          <w:noProof/>
        </w:rPr>
        <w:pict>
          <v:rect id="_x0000_s1026" style="position:absolute;left:0;text-align:left;margin-left:-9.65pt;margin-top:157pt;width:19.9pt;height:76.3pt;z-index:251658240;mso-position-vertical-relative:text" stroked="f"/>
        </w:pict>
      </w:r>
    </w:p>
    <w:p>
      <w:pPr>
        <w:adjustRightInd/>
        <w:ind w:firstLine="0"/>
        <w:jc w:val="center"/>
        <w:rPr>
          <w:rFonts w:cs="Times New Roman"/>
          <w:b/>
          <w:szCs w:val="24"/>
        </w:rPr>
      </w:pPr>
      <w:r>
        <w:rPr>
          <w:rFonts w:cs="Times New Roman"/>
          <w:b/>
          <w:noProof/>
          <w:szCs w:val="24"/>
        </w:rPr>
        <w:drawing>
          <wp:inline distT="0" distB="0" distL="0" distR="0">
            <wp:extent cx="4248150" cy="2867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48150" cy="2867025"/>
                    </a:xfrm>
                    <a:prstGeom prst="rect">
                      <a:avLst/>
                    </a:prstGeom>
                    <a:noFill/>
                    <a:ln w="9525">
                      <a:noFill/>
                      <a:miter lim="800000"/>
                      <a:headEnd/>
                      <a:tailEnd/>
                    </a:ln>
                  </pic:spPr>
                </pic:pic>
              </a:graphicData>
            </a:graphic>
          </wp:inline>
        </w:drawing>
      </w:r>
    </w:p>
    <w:p>
      <w:pPr>
        <w:adjustRightInd/>
        <w:ind w:firstLine="0"/>
        <w:jc w:val="center"/>
        <w:rPr>
          <w:rFonts w:cs="Times New Roman"/>
          <w:b/>
          <w:szCs w:val="24"/>
        </w:rPr>
      </w:pPr>
    </w:p>
    <w:p>
      <w:pPr>
        <w:adjustRightInd/>
        <w:ind w:left="0" w:firstLine="0"/>
        <w:rPr>
          <w:rFonts w:cs="Times New Roman"/>
          <w:b/>
          <w:szCs w:val="24"/>
        </w:rPr>
      </w:pPr>
      <w:r>
        <w:rPr>
          <w:rFonts w:cs="Times New Roman"/>
          <w:b/>
          <w:szCs w:val="24"/>
        </w:rPr>
        <w:commentReference w:id="0"/>
      </w:r>
    </w:p>
    <w:p>
      <w:pPr>
        <w:adjustRightInd/>
        <w:ind w:firstLine="0"/>
        <w:rPr>
          <w:rFonts w:cs="Times New Roman"/>
          <w:b/>
          <w:szCs w:val="24"/>
        </w:rPr>
      </w:pPr>
    </w:p>
    <w:p>
      <w:pPr>
        <w:adjustRightInd/>
        <w:ind w:firstLine="0"/>
        <w:rPr>
          <w:rFonts w:cs="Times New Roman"/>
          <w:b/>
          <w:szCs w:val="24"/>
        </w:rPr>
      </w:pPr>
      <w:r>
        <w:rPr>
          <w:rFonts w:cs="Times New Roman"/>
          <w:b/>
          <w:szCs w:val="24"/>
        </w:rPr>
        <w:t>Drawing a state analogy:</w:t>
      </w:r>
    </w:p>
    <w:p>
      <w:pPr>
        <w:pStyle w:val="Bullets"/>
        <w:numPr>
          <w:ilvl w:val="1"/>
          <w:numId w:val="1"/>
        </w:numPr>
        <w:adjustRightInd/>
        <w:rPr>
          <w:rFonts w:cs="Times New Roman"/>
          <w:b w:val="0"/>
          <w:bCs w:val="0"/>
          <w:szCs w:val="24"/>
        </w:rPr>
      </w:pPr>
      <w:r>
        <w:rPr>
          <w:rFonts w:cs="Times New Roman"/>
          <w:b w:val="0"/>
          <w:bCs w:val="0"/>
          <w:szCs w:val="24"/>
        </w:rPr>
        <w:t>Empowered community refers to the powers that allow the community (i.e., the people) to hold ICANN accountable for the principles.</w:t>
      </w:r>
    </w:p>
    <w:p>
      <w:pPr>
        <w:pStyle w:val="Bullets"/>
        <w:numPr>
          <w:ilvl w:val="2"/>
          <w:numId w:val="1"/>
        </w:numPr>
        <w:adjustRightInd/>
        <w:ind w:left="2880"/>
        <w:rPr>
          <w:rFonts w:cs="Times New Roman"/>
          <w:b w:val="0"/>
          <w:bCs w:val="0"/>
          <w:szCs w:val="24"/>
        </w:rPr>
      </w:pPr>
      <w:r>
        <w:rPr>
          <w:rFonts w:cs="Times New Roman"/>
          <w:b w:val="0"/>
          <w:bCs w:val="0"/>
          <w:szCs w:val="24"/>
        </w:rPr>
        <w:t>The group identified powers and associated mechanisms including the ability to:</w:t>
      </w:r>
    </w:p>
    <w:p>
      <w:pPr>
        <w:pStyle w:val="Bullets"/>
        <w:numPr>
          <w:ilvl w:val="3"/>
          <w:numId w:val="1"/>
        </w:numPr>
        <w:adjustRightInd/>
        <w:rPr>
          <w:rFonts w:cs="Times New Roman"/>
          <w:b w:val="0"/>
          <w:bCs w:val="0"/>
          <w:szCs w:val="24"/>
        </w:rPr>
      </w:pPr>
      <w:r>
        <w:rPr>
          <w:rFonts w:cs="Times New Roman"/>
          <w:b w:val="0"/>
          <w:bCs w:val="0"/>
          <w:szCs w:val="24"/>
        </w:rPr>
        <w:t>Remove individual directors or recall the entire ICANN Board of Directors;</w:t>
      </w:r>
    </w:p>
    <w:p>
      <w:pPr>
        <w:pStyle w:val="Bullets"/>
        <w:numPr>
          <w:ilvl w:val="3"/>
          <w:numId w:val="1"/>
        </w:numPr>
        <w:adjustRightInd/>
        <w:rPr>
          <w:rFonts w:cs="Times New Roman"/>
          <w:b w:val="0"/>
          <w:bCs w:val="0"/>
          <w:szCs w:val="24"/>
        </w:rPr>
      </w:pPr>
      <w:r>
        <w:rPr>
          <w:rFonts w:cs="Times New Roman"/>
          <w:b w:val="0"/>
          <w:bCs w:val="0"/>
          <w:szCs w:val="24"/>
        </w:rPr>
        <w:t xml:space="preserve">Approve or veto changes to the ICANN Bylaws, </w:t>
      </w:r>
      <w:bookmarkStart w:id="1" w:name="_cp_text_1_1"/>
      <w:r>
        <w:rPr>
          <w:rFonts w:cs="Times New Roman"/>
          <w:b w:val="0"/>
          <w:bCs w:val="0"/>
          <w:color w:val="0000FF"/>
          <w:szCs w:val="24"/>
          <w:u w:val="double" w:color="0000FF"/>
        </w:rPr>
        <w:t>including</w:t>
      </w:r>
      <w:r>
        <w:rPr>
          <w:rFonts w:cs="Times New Roman"/>
          <w:b w:val="0"/>
          <w:bCs w:val="0"/>
          <w:szCs w:val="24"/>
        </w:rPr>
        <w:t xml:space="preserve"> </w:t>
      </w:r>
      <w:bookmarkEnd w:id="1"/>
      <w:r>
        <w:rPr>
          <w:rFonts w:cs="Times New Roman"/>
          <w:b w:val="0"/>
          <w:bCs w:val="0"/>
          <w:szCs w:val="24"/>
        </w:rPr>
        <w:t xml:space="preserve">Mission, Commitments and </w:t>
      </w:r>
      <w:bookmarkStart w:id="2" w:name="_GoBack"/>
      <w:bookmarkEnd w:id="2"/>
      <w:r>
        <w:rPr>
          <w:rFonts w:cs="Times New Roman"/>
          <w:b w:val="0"/>
          <w:bCs w:val="0"/>
          <w:szCs w:val="24"/>
        </w:rPr>
        <w:t>Core Values</w:t>
      </w:r>
      <w:bookmarkStart w:id="3" w:name="_cp_text_1_2"/>
      <w:r>
        <w:rPr>
          <w:rFonts w:cs="Times New Roman"/>
          <w:b w:val="0"/>
          <w:bCs w:val="0"/>
          <w:color w:val="0000FF"/>
          <w:szCs w:val="24"/>
          <w:u w:val="double" w:color="0000FF"/>
        </w:rPr>
        <w:t xml:space="preserve"> incorporated in the Bylaws</w:t>
      </w:r>
      <w:bookmarkEnd w:id="3"/>
      <w:r>
        <w:rPr>
          <w:rFonts w:cs="Times New Roman"/>
          <w:b w:val="0"/>
          <w:bCs w:val="0"/>
          <w:szCs w:val="24"/>
        </w:rPr>
        <w:t>; and</w:t>
      </w:r>
    </w:p>
    <w:p>
      <w:pPr>
        <w:pStyle w:val="Bullets"/>
        <w:numPr>
          <w:ilvl w:val="3"/>
          <w:numId w:val="1"/>
        </w:numPr>
        <w:adjustRightInd/>
        <w:rPr>
          <w:rFonts w:cs="Times New Roman"/>
          <w:b w:val="0"/>
          <w:bCs w:val="0"/>
          <w:szCs w:val="24"/>
        </w:rPr>
      </w:pPr>
      <w:r>
        <w:rPr>
          <w:rFonts w:cs="Times New Roman"/>
          <w:b w:val="0"/>
          <w:bCs w:val="0"/>
          <w:szCs w:val="24"/>
        </w:rPr>
        <w:t xml:space="preserve">Reject Board decisions on Strategic Plan and </w:t>
      </w:r>
      <w:bookmarkStart w:id="4" w:name="_cp_text_2_3"/>
      <w:r>
        <w:rPr>
          <w:rFonts w:cs="Times New Roman"/>
          <w:b w:val="0"/>
          <w:bCs w:val="0"/>
          <w:strike/>
          <w:color w:val="FF0000"/>
          <w:szCs w:val="24"/>
        </w:rPr>
        <w:t>budget</w:t>
      </w:r>
      <w:bookmarkStart w:id="5" w:name="_cp_text_1_4"/>
      <w:bookmarkEnd w:id="4"/>
      <w:r>
        <w:rPr>
          <w:rFonts w:cs="Times New Roman"/>
          <w:b w:val="0"/>
          <w:bCs w:val="0"/>
          <w:color w:val="0000FF"/>
          <w:szCs w:val="24"/>
          <w:u w:val="double" w:color="0000FF"/>
        </w:rPr>
        <w:t>Budget</w:t>
      </w:r>
      <w:bookmarkEnd w:id="5"/>
      <w:r>
        <w:rPr>
          <w:rFonts w:cs="Times New Roman"/>
          <w:b w:val="0"/>
          <w:bCs w:val="0"/>
          <w:szCs w:val="24"/>
        </w:rPr>
        <w:t>, where the Board has failed to appropriately consider community input.</w:t>
      </w:r>
    </w:p>
    <w:p>
      <w:pPr>
        <w:pStyle w:val="Bullets"/>
        <w:numPr>
          <w:ilvl w:val="1"/>
          <w:numId w:val="1"/>
        </w:numPr>
        <w:adjustRightInd/>
        <w:rPr>
          <w:rFonts w:cs="Times New Roman"/>
          <w:b w:val="0"/>
          <w:bCs w:val="0"/>
          <w:szCs w:val="24"/>
        </w:rPr>
      </w:pPr>
      <w:r>
        <w:rPr>
          <w:rFonts w:cs="Times New Roman"/>
          <w:b w:val="0"/>
          <w:bCs w:val="0"/>
          <w:szCs w:val="24"/>
        </w:rPr>
        <w:t>Principles form the Mission, Commitments and Core Values of the organization (i.e., the Constitution).</w:t>
      </w:r>
    </w:p>
    <w:p>
      <w:pPr>
        <w:pStyle w:val="Bullets"/>
        <w:numPr>
          <w:ilvl w:val="2"/>
          <w:numId w:val="1"/>
        </w:numPr>
        <w:adjustRightInd/>
        <w:ind w:left="2880" w:right="140"/>
        <w:rPr>
          <w:rFonts w:cs="Times New Roman"/>
          <w:b w:val="0"/>
          <w:bCs w:val="0"/>
          <w:szCs w:val="24"/>
        </w:rPr>
      </w:pPr>
      <w:r>
        <w:rPr>
          <w:rFonts w:cs="Times New Roman"/>
          <w:b w:val="0"/>
          <w:bCs w:val="0"/>
          <w:szCs w:val="24"/>
        </w:rPr>
        <w:lastRenderedPageBreak/>
        <w:t>The group proposes changes that should be made to the Mission, Commitments and Core Values in ICANN's Bylaws. For example, the group discussed how key provisions of the</w:t>
      </w:r>
      <w:r>
        <w:rPr>
          <w:rStyle w:val="Hyperlink"/>
          <w:rFonts w:cs="Times New Roman"/>
          <w:b w:val="0"/>
          <w:bCs w:val="0"/>
          <w:color w:val="000000"/>
          <w:szCs w:val="24"/>
          <w:u w:val="none"/>
        </w:rPr>
        <w:t xml:space="preserve"> Affirmation of Commitments</w:t>
      </w:r>
      <w:r>
        <w:rPr>
          <w:rFonts w:cs="Times New Roman"/>
          <w:b w:val="0"/>
          <w:bCs w:val="0"/>
          <w:szCs w:val="24"/>
        </w:rPr>
        <w:t xml:space="preserve"> could be incorporated into the Bylaws.</w:t>
      </w:r>
    </w:p>
    <w:p>
      <w:pPr>
        <w:pStyle w:val="Bullets"/>
        <w:numPr>
          <w:ilvl w:val="1"/>
          <w:numId w:val="1"/>
        </w:numPr>
        <w:adjustRightInd/>
        <w:ind w:right="140"/>
        <w:rPr>
          <w:rFonts w:cs="Times New Roman"/>
          <w:b w:val="0"/>
          <w:bCs w:val="0"/>
          <w:szCs w:val="24"/>
        </w:rPr>
      </w:pPr>
      <w:r>
        <w:rPr>
          <w:rFonts w:cs="Times New Roman"/>
          <w:b w:val="0"/>
          <w:bCs w:val="0"/>
          <w:szCs w:val="24"/>
        </w:rPr>
        <w:t xml:space="preserve">ICANN Board (i.e., the executive) is responsible for directing ICANN’s affairs and is held accountable to the community through the community’s powers </w:t>
      </w:r>
    </w:p>
    <w:p>
      <w:pPr>
        <w:pStyle w:val="Bullets"/>
        <w:numPr>
          <w:ilvl w:val="2"/>
          <w:numId w:val="1"/>
        </w:numPr>
        <w:adjustRightInd/>
        <w:ind w:left="3192" w:right="142" w:hanging="357"/>
        <w:rPr>
          <w:rFonts w:cs="Times New Roman"/>
          <w:b w:val="0"/>
          <w:bCs w:val="0"/>
          <w:szCs w:val="24"/>
        </w:rPr>
      </w:pPr>
      <w:r>
        <w:rPr>
          <w:rFonts w:cs="Times New Roman"/>
          <w:b w:val="0"/>
          <w:bCs w:val="0"/>
          <w:szCs w:val="24"/>
        </w:rPr>
        <w:t xml:space="preserve">The Board also conducts regular Structural Reviews of the various SOs and ACs. These Reviews include an assessment of SO and AC accountability to their respective communities, along with regular participants as well as the wider communities they are designed to represent. </w:t>
      </w:r>
    </w:p>
    <w:p>
      <w:pPr>
        <w:pStyle w:val="Bullets"/>
        <w:numPr>
          <w:ilvl w:val="1"/>
          <w:numId w:val="1"/>
        </w:numPr>
        <w:adjustRightInd/>
        <w:ind w:right="140"/>
        <w:rPr>
          <w:rFonts w:cs="Times New Roman"/>
          <w:b w:val="0"/>
          <w:bCs w:val="0"/>
          <w:szCs w:val="24"/>
        </w:rPr>
      </w:pPr>
      <w:r>
        <w:rPr>
          <w:rFonts w:cs="Times New Roman"/>
          <w:b w:val="0"/>
          <w:bCs w:val="0"/>
          <w:szCs w:val="24"/>
        </w:rPr>
        <w:t>Independent Appeals Mechanisms</w:t>
      </w:r>
      <w:bookmarkStart w:id="6" w:name="_cp_text_2_5"/>
      <w:r>
        <w:rPr>
          <w:rFonts w:cs="Times New Roman"/>
          <w:b w:val="0"/>
          <w:bCs w:val="0"/>
          <w:strike/>
          <w:color w:val="FF0000"/>
          <w:szCs w:val="24"/>
        </w:rPr>
        <w:t>,</w:t>
      </w:r>
      <w:bookmarkEnd w:id="6"/>
      <w:r>
        <w:rPr>
          <w:rFonts w:cs="Times New Roman"/>
          <w:b w:val="0"/>
          <w:bCs w:val="0"/>
          <w:szCs w:val="24"/>
        </w:rPr>
        <w:t xml:space="preserve"> (i.e., the judiciary)</w:t>
      </w:r>
      <w:bookmarkStart w:id="7" w:name="_cp_text_2_6"/>
      <w:r>
        <w:rPr>
          <w:rFonts w:cs="Times New Roman"/>
          <w:b w:val="0"/>
          <w:bCs w:val="0"/>
          <w:strike/>
          <w:color w:val="FF0000"/>
          <w:szCs w:val="24"/>
        </w:rPr>
        <w:t>,</w:t>
      </w:r>
      <w:bookmarkEnd w:id="7"/>
      <w:r>
        <w:rPr>
          <w:rFonts w:cs="Times New Roman"/>
          <w:b w:val="0"/>
          <w:bCs w:val="0"/>
          <w:szCs w:val="24"/>
        </w:rPr>
        <w:t xml:space="preserve"> confers the power to review and provide redress, as needed.</w:t>
      </w:r>
    </w:p>
    <w:p>
      <w:pPr>
        <w:pStyle w:val="Bullets"/>
        <w:numPr>
          <w:ilvl w:val="2"/>
          <w:numId w:val="1"/>
        </w:numPr>
        <w:adjustRightInd/>
        <w:ind w:left="2880" w:right="140"/>
        <w:rPr>
          <w:rFonts w:cs="Times New Roman"/>
          <w:b w:val="0"/>
          <w:bCs w:val="0"/>
          <w:szCs w:val="24"/>
        </w:rPr>
      </w:pPr>
      <w:r>
        <w:rPr>
          <w:rFonts w:cs="Times New Roman"/>
          <w:b w:val="0"/>
          <w:bCs w:val="0"/>
          <w:szCs w:val="24"/>
        </w:rPr>
        <w:t>The group proposes to strengthen the existing Independent Review Process suggesting improvements to its accessibility and affordability, and process design including establishment of a standing panel capable of issuing binding outcomes. The IRP panel decisions would be guided by ICANN's Mission, Commitments and Core Values.</w:t>
      </w:r>
    </w:p>
    <w:p>
      <w:pPr>
        <w:adjustRightInd/>
        <w:ind w:firstLine="0"/>
        <w:rPr>
          <w:rFonts w:cs="Times New Roman"/>
          <w:b/>
          <w:szCs w:val="24"/>
        </w:rPr>
      </w:pPr>
    </w:p>
    <w:p>
      <w:pPr>
        <w:adjustRightInd/>
        <w:ind w:firstLine="0"/>
        <w:rPr>
          <w:rFonts w:cs="Times New Roman"/>
          <w:szCs w:val="24"/>
          <w:shd w:val="clear" w:color="auto" w:fill="FFFFFF"/>
        </w:rPr>
      </w:pPr>
      <w:r>
        <w:rPr>
          <w:rFonts w:cs="Times New Roman"/>
          <w:szCs w:val="24"/>
        </w:rPr>
        <w:t xml:space="preserve">This section of the public comment report details the key recommendations of the CCWG-Accountability. </w:t>
      </w:r>
    </w:p>
    <w:p>
      <w:pPr>
        <w:adjustRightInd/>
        <w:ind w:firstLine="0"/>
        <w:rPr>
          <w:rFonts w:cs="Times New Roman"/>
          <w:szCs w:val="24"/>
          <w:shd w:val="clear" w:color="auto" w:fill="FFFFFF"/>
        </w:rPr>
      </w:pPr>
    </w:p>
    <w:p>
      <w:pPr>
        <w:adjustRightInd/>
        <w:ind w:firstLine="0"/>
        <w:rPr>
          <w:rFonts w:cs="Times New Roman"/>
          <w:szCs w:val="24"/>
          <w:shd w:val="clear" w:color="auto" w:fill="FFFFFF"/>
        </w:rPr>
      </w:pPr>
    </w:p>
    <w:p>
      <w:pPr>
        <w:adjustRightInd/>
        <w:ind w:firstLine="0"/>
        <w:rPr>
          <w:rFonts w:cs="Times New Roman"/>
          <w:szCs w:val="24"/>
          <w:shd w:val="clear" w:color="auto" w:fill="FFFFFF"/>
        </w:rPr>
      </w:pPr>
    </w:p>
    <w:p>
      <w:pPr>
        <w:widowControl w:val="0"/>
        <w:autoSpaceDE w:val="0"/>
        <w:autoSpaceDN w:val="0"/>
        <w:ind w:left="0" w:firstLine="0"/>
        <w:rPr>
          <w:rFonts w:ascii="Times New Roman" w:eastAsia="Times New Roman" w:hAnsi="Times New Roman" w:cs="Times New Roman"/>
          <w:sz w:val="24"/>
          <w:szCs w:val="24"/>
        </w:rPr>
        <w:sectPr>
          <w:headerReference w:type="default" r:id="rId9"/>
          <w:footerReference w:type="default" r:id="rId10"/>
          <w:headerReference w:type="first" r:id="rId11"/>
          <w:footerReference w:type="first" r:id="rId12"/>
          <w:pgSz w:w="12240" w:h="15840"/>
          <w:pgMar w:top="1440" w:right="1800" w:bottom="1440" w:left="1800" w:header="720" w:footer="720" w:gutter="0"/>
          <w:cols w:space="720"/>
          <w:noEndnote/>
        </w:sectPr>
      </w:pPr>
    </w:p>
    <w:p>
      <w:pPr>
        <w:widowControl w:val="0"/>
        <w:autoSpaceDE w:val="0"/>
        <w:autoSpaceDN w:val="0"/>
        <w:ind w:left="0" w:firstLine="0"/>
        <w:rPr>
          <w:rFonts w:ascii="Arial" w:eastAsia="Times New Roman" w:hAnsi="Arial" w:cs="Times New Roman"/>
          <w:sz w:val="24"/>
          <w:szCs w:val="24"/>
        </w:rPr>
      </w:pPr>
    </w:p>
    <w:p>
      <w:pPr>
        <w:widowControl w:val="0"/>
        <w:autoSpaceDE w:val="0"/>
        <w:autoSpaceDN w:val="0"/>
        <w:ind w:left="0" w:firstLine="0"/>
        <w:rPr>
          <w:rFonts w:ascii="Arial" w:eastAsia="Times New Roman" w:hAnsi="Arial" w:cs="Times New Roman"/>
          <w:sz w:val="24"/>
          <w:szCs w:val="24"/>
        </w:rPr>
      </w:pPr>
    </w:p>
    <w:tbl>
      <w:tblPr>
        <w:tblW w:w="0" w:type="auto"/>
        <w:tblInd w:w="380" w:type="dxa"/>
        <w:tblLayout w:type="fixed"/>
        <w:tblCellMar>
          <w:left w:w="60" w:type="dxa"/>
          <w:right w:w="60" w:type="dxa"/>
        </w:tblCellMar>
        <w:tblLook w:val="0000"/>
      </w:tblPr>
      <w:tblGrid>
        <w:gridCol w:w="6200"/>
        <w:gridCol w:w="1800"/>
      </w:tblGrid>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Summary report: </w:t>
            </w:r>
          </w:p>
          <w:p>
            <w:pPr>
              <w:widowControl w:val="0"/>
              <w:autoSpaceDE w:val="0"/>
              <w:autoSpaceDN w:val="0"/>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Litéra® Change-Pro TDC 7.5.0.145 Document comparison done on 7/28/2015 7:46:19 PM</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Style name: </w:t>
            </w:r>
            <w:r>
              <w:rPr>
                <w:rFonts w:ascii="Times New Roman" w:eastAsia="Times New Roman" w:hAnsi="Times New Roman" w:cs="Times New Roman"/>
                <w:color w:val="000000"/>
                <w:sz w:val="24"/>
                <w:szCs w:val="24"/>
                <w:u w:color="000000"/>
                <w:shd w:val="clear" w:color="auto" w:fill="FFFFFF"/>
              </w:rPr>
              <w:t>Sidley Default</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Intelligent Table Comparison: </w:t>
            </w:r>
            <w:r>
              <w:rPr>
                <w:rFonts w:ascii="Times New Roman" w:eastAsia="Times New Roman" w:hAnsi="Times New Roman" w:cs="Times New Roman"/>
                <w:color w:val="000000"/>
                <w:sz w:val="24"/>
                <w:szCs w:val="24"/>
                <w:u w:color="000000"/>
                <w:shd w:val="clear" w:color="auto" w:fill="FFFFFF"/>
              </w:rPr>
              <w:t>Active</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Original DMS:</w:t>
            </w:r>
            <w:r>
              <w:rPr>
                <w:rFonts w:ascii="Times New Roman" w:eastAsia="Times New Roman" w:hAnsi="Times New Roman" w:cs="Times New Roman"/>
                <w:color w:val="000000"/>
                <w:sz w:val="24"/>
                <w:szCs w:val="24"/>
                <w:u w:color="000000"/>
                <w:shd w:val="clear" w:color="auto" w:fill="FFFFFF"/>
              </w:rPr>
              <w:t>iw://SIDLEYDMS/ACTIVE/209401199/1</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Modified DMS: </w:t>
            </w:r>
            <w:r>
              <w:rPr>
                <w:rFonts w:ascii="Times New Roman" w:eastAsia="Times New Roman" w:hAnsi="Times New Roman" w:cs="Times New Roman"/>
                <w:color w:val="000000"/>
                <w:sz w:val="24"/>
                <w:szCs w:val="24"/>
                <w:u w:color="000000"/>
                <w:shd w:val="clear" w:color="auto" w:fill="FFFFFF"/>
              </w:rPr>
              <w:t>iw://SIDLEYDMS/ACTIVE/209401199/2</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Changes: </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double" w:color="0000FF"/>
                <w:shd w:val="clear" w:color="auto" w:fill="FFFFFF"/>
              </w:rPr>
              <w:t xml:space="preserve">Add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3</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strike/>
                <w:color w:val="FF0000"/>
                <w:sz w:val="24"/>
                <w:szCs w:val="24"/>
                <w:u w:color="FF0000"/>
                <w:shd w:val="clear" w:color="auto" w:fill="FFFFFF"/>
              </w:rPr>
              <w:t xml:space="preserve">Delete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3</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strike/>
                <w:color w:val="008000"/>
                <w:sz w:val="24"/>
                <w:szCs w:val="24"/>
                <w:u w:color="008000"/>
                <w:shd w:val="clear" w:color="auto" w:fill="FFFFFF"/>
              </w:rPr>
              <w:t>Move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u w:val="double" w:color="008000"/>
                <w:shd w:val="clear" w:color="auto" w:fill="FFFFFF"/>
              </w:rPr>
              <w:t>Move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color="0000FF"/>
                <w:shd w:val="clear" w:color="auto" w:fill="FFFFFF"/>
              </w:rPr>
              <w:t>Table Insert</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strike/>
                <w:color w:val="FF0000"/>
                <w:sz w:val="24"/>
                <w:szCs w:val="24"/>
                <w:u w:color="FF0000"/>
                <w:shd w:val="clear" w:color="auto" w:fill="FFFFFF"/>
              </w:rPr>
              <w:t>Table Delete</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u w:val="single" w:color="008000"/>
                <w:shd w:val="clear" w:color="auto" w:fill="FFFFFF"/>
              </w:rPr>
              <w:t>Table moves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strike/>
                <w:color w:val="008000"/>
                <w:sz w:val="24"/>
                <w:szCs w:val="24"/>
                <w:u w:color="008000"/>
                <w:shd w:val="clear" w:color="auto" w:fill="FFFFFF"/>
              </w:rPr>
              <w:t>Table moves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Embedded Graphics (Visio, ChemDraw, Images etc.)</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 xml:space="preserve">Embedded Excel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Format changes</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color="000000"/>
                <w:shd w:val="clear" w:color="auto" w:fill="FFFFFF"/>
              </w:rPr>
              <w:t xml:space="preserve">Total Changes: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ind w:left="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color="000000"/>
                <w:shd w:val="clear" w:color="auto" w:fill="FFFFFF"/>
              </w:rPr>
              <w:t>6</w:t>
            </w:r>
          </w:p>
        </w:tc>
      </w:tr>
    </w:tbl>
    <w:p>
      <w:pPr>
        <w:widowControl w:val="0"/>
        <w:autoSpaceDE w:val="0"/>
        <w:autoSpaceDN w:val="0"/>
        <w:ind w:left="0" w:firstLine="0"/>
        <w:rPr>
          <w:rFonts w:ascii="Arial" w:eastAsia="Times New Roman" w:hAnsi="Arial" w:cs="Times New Roman"/>
          <w:sz w:val="24"/>
          <w:szCs w:val="24"/>
        </w:rPr>
      </w:pPr>
    </w:p>
    <w:p>
      <w:pPr>
        <w:adjustRightInd/>
        <w:ind w:firstLine="0"/>
        <w:rPr>
          <w:rFonts w:cs="Times New Roman"/>
          <w:szCs w:val="24"/>
        </w:rPr>
      </w:pPr>
    </w:p>
    <w:sectPr>
      <w:headerReference w:type="default" r:id="rId13"/>
      <w:footerReference w:type="default" r:id="rId14"/>
      <w:headerReference w:type="first" r:id="rId15"/>
      <w:footerReference w:type="first" r:id="rId16"/>
      <w:pgSz w:w="12240" w:h="15840"/>
      <w:pgMar w:top="1440" w:right="1440" w:bottom="1440" w:left="1800" w:header="72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w:date="2015-07-25T10:35:00Z" w:initials="">
    <w:p>
      <w:pPr>
        <w:pStyle w:val="CommentText"/>
        <w:adjustRightInd/>
        <w:rPr>
          <w:rFonts w:cs="Times New Roman"/>
        </w:rPr>
      </w:pPr>
      <w:r>
        <w:rPr>
          <w:rFonts w:cs="Times New Roman"/>
        </w:rPr>
        <w:t>Should be “Independent Appeals Mechanism” per slide 3 of visual summary.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rPr>
        <w:rFonts w:cs="Times New Roman"/>
        <w:szCs w:val="24"/>
      </w:rPr>
    </w:pPr>
    <w:r>
      <w:rPr>
        <w:rFonts w:cs="Times New Roman"/>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rPr>
        <w:rFonts w:cs="Times New Roman"/>
        <w:szCs w:val="24"/>
      </w:rPr>
    </w:pPr>
    <w:r>
      <w:rPr>
        <w:rFonts w:cs="Times New Roman"/>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ind w:left="0" w:firstLine="0"/>
      <w:rPr>
        <w:rFonts w:ascii="Times New Roman" w:eastAsia="Times New Roman" w:hAnsi="Times New Roman" w:cs="Times New Roman"/>
        <w:sz w:val="24"/>
        <w:szCs w:val="24"/>
      </w:rPr>
    </w:pPr>
  </w:p>
  <w:p>
    <w:pPr>
      <w:widowControl w:val="0"/>
      <w:autoSpaceDE w:val="0"/>
      <w:autoSpaceDN w:val="0"/>
      <w:ind w:left="0" w:firstLine="0"/>
      <w:rPr>
        <w:rFonts w:ascii="Times New Roman" w:eastAsia="Times New Roman" w:hAnsi="Times New Roman" w:cs="Times New Roman"/>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ind w:left="0" w:firstLine="0"/>
      <w:rPr>
        <w:rFonts w:ascii="Times New Roman" w:eastAsia="Times New Roman" w:hAnsi="Times New Roman" w:cs="Times New Roman"/>
        <w:sz w:val="24"/>
        <w:szCs w:val="24"/>
      </w:rPr>
    </w:pPr>
  </w:p>
  <w:p>
    <w:pPr>
      <w:widowControl w:val="0"/>
      <w:autoSpaceDE w:val="0"/>
      <w:autoSpaceDN w:val="0"/>
      <w:ind w:left="0" w:firstLine="0"/>
      <w:rPr>
        <w:rFonts w:ascii="Times New Roman" w:eastAsia="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rPr>
        <w:rFonts w:cs="Times New Roman"/>
        <w:szCs w:val="24"/>
      </w:rPr>
    </w:pPr>
    <w:r>
      <w:rPr>
        <w:rFonts w:cs="Times New Roman"/>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rPr>
        <w:rFonts w:cs="Times New Roman"/>
        <w:szCs w:val="24"/>
      </w:rPr>
    </w:pPr>
    <w:r>
      <w:rPr>
        <w:rFonts w:cs="Times New Roman"/>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ind w:left="0" w:firstLine="0"/>
      <w:rPr>
        <w:rFonts w:ascii="Times New Roman" w:eastAsia="Times New Roman" w:hAnsi="Times New Roman" w:cs="Times New Roman"/>
        <w:sz w:val="24"/>
        <w:szCs w:val="24"/>
      </w:rPr>
    </w:pPr>
  </w:p>
  <w:p>
    <w:pPr>
      <w:widowControl w:val="0"/>
      <w:autoSpaceDE w:val="0"/>
      <w:autoSpaceDN w:val="0"/>
      <w:ind w:left="0" w:firstLine="0"/>
      <w:rPr>
        <w:rFonts w:ascii="Times New Roman" w:eastAsia="Times New Roman" w:hAnsi="Times New Roman" w:cs="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ind w:left="0" w:firstLine="0"/>
      <w:rPr>
        <w:rFonts w:ascii="Times New Roman" w:eastAsia="Times New Roman" w:hAnsi="Times New Roman" w:cs="Times New Roman"/>
        <w:sz w:val="24"/>
        <w:szCs w:val="24"/>
      </w:rPr>
    </w:pPr>
  </w:p>
  <w:p>
    <w:pPr>
      <w:widowControl w:val="0"/>
      <w:autoSpaceDE w:val="0"/>
      <w:autoSpaceDN w:val="0"/>
      <w:ind w:left="0" w:firstLine="0"/>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0B20"/>
    <w:multiLevelType w:val="multilevel"/>
    <w:tmpl w:val="8884C562"/>
    <w:lvl w:ilvl="0">
      <w:start w:val="1"/>
      <w:numFmt w:val="bullet"/>
      <w:lvlText w:val=""/>
      <w:lvlJc w:val="left"/>
      <w:pPr>
        <w:ind w:left="7980" w:hanging="360"/>
      </w:pPr>
      <w:rPr>
        <w:rFonts w:ascii="Wingdings" w:hAnsi="Wingdings"/>
        <w:strike w:val="0"/>
        <w:dstrike w:val="0"/>
        <w:color w:val="1768B1"/>
      </w:rPr>
    </w:lvl>
    <w:lvl w:ilvl="1">
      <w:start w:val="1"/>
      <w:numFmt w:val="bullet"/>
      <w:lvlText w:val=""/>
      <w:lvlJc w:val="left"/>
      <w:pPr>
        <w:ind w:left="1440" w:hanging="360"/>
      </w:pPr>
      <w:rPr>
        <w:rFonts w:ascii="Wingdings" w:hAnsi="Wingdings"/>
        <w:strike w:val="0"/>
        <w:dstrike w:val="0"/>
      </w:rPr>
    </w:lvl>
    <w:lvl w:ilvl="2">
      <w:start w:val="1"/>
      <w:numFmt w:val="bullet"/>
      <w:lvlText w:val=""/>
      <w:lvlJc w:val="left"/>
      <w:pPr>
        <w:ind w:hanging="360"/>
      </w:pPr>
      <w:rPr>
        <w:rFonts w:ascii="Wingdings" w:hAnsi="Wingdings"/>
        <w:strike w:val="0"/>
        <w:dstrike w:val="0"/>
      </w:rPr>
    </w:lvl>
    <w:lvl w:ilvl="3">
      <w:start w:val="1"/>
      <w:numFmt w:val="bullet"/>
      <w:lvlText w:val=""/>
      <w:lvlJc w:val="left"/>
      <w:pPr>
        <w:ind w:left="4680" w:hanging="360"/>
      </w:pPr>
      <w:rPr>
        <w:rFonts w:ascii="Wingdings" w:hAnsi="Wingdings"/>
        <w:strike w:val="0"/>
        <w:dstrike w:val="0"/>
      </w:rPr>
    </w:lvl>
    <w:lvl w:ilvl="4">
      <w:start w:val="1"/>
      <w:numFmt w:val="bullet"/>
      <w:lvlText w:val="o"/>
      <w:lvlJc w:val="left"/>
      <w:pPr>
        <w:ind w:hanging="360"/>
      </w:pPr>
      <w:rPr>
        <w:rFonts w:ascii="Courier New" w:hAnsi="Courier New"/>
        <w:strike w:val="0"/>
        <w:dstrike w:val="0"/>
      </w:rPr>
    </w:lvl>
    <w:lvl w:ilvl="5">
      <w:start w:val="1"/>
      <w:numFmt w:val="bullet"/>
      <w:lvlText w:val=""/>
      <w:lvlJc w:val="left"/>
      <w:pPr>
        <w:ind w:hanging="360"/>
      </w:pPr>
      <w:rPr>
        <w:rFonts w:ascii="Wingdings" w:hAnsi="Wingdings"/>
        <w:strike w:val="0"/>
        <w:dstrike w:val="0"/>
      </w:rPr>
    </w:lvl>
    <w:lvl w:ilvl="6">
      <w:start w:val="1"/>
      <w:numFmt w:val="bullet"/>
      <w:lvlText w:val=""/>
      <w:lvlJc w:val="left"/>
      <w:pPr>
        <w:ind w:hanging="360"/>
      </w:pPr>
      <w:rPr>
        <w:rFonts w:ascii="Symbol" w:hAnsi="Symbol"/>
        <w:strike w:val="0"/>
        <w:dstrike w:val="0"/>
      </w:rPr>
    </w:lvl>
    <w:lvl w:ilvl="7">
      <w:start w:val="1"/>
      <w:numFmt w:val="bullet"/>
      <w:lvlText w:val="o"/>
      <w:lvlJc w:val="left"/>
      <w:pPr>
        <w:ind w:hanging="360"/>
      </w:pPr>
      <w:rPr>
        <w:rFonts w:ascii="Courier New" w:hAnsi="Courier New"/>
        <w:strike w:val="0"/>
        <w:dstrike w:val="0"/>
      </w:rPr>
    </w:lvl>
    <w:lvl w:ilvl="8">
      <w:start w:val="1"/>
      <w:numFmt w:val="bullet"/>
      <w:lvlText w:val=""/>
      <w:lvlJc w:val="left"/>
      <w:pPr>
        <w:ind w:hanging="360"/>
      </w:pPr>
      <w:rPr>
        <w:rFonts w:ascii="Wingdings" w:hAnsi="Wingdings"/>
        <w:strike w:val="0"/>
        <w:dstrike w:val="0"/>
      </w:rPr>
    </w:lvl>
  </w:abstractNum>
  <w:abstractNum w:abstractNumId="1">
    <w:nsid w:val="25031726"/>
    <w:multiLevelType w:val="multilevel"/>
    <w:tmpl w:val="0656671A"/>
    <w:lvl w:ilvl="0">
      <w:start w:val="1"/>
      <w:numFmt w:val="bullet"/>
      <w:pStyle w:val="Bullets"/>
      <w:lvlText w:val=""/>
      <w:lvlJc w:val="left"/>
      <w:pPr>
        <w:ind w:left="7980" w:hanging="360"/>
      </w:pPr>
      <w:rPr>
        <w:rFonts w:ascii="Wingdings" w:hAnsi="Wingdings"/>
        <w:strike w:val="0"/>
        <w:dstrike w:val="0"/>
        <w:color w:val="auto"/>
      </w:rPr>
    </w:lvl>
    <w:lvl w:ilvl="1">
      <w:start w:val="1"/>
      <w:numFmt w:val="bullet"/>
      <w:lvlText w:val=""/>
      <w:lvlJc w:val="left"/>
      <w:pPr>
        <w:ind w:hanging="360"/>
      </w:pPr>
      <w:rPr>
        <w:rFonts w:ascii="Wingdings" w:hAnsi="Wingdings"/>
        <w:strike w:val="0"/>
        <w:dstrike w:val="0"/>
        <w:color w:val="auto"/>
      </w:rPr>
    </w:lvl>
    <w:lvl w:ilvl="2">
      <w:start w:val="1"/>
      <w:numFmt w:val="bullet"/>
      <w:lvlText w:val=""/>
      <w:lvlJc w:val="left"/>
      <w:pPr>
        <w:ind w:hanging="360"/>
      </w:pPr>
      <w:rPr>
        <w:rFonts w:ascii="Wingdings" w:hAnsi="Wingdings"/>
        <w:strike w:val="0"/>
        <w:dstrike w:val="0"/>
      </w:rPr>
    </w:lvl>
    <w:lvl w:ilvl="3">
      <w:start w:val="1"/>
      <w:numFmt w:val="bullet"/>
      <w:lvlText w:val=""/>
      <w:lvlJc w:val="left"/>
      <w:pPr>
        <w:ind w:left="4680" w:hanging="360"/>
      </w:pPr>
      <w:rPr>
        <w:rFonts w:ascii="Wingdings" w:hAnsi="Wingdings"/>
        <w:strike w:val="0"/>
        <w:dstrike w:val="0"/>
      </w:rPr>
    </w:lvl>
    <w:lvl w:ilvl="4">
      <w:start w:val="1"/>
      <w:numFmt w:val="bullet"/>
      <w:lvlText w:val="o"/>
      <w:lvlJc w:val="left"/>
      <w:pPr>
        <w:ind w:hanging="360"/>
      </w:pPr>
      <w:rPr>
        <w:rFonts w:ascii="Courier New" w:hAnsi="Courier New"/>
        <w:strike w:val="0"/>
        <w:dstrike w:val="0"/>
      </w:rPr>
    </w:lvl>
    <w:lvl w:ilvl="5">
      <w:start w:val="1"/>
      <w:numFmt w:val="bullet"/>
      <w:lvlText w:val=""/>
      <w:lvlJc w:val="left"/>
      <w:pPr>
        <w:ind w:hanging="360"/>
      </w:pPr>
      <w:rPr>
        <w:rFonts w:ascii="Wingdings" w:hAnsi="Wingdings"/>
        <w:strike w:val="0"/>
        <w:dstrike w:val="0"/>
      </w:rPr>
    </w:lvl>
    <w:lvl w:ilvl="6">
      <w:start w:val="1"/>
      <w:numFmt w:val="bullet"/>
      <w:lvlText w:val=""/>
      <w:lvlJc w:val="left"/>
      <w:pPr>
        <w:ind w:hanging="360"/>
      </w:pPr>
      <w:rPr>
        <w:rFonts w:ascii="Symbol" w:hAnsi="Symbol"/>
        <w:strike w:val="0"/>
        <w:dstrike w:val="0"/>
      </w:rPr>
    </w:lvl>
    <w:lvl w:ilvl="7">
      <w:start w:val="1"/>
      <w:numFmt w:val="bullet"/>
      <w:lvlText w:val="o"/>
      <w:lvlJc w:val="left"/>
      <w:pPr>
        <w:ind w:hanging="360"/>
      </w:pPr>
      <w:rPr>
        <w:rFonts w:ascii="Courier New" w:hAnsi="Courier New"/>
        <w:strike w:val="0"/>
        <w:dstrike w:val="0"/>
      </w:rPr>
    </w:lvl>
    <w:lvl w:ilvl="8">
      <w:start w:val="1"/>
      <w:numFmt w:val="bullet"/>
      <w:lvlText w:val=""/>
      <w:lvlJc w:val="left"/>
      <w:pPr>
        <w:ind w:hanging="360"/>
      </w:pPr>
      <w:rPr>
        <w:rFonts w:ascii="Wingdings" w:hAnsi="Wingdings"/>
        <w:strike w:val="0"/>
        <w:dstrike w:val="0"/>
      </w:rPr>
    </w:lvl>
  </w:abstractNum>
  <w:abstractNum w:abstractNumId="2">
    <w:nsid w:val="39967E58"/>
    <w:multiLevelType w:val="multilevel"/>
    <w:tmpl w:val="AE0CA02E"/>
    <w:lvl w:ilvl="0">
      <w:start w:val="1"/>
      <w:numFmt w:val="decimal"/>
      <w:lvlText w:val="%1."/>
      <w:lvlJc w:val="left"/>
      <w:pPr>
        <w:tabs>
          <w:tab w:val="left" w:pos="720"/>
        </w:tabs>
        <w:ind w:left="720" w:hanging="720"/>
      </w:pPr>
      <w:rPr>
        <w:strike w:val="0"/>
        <w:dstrike w:val="0"/>
      </w:rPr>
    </w:lvl>
    <w:lvl w:ilvl="1">
      <w:start w:val="1"/>
      <w:numFmt w:val="decimal"/>
      <w:lvlText w:val="%2."/>
      <w:lvlJc w:val="left"/>
      <w:pPr>
        <w:tabs>
          <w:tab w:val="left" w:pos="1440"/>
        </w:tabs>
        <w:ind w:left="1440" w:hanging="720"/>
      </w:pPr>
      <w:rPr>
        <w:strike w:val="0"/>
        <w:dstrike w:val="0"/>
      </w:rPr>
    </w:lvl>
    <w:lvl w:ilvl="2">
      <w:start w:val="1"/>
      <w:numFmt w:val="decimal"/>
      <w:lvlText w:val="%3."/>
      <w:lvlJc w:val="left"/>
      <w:pPr>
        <w:tabs>
          <w:tab w:val="left" w:pos="2160"/>
        </w:tabs>
        <w:ind w:left="2160" w:hanging="720"/>
      </w:pPr>
      <w:rPr>
        <w:strike w:val="0"/>
        <w:dstrike w:val="0"/>
      </w:rPr>
    </w:lvl>
    <w:lvl w:ilvl="3">
      <w:start w:val="1"/>
      <w:numFmt w:val="decimal"/>
      <w:lvlText w:val="%4."/>
      <w:lvlJc w:val="left"/>
      <w:pPr>
        <w:tabs>
          <w:tab w:val="left" w:pos="2880"/>
        </w:tabs>
        <w:ind w:left="2880" w:hanging="720"/>
      </w:pPr>
      <w:rPr>
        <w:strike w:val="0"/>
        <w:dstrike w:val="0"/>
      </w:rPr>
    </w:lvl>
    <w:lvl w:ilvl="4">
      <w:start w:val="1"/>
      <w:numFmt w:val="decimal"/>
      <w:lvlText w:val="%5."/>
      <w:lvlJc w:val="left"/>
      <w:pPr>
        <w:tabs>
          <w:tab w:val="left" w:pos="3600"/>
        </w:tabs>
        <w:ind w:left="3600" w:hanging="720"/>
      </w:pPr>
      <w:rPr>
        <w:strike w:val="0"/>
        <w:dstrike w:val="0"/>
      </w:rPr>
    </w:lvl>
    <w:lvl w:ilvl="5">
      <w:start w:val="1"/>
      <w:numFmt w:val="decimal"/>
      <w:lvlText w:val="%6."/>
      <w:lvlJc w:val="left"/>
      <w:pPr>
        <w:tabs>
          <w:tab w:val="left" w:pos="4320"/>
        </w:tabs>
        <w:ind w:left="4320" w:hanging="720"/>
      </w:pPr>
      <w:rPr>
        <w:strike w:val="0"/>
        <w:dstrike w:val="0"/>
      </w:rPr>
    </w:lvl>
    <w:lvl w:ilvl="6">
      <w:start w:val="1"/>
      <w:numFmt w:val="decimal"/>
      <w:lvlText w:val="%7."/>
      <w:lvlJc w:val="left"/>
      <w:pPr>
        <w:tabs>
          <w:tab w:val="left" w:pos="5040"/>
        </w:tabs>
        <w:ind w:left="5040" w:hanging="720"/>
      </w:pPr>
      <w:rPr>
        <w:strike w:val="0"/>
        <w:dstrike w:val="0"/>
      </w:rPr>
    </w:lvl>
    <w:lvl w:ilvl="7">
      <w:start w:val="1"/>
      <w:numFmt w:val="decimal"/>
      <w:lvlText w:val="%8."/>
      <w:lvlJc w:val="left"/>
      <w:pPr>
        <w:tabs>
          <w:tab w:val="left" w:pos="5760"/>
        </w:tabs>
        <w:ind w:left="5760" w:hanging="720"/>
      </w:pPr>
      <w:rPr>
        <w:strike w:val="0"/>
        <w:dstrike w:val="0"/>
      </w:rPr>
    </w:lvl>
    <w:lvl w:ilvl="8">
      <w:start w:val="1"/>
      <w:numFmt w:val="decimal"/>
      <w:lvlText w:val="%9."/>
      <w:lvlJc w:val="left"/>
      <w:pPr>
        <w:tabs>
          <w:tab w:val="left" w:pos="6480"/>
        </w:tabs>
        <w:ind w:left="6480" w:hanging="720"/>
      </w:pPr>
      <w:rPr>
        <w:strike w:val="0"/>
        <w:dstrike w:val="0"/>
      </w:rPr>
    </w:lvl>
  </w:abstractNum>
  <w:abstractNum w:abstractNumId="3">
    <w:nsid w:val="49CD137B"/>
    <w:multiLevelType w:val="multilevel"/>
    <w:tmpl w:val="9634F154"/>
    <w:lvl w:ilvl="0">
      <w:start w:val="1"/>
      <w:numFmt w:val="decimal"/>
      <w:lvlText w:val="%1)"/>
      <w:lvlJc w:val="left"/>
      <w:pPr>
        <w:ind w:left="360" w:hanging="360"/>
      </w:pPr>
      <w:rPr>
        <w:strike w:val="0"/>
        <w:dstrike w:val="0"/>
      </w:rPr>
    </w:lvl>
    <w:lvl w:ilvl="1">
      <w:start w:val="1"/>
      <w:numFmt w:val="decimal"/>
      <w:lvlText w:val="%1.%2"/>
      <w:lvlJc w:val="left"/>
      <w:pPr>
        <w:ind w:left="540" w:hanging="540"/>
      </w:pPr>
      <w:rPr>
        <w:strike w:val="0"/>
        <w:dstrike w:val="0"/>
      </w:rPr>
    </w:lvl>
    <w:lvl w:ilvl="2">
      <w:start w:val="1"/>
      <w:numFmt w:val="decimal"/>
      <w:lvlText w:val="%1.%2.%3"/>
      <w:lvlJc w:val="left"/>
      <w:pPr>
        <w:ind w:left="720" w:hanging="720"/>
      </w:pPr>
      <w:rPr>
        <w:strike w:val="0"/>
        <w:dstrike w:val="0"/>
      </w:rPr>
    </w:lvl>
    <w:lvl w:ilvl="3">
      <w:start w:val="1"/>
      <w:numFmt w:val="decimal"/>
      <w:lvlText w:val="%1.%2.%3.%4"/>
      <w:lvlJc w:val="left"/>
      <w:pPr>
        <w:ind w:left="720" w:hanging="720"/>
      </w:pPr>
      <w:rPr>
        <w:strike w:val="0"/>
        <w:dstrike w:val="0"/>
      </w:rPr>
    </w:lvl>
    <w:lvl w:ilvl="4">
      <w:start w:val="1"/>
      <w:numFmt w:val="decimal"/>
      <w:lvlText w:val="%1.%2.%3.%4.%5"/>
      <w:lvlJc w:val="left"/>
      <w:pPr>
        <w:ind w:left="1080" w:hanging="1080"/>
      </w:pPr>
      <w:rPr>
        <w:strike w:val="0"/>
        <w:dstrike w:val="0"/>
      </w:rPr>
    </w:lvl>
    <w:lvl w:ilvl="5">
      <w:start w:val="1"/>
      <w:numFmt w:val="decimal"/>
      <w:lvlText w:val="%1.%2.%3.%4.%5.%6"/>
      <w:lvlJc w:val="left"/>
      <w:pPr>
        <w:ind w:left="1080" w:hanging="1080"/>
      </w:pPr>
      <w:rPr>
        <w:strike w:val="0"/>
        <w:dstrike w:val="0"/>
      </w:rPr>
    </w:lvl>
    <w:lvl w:ilvl="6">
      <w:start w:val="1"/>
      <w:numFmt w:val="decimal"/>
      <w:lvlText w:val="%1.%2.%3.%4.%5.%6.%7"/>
      <w:lvlJc w:val="left"/>
      <w:pPr>
        <w:ind w:left="1440" w:hanging="1440"/>
      </w:pPr>
      <w:rPr>
        <w:strike w:val="0"/>
        <w:dstrike w:val="0"/>
      </w:rPr>
    </w:lvl>
    <w:lvl w:ilvl="7">
      <w:start w:val="1"/>
      <w:numFmt w:val="decimal"/>
      <w:lvlText w:val="%1.%2.%3.%4.%5.%6.%7.%8"/>
      <w:lvlJc w:val="left"/>
      <w:pPr>
        <w:ind w:left="1440" w:hanging="1440"/>
      </w:pPr>
      <w:rPr>
        <w:strike w:val="0"/>
        <w:dstrike w:val="0"/>
      </w:rPr>
    </w:lvl>
    <w:lvl w:ilvl="8">
      <w:start w:val="1"/>
      <w:numFmt w:val="decimal"/>
      <w:lvlText w:val="%1.%2.%3.%4.%5.%6.%7.%8.%9"/>
      <w:lvlJc w:val="left"/>
      <w:pPr>
        <w:ind w:left="1800" w:hanging="1800"/>
      </w:pPr>
      <w:rPr>
        <w:strike w:val="0"/>
        <w:dstrike w:val="0"/>
      </w:rPr>
    </w:lvl>
  </w:abstractNum>
  <w:abstractNum w:abstractNumId="4">
    <w:nsid w:val="761C66F2"/>
    <w:multiLevelType w:val="multilevel"/>
    <w:tmpl w:val="DBC82302"/>
    <w:lvl w:ilvl="0">
      <w:start w:val="1"/>
      <w:numFmt w:val="bullet"/>
      <w:lvlText w:val=""/>
      <w:lvlJc w:val="left"/>
      <w:pPr>
        <w:ind w:left="7980" w:hanging="360"/>
      </w:pPr>
      <w:rPr>
        <w:rFonts w:ascii="Wingdings" w:hAnsi="Wingdings"/>
        <w:strike w:val="0"/>
        <w:dstrike w:val="0"/>
        <w:color w:val="1768B1"/>
      </w:rPr>
    </w:lvl>
    <w:lvl w:ilvl="1">
      <w:start w:val="1"/>
      <w:numFmt w:val="bullet"/>
      <w:lvlText w:val=""/>
      <w:lvlJc w:val="left"/>
      <w:pPr>
        <w:ind w:hanging="360"/>
      </w:pPr>
      <w:rPr>
        <w:rFonts w:ascii="Wingdings" w:hAnsi="Wingdings"/>
        <w:strike w:val="0"/>
        <w:dstrike w:val="0"/>
        <w:color w:val="auto"/>
      </w:rPr>
    </w:lvl>
    <w:lvl w:ilvl="2">
      <w:start w:val="1"/>
      <w:numFmt w:val="bullet"/>
      <w:lvlText w:val=""/>
      <w:lvlJc w:val="left"/>
      <w:pPr>
        <w:ind w:hanging="360"/>
      </w:pPr>
      <w:rPr>
        <w:rFonts w:ascii="Wingdings" w:hAnsi="Wingdings"/>
        <w:strike w:val="0"/>
        <w:dstrike w:val="0"/>
      </w:rPr>
    </w:lvl>
    <w:lvl w:ilvl="3">
      <w:start w:val="1"/>
      <w:numFmt w:val="bullet"/>
      <w:lvlText w:val=""/>
      <w:lvlJc w:val="left"/>
      <w:pPr>
        <w:ind w:left="4680" w:hanging="360"/>
      </w:pPr>
      <w:rPr>
        <w:rFonts w:ascii="Wingdings" w:hAnsi="Wingdings"/>
        <w:strike w:val="0"/>
        <w:dstrike w:val="0"/>
      </w:rPr>
    </w:lvl>
    <w:lvl w:ilvl="4">
      <w:start w:val="1"/>
      <w:numFmt w:val="bullet"/>
      <w:lvlText w:val="o"/>
      <w:lvlJc w:val="left"/>
      <w:pPr>
        <w:ind w:hanging="360"/>
      </w:pPr>
      <w:rPr>
        <w:rFonts w:ascii="Courier New" w:hAnsi="Courier New"/>
        <w:strike w:val="0"/>
        <w:dstrike w:val="0"/>
      </w:rPr>
    </w:lvl>
    <w:lvl w:ilvl="5">
      <w:start w:val="1"/>
      <w:numFmt w:val="bullet"/>
      <w:lvlText w:val=""/>
      <w:lvlJc w:val="left"/>
      <w:pPr>
        <w:ind w:hanging="360"/>
      </w:pPr>
      <w:rPr>
        <w:rFonts w:ascii="Wingdings" w:hAnsi="Wingdings"/>
        <w:strike w:val="0"/>
        <w:dstrike w:val="0"/>
      </w:rPr>
    </w:lvl>
    <w:lvl w:ilvl="6">
      <w:start w:val="1"/>
      <w:numFmt w:val="bullet"/>
      <w:lvlText w:val=""/>
      <w:lvlJc w:val="left"/>
      <w:pPr>
        <w:ind w:hanging="360"/>
      </w:pPr>
      <w:rPr>
        <w:rFonts w:ascii="Symbol" w:hAnsi="Symbol"/>
        <w:strike w:val="0"/>
        <w:dstrike w:val="0"/>
      </w:rPr>
    </w:lvl>
    <w:lvl w:ilvl="7">
      <w:start w:val="1"/>
      <w:numFmt w:val="bullet"/>
      <w:lvlText w:val="o"/>
      <w:lvlJc w:val="left"/>
      <w:pPr>
        <w:ind w:hanging="360"/>
      </w:pPr>
      <w:rPr>
        <w:rFonts w:ascii="Courier New" w:hAnsi="Courier New"/>
        <w:strike w:val="0"/>
        <w:dstrike w:val="0"/>
      </w:rPr>
    </w:lvl>
    <w:lvl w:ilvl="8">
      <w:start w:val="1"/>
      <w:numFmt w:val="bullet"/>
      <w:lvlText w:val=""/>
      <w:lvlJc w:val="left"/>
      <w:pPr>
        <w:ind w:hanging="360"/>
      </w:pPr>
      <w:rPr>
        <w:rFonts w:ascii="Wingdings" w:hAnsi="Wingdings"/>
        <w:strike w:val="0"/>
        <w:dstrike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isplayHorizontalDrawingGridEvery w:val="0"/>
  <w:displayVerticalDrawingGridEvery w:val="3"/>
  <w:doNotUseMarginsForDrawingGridOrigin/>
  <w:drawingGridHorizontalOrigin w:val="180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djustRightInd w:val="0"/>
      <w:ind w:left="360" w:firstLine="360"/>
    </w:pPr>
    <w:rPr>
      <w:rFonts w:ascii="Helvetica" w:eastAsia="MS Mincho" w:hAnsi="Helvetica" w:cs="Helvetica"/>
      <w:sz w:val="22"/>
      <w:szCs w:val="22"/>
    </w:rPr>
  </w:style>
  <w:style w:type="paragraph" w:styleId="Heading1">
    <w:name w:val="heading 1"/>
    <w:aliases w:val="Heading 1 Section"/>
    <w:basedOn w:val="Normal"/>
    <w:next w:val="Normal"/>
    <w:link w:val="Heading1Char"/>
    <w:uiPriority w:val="9"/>
    <w:qFormat/>
    <w:pPr>
      <w:keepNext/>
      <w:keepLines/>
      <w:spacing w:before="280" w:after="280"/>
      <w:ind w:left="0" w:right="2520" w:firstLine="0"/>
      <w:outlineLvl w:val="0"/>
    </w:pPr>
    <w:rPr>
      <w:rFonts w:ascii="Times New Roman" w:eastAsia="Times New Roman" w:hAnsi="Times New Roman" w:cs="Times New Roman"/>
      <w:color w:val="345A8A"/>
      <w:sz w:val="56"/>
      <w:szCs w:val="56"/>
    </w:rPr>
  </w:style>
  <w:style w:type="paragraph" w:styleId="Heading2">
    <w:name w:val="heading 2"/>
    <w:basedOn w:val="Normal"/>
    <w:next w:val="Normal"/>
    <w:link w:val="Heading2Char"/>
    <w:autoRedefine/>
    <w:uiPriority w:val="9"/>
    <w:qFormat/>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color w:val="345A8A"/>
      <w:sz w:val="32"/>
      <w:szCs w:val="32"/>
    </w:rPr>
  </w:style>
  <w:style w:type="character" w:customStyle="1" w:styleId="Heading2Char">
    <w:name w:val="Heading 2 Char"/>
    <w:basedOn w:val="DefaultParagraphFont"/>
    <w:link w:val="Heading2"/>
    <w:uiPriority w:val="9"/>
    <w:rPr>
      <w:rFonts w:ascii="Helvetica" w:eastAsia="MS Gothic" w:hAnsi="Helvetica" w:cs="Helvetica"/>
      <w:sz w:val="32"/>
      <w:szCs w:val="32"/>
    </w:rPr>
  </w:style>
  <w:style w:type="character" w:customStyle="1" w:styleId="SectionTile">
    <w:name w:val="Section Tile"/>
    <w:uiPriority w:val="1"/>
    <w:qFormat/>
    <w:rPr>
      <w:b/>
      <w:bCs/>
      <w:color w:val="1768B1"/>
      <w:sz w:val="56"/>
      <w:szCs w:val="56"/>
    </w:rPr>
  </w:style>
  <w:style w:type="character" w:customStyle="1" w:styleId="Introductorytext">
    <w:name w:val="Introductory text"/>
    <w:uiPriority w:val="1"/>
    <w:qFormat/>
    <w:rPr>
      <w:sz w:val="28"/>
      <w:szCs w:val="28"/>
    </w:rPr>
  </w:style>
  <w:style w:type="paragraph" w:customStyle="1" w:styleId="Bullets">
    <w:name w:val="Bullets"/>
    <w:basedOn w:val="Normal"/>
    <w:autoRedefine/>
    <w:qFormat/>
    <w:pPr>
      <w:numPr>
        <w:numId w:val="2"/>
      </w:numPr>
      <w:spacing w:before="120" w:after="120"/>
      <w:ind w:left="1440"/>
    </w:pPr>
    <w:rPr>
      <w:b/>
      <w:bCs/>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rPr>
      <w:rFonts w:ascii="Helvetica" w:eastAsia="MS Mincho" w:hAnsi="Helvetica" w:cs="Helvetica"/>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rPr>
      <w:rFonts w:ascii="Arial" w:eastAsia="Times New Roman" w:hAnsi="Arial" w:cs="Arial"/>
      <w:sz w:val="18"/>
      <w:szCs w:val="18"/>
    </w:rPr>
  </w:style>
  <w:style w:type="character" w:customStyle="1" w:styleId="BalloonTextChar">
    <w:name w:val="Balloon Text Char"/>
    <w:basedOn w:val="DefaultParagraphFont"/>
    <w:link w:val="BalloonText"/>
    <w:uiPriority w:val="99"/>
    <w:semiHidden/>
    <w:rPr>
      <w:sz w:val="18"/>
      <w:szCs w:val="18"/>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rPr>
      <w:sz w:val="24"/>
      <w:szCs w:val="24"/>
    </w:rPr>
  </w:style>
  <w:style w:type="character" w:customStyle="1" w:styleId="CommentTextChar">
    <w:name w:val="Comment Text Char"/>
    <w:basedOn w:val="DefaultParagraphFont"/>
    <w:link w:val="CommentText"/>
    <w:uiPriority w:val="99"/>
    <w:semiHidden/>
    <w:rPr>
      <w:rFonts w:ascii="Helvetica" w:eastAsia="MS Mincho" w:hAnsi="Helvetica" w:cs="Helvetica"/>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Helvetica"/>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Helvetica"/>
      <w:sz w:val="22"/>
      <w:szCs w:val="22"/>
    </w:rPr>
  </w:style>
  <w:style w:type="character" w:customStyle="1" w:styleId="DocID">
    <w:name w:val="DocID"/>
    <w:basedOn w:val="DefaultParagraphFont"/>
    <w:rPr>
      <w:color w:val="00000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comments.xml" Type="http://schemas.openxmlformats.org/officeDocument/2006/relationships/comments" Id="rId8"></Relationship><Relationship Target="header3.xml" Type="http://schemas.openxmlformats.org/officeDocument/2006/relationships/header" Id="rId13"></Relationship><Relationship Target="theme/theme1.xml" Type="http://schemas.openxmlformats.org/officeDocument/2006/relationships/theme" Id="rId18"></Relationship><Relationship Target="settings.xml" Type="http://schemas.openxmlformats.org/officeDocument/2006/relationships/settings" Id="rId3"></Relationship><Relationship Target="media/image1.png" Type="http://schemas.openxmlformats.org/officeDocument/2006/relationships/image" Id="rId7"></Relationship><Relationship Target="footer2.xml" Type="http://schemas.openxmlformats.org/officeDocument/2006/relationships/footer" Id="rId12"></Relationship><Relationship Target="fontTable.xml" Type="http://schemas.openxmlformats.org/officeDocument/2006/relationships/fontTable" Id="rId17"></Relationship><Relationship Target="styles.xml" Type="http://schemas.openxmlformats.org/officeDocument/2006/relationships/styles" Id="rId2"></Relationship><Relationship Target="footer4.xml" Type="http://schemas.openxmlformats.org/officeDocument/2006/relationships/footer" Id="rId16"></Relationship><Relationship Target="numbering.xml" Type="http://schemas.openxmlformats.org/officeDocument/2006/relationships/numbering" Id="rId1"></Relationship><Relationship Target="endnotes.xml" Type="http://schemas.openxmlformats.org/officeDocument/2006/relationships/endnotes" Id="rId6"></Relationship><Relationship Target="header2.xml" Type="http://schemas.openxmlformats.org/officeDocument/2006/relationships/header" Id="rId11"></Relationship><Relationship Target="footnotes.xml" Type="http://schemas.openxmlformats.org/officeDocument/2006/relationships/footnotes" Id="rId5"></Relationship><Relationship Target="header4.xml" Type="http://schemas.openxmlformats.org/officeDocument/2006/relationships/header" Id="rId15"></Relationship><Relationship Target="footer1.xml" Type="http://schemas.openxmlformats.org/officeDocument/2006/relationships/footer" Id="rId10"></Relationship><Relationship Target="webSettings.xml" Type="http://schemas.openxmlformats.org/officeDocument/2006/relationships/webSettings" Id="rId4"></Relationship><Relationship Target="header1.xml" Type="http://schemas.openxmlformats.org/officeDocument/2006/relationships/header" Id="rId9"></Relationship><Relationship Target="footer3.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209401199v.2</vt:lpwstr>
  </property>
</Properties>
</file>