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This table is designed to provide a framework to help the CCWG compare the Sole Designator and Sole Member models against a range of criteria. Using colour it could end up being a comparison “heat map”, an easy way to see strengths and weaknesses.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Colours could be used intended to highlight various things, with two assumed goals in mind: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Enforceability of the power (so less enforceability is “hotter”)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Least change to the status quo (so more change is “hotter”)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417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9813"/>
        <w:tblGridChange w:id="0">
          <w:tblGrid>
            <w:gridCol w:w="4361"/>
            <w:gridCol w:w="9813"/>
          </w:tblGrid>
        </w:tblGridChange>
      </w:tblGrid>
      <w:tr>
        <w:tc>
          <w:tcPr>
            <w:shd w:fill="00ff00"/>
          </w:tcPr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Green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would be for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more preferred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outcomes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(where the goal </w:t>
            </w:r>
            <w:r w:rsidDel="00000000" w:rsidR="00000000" w:rsidRPr="00000000">
              <w:rPr>
                <w:rtl w:val="0"/>
              </w:rPr>
              <w:t xml:space="preserve">could be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clearest direct accountability powers, least degree of change)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8000"/>
          </w:tcPr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Orange</w:t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Orange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is “less good”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0000"/>
          </w:tcPr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Red</w:t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Red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would be “significant problem”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/>
          </w:tcPr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Grey</w:t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Grey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would be “no difference”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A Google Docs version of this will be filled out by rapporteurs as the CCWG discusses the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Google Doc: </w:t>
      </w:r>
      <w:hyperlink r:id="rId5">
        <w:r w:rsidDel="00000000" w:rsidR="00000000" w:rsidRPr="00000000">
          <w:rPr>
            <w:rFonts w:ascii="Arial" w:cs="Arial" w:eastAsia="Arial" w:hAnsi="Arial"/>
            <w:b w:val="0"/>
            <w:color w:val="1155cc"/>
            <w:sz w:val="22"/>
            <w:szCs w:val="22"/>
            <w:u w:val="single"/>
            <w:rtl w:val="0"/>
          </w:rPr>
          <w:t xml:space="preserve">https://docs.google.com/document/d/1Bu6ze45ONESJyO_f3RCpEafQsb1VAPgCFHtmWsNIIoM/edit?usp=sharing</w:t>
        </w:r>
      </w:hyperlink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Table begins overleaf.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39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205"/>
        <w:gridCol w:w="3360"/>
        <w:gridCol w:w="3240"/>
        <w:tblGridChange w:id="0">
          <w:tblGrid>
            <w:gridCol w:w="2130"/>
            <w:gridCol w:w="5205"/>
            <w:gridCol w:w="3360"/>
            <w:gridCol w:w="3240"/>
          </w:tblGrid>
        </w:tblGridChange>
      </w:tblGrid>
      <w:tr>
        <w:trPr>
          <w:trHeight w:val="42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Sole Designator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Sole 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4"/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Mathieu’s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Enforcement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Direct or indirect enforceability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Worst case enforcement delay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Cost of worst case enforcement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Capture 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Derivative action against Board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Right to dissolve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Balance between the various SOs or ACs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Scope of issues where Board business judgement is applied (the “fiduciary duty” challenge)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Transparency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Access to corporate records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Complexity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Necessity to create legal persons for SOs / ACs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Necessity for individuals to act as legal persons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Ease of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Level of change compared with existing model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4"/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Powers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bookmarkStart w:colFirst="0" w:colLast="0" w:name="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Community Powers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 - level of enforceability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Standard bylaws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Fundamental bylaws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Remove Individual Directors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Recall ICANN Board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Other Powers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 - level of enforceability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IRP outcomes - on Community Powers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IRP outcomes - on other matters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Separations Review - require Board to agree with outcome of Review [check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what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precisely was the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CWG requirement?]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4"/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External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NTIA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 criteria met?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(Break these out?)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CWG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 criteria met?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(Break these out?)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Other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 Tests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 proposal been stress-tested and are they met?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6" w:type="first"/>
      <w:pgSz w:h="11906" w:w="16838"/>
      <w:pgMar w:bottom="1440" w:top="1440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Style w:val="Heading2"/>
      <w:spacing w:before="720" w:lineRule="auto"/>
      <w:contextualSpacing w:val="0"/>
    </w:pPr>
    <w:bookmarkStart w:colFirst="0" w:colLast="0" w:name="h.30j0zll" w:id="1"/>
    <w:bookmarkEnd w:id="1"/>
    <w:r w:rsidDel="00000000" w:rsidR="00000000" w:rsidRPr="00000000">
      <w:rPr>
        <w:rtl w:val="0"/>
      </w:rPr>
      <w:t xml:space="preserve">CCWG: Models Comparison Tool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docs.google.com/document/d/1Bu6ze45ONESJyO_f3RCpEafQsb1VAPgCFHtmWsNIIoM/edit?usp=sharing" TargetMode="External"/><Relationship Id="rId6" Type="http://schemas.openxmlformats.org/officeDocument/2006/relationships/header" Target="header1.xml"/></Relationships>
</file>