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4738C" w14:textId="77777777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bookmarkStart w:id="0" w:name="_GoBack"/>
      <w:bookmarkEnd w:id="0"/>
      <w:r w:rsidRPr="00A13B1A">
        <w:rPr>
          <w:rFonts w:asciiTheme="minorHAnsi" w:hAnsiTheme="minorHAnsi"/>
        </w:rPr>
        <w:t>CCWG Accountability</w:t>
      </w:r>
    </w:p>
    <w:p w14:paraId="0BF19183" w14:textId="77777777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r w:rsidRPr="00A13B1A">
        <w:rPr>
          <w:rFonts w:asciiTheme="minorHAnsi" w:hAnsiTheme="minorHAnsi"/>
        </w:rPr>
        <w:t>Mailing List Discussions</w:t>
      </w:r>
    </w:p>
    <w:p w14:paraId="4D680549" w14:textId="54D89B0E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r w:rsidRPr="00A13B1A">
        <w:rPr>
          <w:rFonts w:asciiTheme="minorHAnsi" w:hAnsiTheme="minorHAnsi"/>
        </w:rPr>
        <w:t xml:space="preserve">Week: </w:t>
      </w:r>
      <w:r w:rsidR="00351E17">
        <w:rPr>
          <w:rFonts w:asciiTheme="minorHAnsi" w:hAnsiTheme="minorHAnsi"/>
        </w:rPr>
        <w:t>1</w:t>
      </w:r>
      <w:r w:rsidR="00D76164">
        <w:rPr>
          <w:rFonts w:asciiTheme="minorHAnsi" w:hAnsiTheme="minorHAnsi"/>
        </w:rPr>
        <w:t>6</w:t>
      </w:r>
      <w:r w:rsidR="00322417">
        <w:rPr>
          <w:rFonts w:asciiTheme="minorHAnsi" w:hAnsiTheme="minorHAnsi"/>
        </w:rPr>
        <w:t xml:space="preserve"> -22</w:t>
      </w:r>
      <w:r w:rsidRPr="00A13B1A">
        <w:rPr>
          <w:rFonts w:asciiTheme="minorHAnsi" w:hAnsiTheme="minorHAnsi"/>
        </w:rPr>
        <w:t xml:space="preserve"> January 2015</w:t>
      </w:r>
    </w:p>
    <w:p w14:paraId="2A9FB24A" w14:textId="77777777" w:rsidR="00B35C31" w:rsidRPr="00A13B1A" w:rsidRDefault="00B35C31" w:rsidP="00B35C31">
      <w:pPr>
        <w:pStyle w:val="Heading2"/>
        <w:rPr>
          <w:rFonts w:asciiTheme="minorHAnsi" w:hAnsiTheme="minorHAnsi"/>
        </w:rPr>
      </w:pPr>
      <w:r w:rsidRPr="00A13B1A">
        <w:rPr>
          <w:rFonts w:asciiTheme="minorHAnsi" w:hAnsiTheme="minorHAnsi"/>
        </w:rPr>
        <w:t>CCWG accountability (</w:t>
      </w:r>
      <w:hyperlink r:id="rId6" w:anchor="start" w:history="1">
        <w:r w:rsidRPr="00A13B1A">
          <w:rPr>
            <w:rStyle w:val="Hyperlink"/>
            <w:rFonts w:asciiTheme="minorHAnsi" w:hAnsiTheme="minorHAnsi" w:cs="Helvetica"/>
          </w:rPr>
          <w:t>archives</w:t>
        </w:r>
      </w:hyperlink>
      <w:r w:rsidRPr="00A13B1A">
        <w:rPr>
          <w:rFonts w:asciiTheme="minorHAnsi" w:hAnsiTheme="minorHAnsi"/>
        </w:rPr>
        <w:t>)</w:t>
      </w:r>
    </w:p>
    <w:p w14:paraId="4B878285" w14:textId="77777777" w:rsidR="00B35C31" w:rsidRPr="00A13B1A" w:rsidRDefault="00B35C31" w:rsidP="00B35C31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8A706A7" w14:textId="77777777" w:rsidR="00B01630" w:rsidRPr="00B01630" w:rsidRDefault="002A7EDA" w:rsidP="00B016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Contingencies</w:t>
      </w:r>
    </w:p>
    <w:p w14:paraId="2AB70272" w14:textId="2A3CA5C5" w:rsidR="00C15305" w:rsidRDefault="004453ED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4453ED">
        <w:rPr>
          <w:rFonts w:cs="Helvetica"/>
        </w:rPr>
        <w:t xml:space="preserve">Members </w:t>
      </w:r>
      <w:r w:rsidR="00760145">
        <w:rPr>
          <w:rFonts w:cs="Helvetica"/>
        </w:rPr>
        <w:t xml:space="preserve">invited </w:t>
      </w:r>
      <w:r w:rsidRPr="004453ED">
        <w:rPr>
          <w:rFonts w:cs="Helvetica"/>
        </w:rPr>
        <w:t>to analyze</w:t>
      </w:r>
      <w:r>
        <w:rPr>
          <w:rFonts w:cs="Helvetica"/>
        </w:rPr>
        <w:t xml:space="preserve"> </w:t>
      </w:r>
      <w:r w:rsidRPr="004453ED">
        <w:rPr>
          <w:rFonts w:cs="Helvetica"/>
        </w:rPr>
        <w:t xml:space="preserve">contingencies and </w:t>
      </w:r>
      <w:r>
        <w:rPr>
          <w:rFonts w:cs="Helvetica"/>
        </w:rPr>
        <w:t xml:space="preserve">to </w:t>
      </w:r>
      <w:r w:rsidRPr="004453ED">
        <w:rPr>
          <w:rFonts w:cs="Helvetica"/>
        </w:rPr>
        <w:t xml:space="preserve">determine whether </w:t>
      </w:r>
      <w:r>
        <w:rPr>
          <w:rFonts w:cs="Helvetica"/>
        </w:rPr>
        <w:t xml:space="preserve">these are </w:t>
      </w:r>
      <w:r w:rsidRPr="004453ED">
        <w:rPr>
          <w:rFonts w:cs="Helvetica"/>
        </w:rPr>
        <w:t xml:space="preserve">addressed by existing </w:t>
      </w:r>
      <w:r w:rsidR="003B004B">
        <w:rPr>
          <w:rFonts w:cs="Helvetica"/>
        </w:rPr>
        <w:t xml:space="preserve">accountability </w:t>
      </w:r>
      <w:r>
        <w:rPr>
          <w:rFonts w:cs="Helvetica"/>
        </w:rPr>
        <w:t>mech</w:t>
      </w:r>
      <w:r w:rsidRPr="004453ED">
        <w:rPr>
          <w:rFonts w:cs="Helvetica"/>
        </w:rPr>
        <w:t>a</w:t>
      </w:r>
      <w:r>
        <w:rPr>
          <w:rFonts w:cs="Helvetica"/>
        </w:rPr>
        <w:t>nis</w:t>
      </w:r>
      <w:r w:rsidRPr="004453ED">
        <w:rPr>
          <w:rFonts w:cs="Helvetica"/>
        </w:rPr>
        <w:t>ms</w:t>
      </w:r>
      <w:r w:rsidR="00760145">
        <w:rPr>
          <w:rFonts w:cs="Helvetica"/>
        </w:rPr>
        <w:t>.</w:t>
      </w:r>
    </w:p>
    <w:p w14:paraId="49E597B8" w14:textId="3F24116E" w:rsidR="0051067B" w:rsidRPr="00D41DAB" w:rsidRDefault="003B004B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D41DAB">
        <w:rPr>
          <w:rFonts w:cs="Helvetica"/>
        </w:rPr>
        <w:t xml:space="preserve">A new contingency suggested </w:t>
      </w:r>
      <w:r>
        <w:rPr>
          <w:rFonts w:cs="Helvetica"/>
        </w:rPr>
        <w:t xml:space="preserve">for the inventory </w:t>
      </w:r>
      <w:r w:rsidRPr="00D41DAB">
        <w:rPr>
          <w:rFonts w:cs="Helvetica"/>
        </w:rPr>
        <w:t>that ICANN delegate or subcontract its obligations under a future IANA agreement to a third party, this presented</w:t>
      </w:r>
      <w:r w:rsidR="00C15305" w:rsidRPr="00D41DAB">
        <w:rPr>
          <w:rFonts w:cs="Helvetica"/>
        </w:rPr>
        <w:t xml:space="preserve"> as a follow-up to the conversation held in Frankfurt. </w:t>
      </w:r>
    </w:p>
    <w:p w14:paraId="07FA528D" w14:textId="77777777" w:rsidR="00372986" w:rsidRDefault="00372986" w:rsidP="00372986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293DA37F" w14:textId="77777777" w:rsidR="004453ED" w:rsidRPr="009362CA" w:rsidRDefault="004453ED" w:rsidP="004453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9362CA">
        <w:rPr>
          <w:rFonts w:cs="Helvetica"/>
          <w:b/>
        </w:rPr>
        <w:t>W</w:t>
      </w:r>
      <w:r w:rsidR="004A6FA1">
        <w:rPr>
          <w:rFonts w:cs="Helvetica"/>
          <w:b/>
        </w:rPr>
        <w:t xml:space="preserve">ork </w:t>
      </w:r>
      <w:r w:rsidRPr="009362CA">
        <w:rPr>
          <w:rFonts w:cs="Helvetica"/>
          <w:b/>
        </w:rPr>
        <w:t>A</w:t>
      </w:r>
      <w:r w:rsidR="004A6FA1">
        <w:rPr>
          <w:rFonts w:cs="Helvetica"/>
          <w:b/>
        </w:rPr>
        <w:t xml:space="preserve">rea </w:t>
      </w:r>
      <w:r w:rsidRPr="009362CA">
        <w:rPr>
          <w:rFonts w:cs="Helvetica"/>
          <w:b/>
        </w:rPr>
        <w:t xml:space="preserve">2 </w:t>
      </w:r>
    </w:p>
    <w:p w14:paraId="3CB6026C" w14:textId="2FEE5F90" w:rsidR="004453ED" w:rsidRDefault="004453ED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WA2 rapporteur encouraged the CCWG to review the </w:t>
      </w:r>
      <w:hyperlink r:id="rId7" w:history="1">
        <w:r w:rsidRPr="004D38B2">
          <w:rPr>
            <w:rStyle w:val="Hyperlink"/>
            <w:rFonts w:cs="Helvetica"/>
          </w:rPr>
          <w:t>revised inventory</w:t>
        </w:r>
      </w:hyperlink>
      <w:r>
        <w:rPr>
          <w:rFonts w:cs="Helvetica"/>
        </w:rPr>
        <w:t xml:space="preserve"> </w:t>
      </w:r>
      <w:r w:rsidR="004D38B2">
        <w:rPr>
          <w:rFonts w:cs="Helvetica"/>
        </w:rPr>
        <w:t xml:space="preserve">and </w:t>
      </w:r>
      <w:r w:rsidR="00CB6E22">
        <w:rPr>
          <w:rFonts w:cs="Helvetica"/>
        </w:rPr>
        <w:t>to provide comments</w:t>
      </w:r>
      <w:r w:rsidR="004D38B2">
        <w:rPr>
          <w:rFonts w:cs="Helvetica"/>
        </w:rPr>
        <w:t xml:space="preserve"> prioritization.</w:t>
      </w:r>
    </w:p>
    <w:p w14:paraId="2D87C76C" w14:textId="2D7F1572" w:rsidR="00372986" w:rsidRDefault="00632B28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hyperlink r:id="rId8" w:history="1">
        <w:r w:rsidR="00372986" w:rsidRPr="00372986">
          <w:rPr>
            <w:rStyle w:val="Hyperlink"/>
            <w:rFonts w:cs="Helvetica"/>
          </w:rPr>
          <w:t>Proposed requirements</w:t>
        </w:r>
      </w:hyperlink>
      <w:r w:rsidR="00372986">
        <w:rPr>
          <w:rFonts w:cs="Helvetica"/>
        </w:rPr>
        <w:t xml:space="preserve"> were extracted from the Work Area 2 to advance the inventory for </w:t>
      </w:r>
      <w:r w:rsidR="00561BA3">
        <w:rPr>
          <w:rFonts w:cs="Helvetica"/>
        </w:rPr>
        <w:t xml:space="preserve">Work Stream 1 </w:t>
      </w:r>
      <w:r w:rsidR="00372986">
        <w:rPr>
          <w:rFonts w:cs="Helvetica"/>
        </w:rPr>
        <w:t xml:space="preserve">requirements </w:t>
      </w:r>
      <w:r w:rsidR="00561BA3">
        <w:rPr>
          <w:rFonts w:cs="Helvetica"/>
        </w:rPr>
        <w:t xml:space="preserve">in advance of </w:t>
      </w:r>
      <w:r w:rsidR="00372986">
        <w:rPr>
          <w:rFonts w:cs="Helvetica"/>
        </w:rPr>
        <w:t xml:space="preserve">discussion in Frankfurt. </w:t>
      </w:r>
    </w:p>
    <w:p w14:paraId="4CFA3A13" w14:textId="77777777" w:rsidR="009362CA" w:rsidRDefault="009362CA" w:rsidP="009362CA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3692BB73" w14:textId="77777777" w:rsidR="009362CA" w:rsidRPr="00F221F3" w:rsidRDefault="009362CA" w:rsidP="009362C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F221F3">
        <w:rPr>
          <w:rFonts w:cs="Helvetica"/>
          <w:b/>
        </w:rPr>
        <w:t>Work Stream Definitions</w:t>
      </w:r>
      <w:r w:rsidR="004A6FA1">
        <w:rPr>
          <w:rFonts w:cs="Helvetica"/>
          <w:b/>
        </w:rPr>
        <w:t xml:space="preserve"> &amp; Requirements</w:t>
      </w:r>
    </w:p>
    <w:p w14:paraId="362E0EBC" w14:textId="77777777" w:rsidR="009362CA" w:rsidRDefault="009362CA" w:rsidP="009362C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CCWG shared their thoughts </w:t>
      </w:r>
      <w:r w:rsidR="00D64CB0">
        <w:rPr>
          <w:rFonts w:cs="Helvetica"/>
        </w:rPr>
        <w:t>and support, as appropriate, in reaction to a proposed definition of work stream 1.</w:t>
      </w:r>
    </w:p>
    <w:p w14:paraId="0862AA2C" w14:textId="148666E4" w:rsidR="00FE6432" w:rsidRDefault="00FE6432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Work Stream 1 </w:t>
      </w:r>
      <w:r w:rsidR="00155E4B">
        <w:rPr>
          <w:rFonts w:cs="Helvetica"/>
        </w:rPr>
        <w:t>requirement</w:t>
      </w:r>
      <w:r w:rsidR="00222B92">
        <w:rPr>
          <w:rFonts w:cs="Helvetica"/>
        </w:rPr>
        <w:t>s</w:t>
      </w:r>
      <w:r w:rsidR="00155E4B">
        <w:rPr>
          <w:rFonts w:cs="Helvetica"/>
        </w:rPr>
        <w:t xml:space="preserve"> </w:t>
      </w:r>
      <w:r>
        <w:rPr>
          <w:rFonts w:cs="Helvetica"/>
        </w:rPr>
        <w:t xml:space="preserve">were shared on the list. </w:t>
      </w:r>
      <w:r w:rsidR="00CB6E22">
        <w:rPr>
          <w:rFonts w:cs="Helvetica"/>
        </w:rPr>
        <w:t xml:space="preserve">Key suggestions made: (1) amending the ICANN </w:t>
      </w:r>
      <w:r>
        <w:rPr>
          <w:rFonts w:cs="Helvetica"/>
        </w:rPr>
        <w:t xml:space="preserve">Bylaws </w:t>
      </w:r>
      <w:r w:rsidR="00CB6E22">
        <w:rPr>
          <w:rFonts w:cs="Helvetica"/>
        </w:rPr>
        <w:t xml:space="preserve">to </w:t>
      </w:r>
      <w:r>
        <w:rPr>
          <w:rFonts w:cs="Helvetica"/>
        </w:rPr>
        <w:t>incorporat</w:t>
      </w:r>
      <w:r w:rsidR="00CB6E22">
        <w:rPr>
          <w:rFonts w:cs="Helvetica"/>
        </w:rPr>
        <w:t>e the</w:t>
      </w:r>
      <w:r>
        <w:rPr>
          <w:rFonts w:cs="Helvetica"/>
        </w:rPr>
        <w:t xml:space="preserve"> AoC accountability and transparency obligations, </w:t>
      </w:r>
      <w:r w:rsidR="00CB6E22">
        <w:rPr>
          <w:rFonts w:cs="Helvetica"/>
        </w:rPr>
        <w:t xml:space="preserve">(2) consideration should be given to ICANN adopting a </w:t>
      </w:r>
      <w:r>
        <w:rPr>
          <w:rFonts w:cs="Helvetica"/>
        </w:rPr>
        <w:t>membership</w:t>
      </w:r>
      <w:r w:rsidR="00CB6E22">
        <w:rPr>
          <w:rFonts w:cs="Helvetica"/>
        </w:rPr>
        <w:t>,</w:t>
      </w:r>
      <w:r>
        <w:rPr>
          <w:rFonts w:cs="Helvetica"/>
        </w:rPr>
        <w:t xml:space="preserve"> </w:t>
      </w:r>
      <w:r w:rsidR="00CB6E22">
        <w:rPr>
          <w:rFonts w:cs="Helvetica"/>
        </w:rPr>
        <w:t>(3)</w:t>
      </w:r>
      <w:r>
        <w:rPr>
          <w:rFonts w:cs="Helvetica"/>
        </w:rPr>
        <w:t xml:space="preserve"> </w:t>
      </w:r>
      <w:r w:rsidR="00CB6E22">
        <w:rPr>
          <w:rFonts w:cs="Helvetica"/>
        </w:rPr>
        <w:t>creation of a binding</w:t>
      </w:r>
      <w:r>
        <w:rPr>
          <w:rFonts w:cs="Helvetica"/>
        </w:rPr>
        <w:t xml:space="preserve"> Independent Review Process. </w:t>
      </w:r>
    </w:p>
    <w:p w14:paraId="4C270E0F" w14:textId="31E8E88C" w:rsidR="004C2F46" w:rsidRDefault="004C2F46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222B92">
        <w:rPr>
          <w:rFonts w:cs="Helvetica"/>
        </w:rPr>
        <w:t xml:space="preserve"> </w:t>
      </w:r>
      <w:hyperlink r:id="rId9" w:history="1">
        <w:r w:rsidR="00222B92" w:rsidRPr="00222B92">
          <w:rPr>
            <w:rStyle w:val="Hyperlink"/>
            <w:rFonts w:cs="Helvetica"/>
          </w:rPr>
          <w:t>note</w:t>
        </w:r>
      </w:hyperlink>
      <w:r w:rsidR="00222B92">
        <w:rPr>
          <w:rFonts w:cs="Helvetica"/>
        </w:rPr>
        <w:t xml:space="preserve"> </w:t>
      </w:r>
      <w:r w:rsidR="00120914">
        <w:rPr>
          <w:rFonts w:cs="Helvetica"/>
        </w:rPr>
        <w:t xml:space="preserve">was circulated suggesting the closer </w:t>
      </w:r>
      <w:r w:rsidR="00120914" w:rsidRPr="00D41DAB">
        <w:rPr>
          <w:rFonts w:cs="Helvetica"/>
        </w:rPr>
        <w:t>coordination of names and numbers functions</w:t>
      </w:r>
      <w:r w:rsidR="00120914">
        <w:rPr>
          <w:rFonts w:cs="Helvetica"/>
        </w:rPr>
        <w:t xml:space="preserve"> be </w:t>
      </w:r>
      <w:r w:rsidR="00222B92">
        <w:rPr>
          <w:rFonts w:cs="Helvetica"/>
        </w:rPr>
        <w:t xml:space="preserve">considered </w:t>
      </w:r>
      <w:r w:rsidR="00120914">
        <w:rPr>
          <w:rFonts w:cs="Helvetica"/>
        </w:rPr>
        <w:t>as</w:t>
      </w:r>
      <w:r w:rsidR="00222B92">
        <w:rPr>
          <w:rFonts w:cs="Helvetica"/>
        </w:rPr>
        <w:t xml:space="preserve"> </w:t>
      </w:r>
      <w:r w:rsidR="00120914">
        <w:rPr>
          <w:rFonts w:cs="Helvetica"/>
        </w:rPr>
        <w:t xml:space="preserve">relevant </w:t>
      </w:r>
      <w:r w:rsidR="00222B92">
        <w:rPr>
          <w:rFonts w:cs="Helvetica"/>
        </w:rPr>
        <w:t>to Work Stream 2</w:t>
      </w:r>
      <w:r w:rsidR="00120914">
        <w:rPr>
          <w:rFonts w:cs="Helvetica"/>
        </w:rPr>
        <w:t>.</w:t>
      </w:r>
    </w:p>
    <w:p w14:paraId="11533882" w14:textId="6144DF59" w:rsidR="004C2F46" w:rsidRPr="00372986" w:rsidRDefault="004C2F46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Frankfurt </w:t>
      </w:r>
      <w:r w:rsidR="00A064D5">
        <w:rPr>
          <w:rFonts w:cs="Helvetica"/>
        </w:rPr>
        <w:t xml:space="preserve">meeting </w:t>
      </w:r>
      <w:r>
        <w:rPr>
          <w:rFonts w:cs="Helvetica"/>
        </w:rPr>
        <w:t xml:space="preserve">resulted in the creation of a </w:t>
      </w:r>
      <w:hyperlink r:id="rId10" w:history="1">
        <w:r w:rsidRPr="00222B92">
          <w:rPr>
            <w:rStyle w:val="Hyperlink"/>
            <w:rFonts w:cs="Helvetica"/>
          </w:rPr>
          <w:t xml:space="preserve">draft </w:t>
        </w:r>
        <w:r w:rsidR="00222B92" w:rsidRPr="00222B92">
          <w:rPr>
            <w:rStyle w:val="Hyperlink"/>
            <w:rFonts w:cs="Helvetica"/>
          </w:rPr>
          <w:t>mind map</w:t>
        </w:r>
      </w:hyperlink>
      <w:r w:rsidR="00A130E0">
        <w:rPr>
          <w:rFonts w:cs="Helvetica"/>
        </w:rPr>
        <w:t>, which</w:t>
      </w:r>
      <w:r w:rsidR="00184172" w:rsidRPr="00184172">
        <w:rPr>
          <w:rFonts w:cs="Helvetica"/>
        </w:rPr>
        <w:t xml:space="preserve"> will be a roadmap for the next phase of the </w:t>
      </w:r>
      <w:r w:rsidR="00184172">
        <w:rPr>
          <w:rFonts w:cs="Helvetica"/>
        </w:rPr>
        <w:t>group's work</w:t>
      </w:r>
      <w:r w:rsidR="00222B92">
        <w:rPr>
          <w:rFonts w:cs="Helvetica"/>
        </w:rPr>
        <w:t xml:space="preserve">. </w:t>
      </w:r>
    </w:p>
    <w:p w14:paraId="00E5D9E5" w14:textId="77777777" w:rsidR="00B47CA2" w:rsidRPr="00CA0564" w:rsidRDefault="00B47CA2" w:rsidP="00CA056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CE4C4FE" w14:textId="77777777" w:rsidR="00B47CA2" w:rsidRDefault="00B47CA2" w:rsidP="00B47C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266784">
        <w:rPr>
          <w:rFonts w:cs="Helvetica"/>
          <w:b/>
        </w:rPr>
        <w:t>Accountability Measures Required by CWG Proposal(s)</w:t>
      </w:r>
    </w:p>
    <w:p w14:paraId="3F65EA7D" w14:textId="6E08FE60" w:rsidR="00442C29" w:rsidRPr="00442C29" w:rsidRDefault="004C16D6" w:rsidP="00C1530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Contributors offer</w:t>
      </w:r>
      <w:r w:rsidR="00CA700D">
        <w:rPr>
          <w:rFonts w:cs="Helvetica"/>
        </w:rPr>
        <w:t>ed</w:t>
      </w:r>
      <w:r>
        <w:rPr>
          <w:rFonts w:cs="Helvetica"/>
        </w:rPr>
        <w:t xml:space="preserve"> comments on </w:t>
      </w:r>
      <w:r w:rsidR="00CA700D">
        <w:rPr>
          <w:rFonts w:cs="Helvetica"/>
        </w:rPr>
        <w:t xml:space="preserve">accountability measures required by the </w:t>
      </w:r>
      <w:hyperlink r:id="rId11" w:history="1">
        <w:r w:rsidR="00CA700D" w:rsidRPr="00F332A3">
          <w:rPr>
            <w:rStyle w:val="Hyperlink"/>
            <w:rFonts w:cs="Helvetica"/>
          </w:rPr>
          <w:t>CWG proposal</w:t>
        </w:r>
      </w:hyperlink>
      <w:r w:rsidR="00F332A3">
        <w:rPr>
          <w:rFonts w:cs="Helvetica"/>
        </w:rPr>
        <w:t xml:space="preserve"> (note, this is a living document being updated by CWG).</w:t>
      </w:r>
    </w:p>
    <w:p w14:paraId="43E194D0" w14:textId="6A139D9C" w:rsidR="00542094" w:rsidRPr="00C15305" w:rsidRDefault="00C53FA6" w:rsidP="00C1530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GAC principles and</w:t>
      </w:r>
      <w:r w:rsidR="00CA700D">
        <w:rPr>
          <w:rFonts w:cs="Helvetica"/>
        </w:rPr>
        <w:t xml:space="preserve"> the </w:t>
      </w:r>
      <w:hyperlink r:id="rId12" w:history="1">
        <w:r w:rsidR="00CA700D" w:rsidRPr="007D3EC8">
          <w:rPr>
            <w:rStyle w:val="Hyperlink"/>
            <w:rFonts w:cs="Helvetica"/>
          </w:rPr>
          <w:t>Framework of Interpretation</w:t>
        </w:r>
      </w:hyperlink>
      <w:r w:rsidR="00CA700D">
        <w:rPr>
          <w:rFonts w:cs="Helvetica"/>
        </w:rPr>
        <w:t xml:space="preserve"> (FOI) </w:t>
      </w:r>
      <w:r w:rsidR="00A064D5">
        <w:rPr>
          <w:rFonts w:cs="Helvetica"/>
        </w:rPr>
        <w:t xml:space="preserve">were identified </w:t>
      </w:r>
      <w:r>
        <w:rPr>
          <w:rFonts w:cs="Helvetica"/>
        </w:rPr>
        <w:t xml:space="preserve">as helpful frameworks. </w:t>
      </w:r>
    </w:p>
    <w:p w14:paraId="4016D82A" w14:textId="77777777" w:rsidR="00C33678" w:rsidRPr="00C33678" w:rsidRDefault="00C33678" w:rsidP="00C33678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  <w:b/>
        </w:rPr>
      </w:pPr>
    </w:p>
    <w:p w14:paraId="476F8C9D" w14:textId="77777777" w:rsidR="00C33678" w:rsidRDefault="00C33678" w:rsidP="00C33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Definitions &amp; Scoping Document </w:t>
      </w:r>
      <w:r w:rsidR="00964E4D">
        <w:rPr>
          <w:rFonts w:cs="Helvetica"/>
          <w:b/>
        </w:rPr>
        <w:t xml:space="preserve">– Strawman Proposal </w:t>
      </w:r>
    </w:p>
    <w:p w14:paraId="41965A8F" w14:textId="4975DE93" w:rsidR="00442C29" w:rsidRPr="00D41DAB" w:rsidRDefault="00C33678" w:rsidP="00D41D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A revised revision of the definitions and scoping document was circulated for discussion</w:t>
      </w:r>
      <w:r w:rsidR="00B63630">
        <w:rPr>
          <w:rFonts w:cs="Helvetica"/>
        </w:rPr>
        <w:t xml:space="preserve">, </w:t>
      </w:r>
      <w:r w:rsidR="00EB7756" w:rsidRPr="00D41DAB">
        <w:rPr>
          <w:rFonts w:cs="Helvetica"/>
        </w:rPr>
        <w:t>emphasiz</w:t>
      </w:r>
      <w:r w:rsidR="00B63630">
        <w:rPr>
          <w:rFonts w:cs="Helvetica"/>
        </w:rPr>
        <w:t>ing</w:t>
      </w:r>
      <w:r w:rsidR="00EB7756" w:rsidRPr="00D41DAB">
        <w:rPr>
          <w:rFonts w:cs="Helvetica"/>
        </w:rPr>
        <w:t xml:space="preserve"> that definitions</w:t>
      </w:r>
      <w:r w:rsidR="0011095E">
        <w:rPr>
          <w:rFonts w:cs="Helvetica"/>
        </w:rPr>
        <w:t xml:space="preserve"> contained</w:t>
      </w:r>
      <w:r w:rsidR="00EB7756" w:rsidRPr="00D41DAB">
        <w:rPr>
          <w:rFonts w:cs="Helvetica"/>
        </w:rPr>
        <w:t xml:space="preserve"> should be used as a reference</w:t>
      </w:r>
      <w:r w:rsidR="00192058" w:rsidRPr="00D41DAB">
        <w:rPr>
          <w:rFonts w:cs="Helvetica"/>
        </w:rPr>
        <w:t xml:space="preserve">. </w:t>
      </w:r>
    </w:p>
    <w:p w14:paraId="401CE87B" w14:textId="76855F1E" w:rsidR="002307D4" w:rsidRPr="0099649E" w:rsidRDefault="008458BD" w:rsidP="002307D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lastRenderedPageBreak/>
        <w:t>Suggestion</w:t>
      </w:r>
      <w:r w:rsidR="00B108C2">
        <w:rPr>
          <w:rFonts w:cs="Helvetica"/>
        </w:rPr>
        <w:t xml:space="preserve"> that further work be conducted on </w:t>
      </w:r>
      <w:r w:rsidR="00B108C2" w:rsidRPr="00442C29">
        <w:rPr>
          <w:rFonts w:cs="Helvetica"/>
          <w:i/>
        </w:rPr>
        <w:t>checks and balances</w:t>
      </w:r>
      <w:r w:rsidR="00442C29">
        <w:rPr>
          <w:rFonts w:cs="Helvetica"/>
        </w:rPr>
        <w:t>, i.e.</w:t>
      </w:r>
      <w:r w:rsidR="00B108C2">
        <w:rPr>
          <w:rFonts w:cs="Helvetica"/>
        </w:rPr>
        <w:t xml:space="preserve"> definition of </w:t>
      </w:r>
      <w:r w:rsidR="00DF7C7B" w:rsidRPr="00DF7C7B">
        <w:rPr>
          <w:rFonts w:cs="Helvetica"/>
          <w:i/>
        </w:rPr>
        <w:t xml:space="preserve">certain </w:t>
      </w:r>
      <w:r w:rsidR="00B108C2" w:rsidRPr="00DF7C7B">
        <w:rPr>
          <w:rFonts w:cs="Helvetica"/>
          <w:i/>
        </w:rPr>
        <w:t>key impacts</w:t>
      </w:r>
      <w:r w:rsidR="00B108C2">
        <w:rPr>
          <w:rFonts w:cs="Helvetica"/>
        </w:rPr>
        <w:t xml:space="preserve">, what does </w:t>
      </w:r>
      <w:r w:rsidR="00B108C2" w:rsidRPr="00DF7C7B">
        <w:rPr>
          <w:rFonts w:cs="Helvetica"/>
          <w:i/>
        </w:rPr>
        <w:t xml:space="preserve">incumbent </w:t>
      </w:r>
      <w:r w:rsidR="00B108C2" w:rsidRPr="00D41DAB">
        <w:rPr>
          <w:rFonts w:cs="Helvetica"/>
        </w:rPr>
        <w:t>and</w:t>
      </w:r>
      <w:r w:rsidR="00B108C2" w:rsidRPr="00DF7C7B">
        <w:rPr>
          <w:rFonts w:cs="Helvetica"/>
          <w:i/>
        </w:rPr>
        <w:t xml:space="preserve"> future parties</w:t>
      </w:r>
      <w:r w:rsidR="00442C29">
        <w:rPr>
          <w:rFonts w:cs="Helvetica"/>
        </w:rPr>
        <w:t xml:space="preserve"> mean</w:t>
      </w:r>
      <w:r w:rsidR="00C15305">
        <w:rPr>
          <w:rFonts w:cs="Helvetica"/>
        </w:rPr>
        <w:t>.</w:t>
      </w:r>
    </w:p>
    <w:p w14:paraId="300F89EE" w14:textId="77777777" w:rsidR="0099649E" w:rsidRPr="008D5A07" w:rsidRDefault="0099649E" w:rsidP="002307D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Further to Frank</w:t>
      </w:r>
      <w:r w:rsidR="00FA6663">
        <w:rPr>
          <w:rFonts w:cs="Helvetica"/>
        </w:rPr>
        <w:t>f</w:t>
      </w:r>
      <w:r>
        <w:rPr>
          <w:rFonts w:cs="Helvetica"/>
        </w:rPr>
        <w:t xml:space="preserve">urt discussions, a proposed </w:t>
      </w:r>
      <w:hyperlink r:id="rId13" w:history="1">
        <w:r w:rsidRPr="0099649E">
          <w:rPr>
            <w:rStyle w:val="Hyperlink"/>
            <w:rFonts w:cs="Helvetica"/>
          </w:rPr>
          <w:t>restructuring</w:t>
        </w:r>
      </w:hyperlink>
      <w:r>
        <w:rPr>
          <w:rFonts w:cs="Helvetica"/>
        </w:rPr>
        <w:t xml:space="preserve"> was sent to the list</w:t>
      </w:r>
      <w:r w:rsidR="00F07452">
        <w:rPr>
          <w:rFonts w:cs="Helvetica"/>
        </w:rPr>
        <w:t xml:space="preserve"> along with </w:t>
      </w:r>
      <w:r w:rsidR="00A401BB">
        <w:rPr>
          <w:rFonts w:cs="Helvetica"/>
        </w:rPr>
        <w:t>elements to address the concept of accountability</w:t>
      </w:r>
      <w:r>
        <w:rPr>
          <w:rFonts w:cs="Helvetica"/>
        </w:rPr>
        <w:t xml:space="preserve">. </w:t>
      </w:r>
    </w:p>
    <w:p w14:paraId="1DC4BF58" w14:textId="46526438" w:rsidR="003D43D4" w:rsidRPr="00D41DAB" w:rsidRDefault="0011095E" w:rsidP="008D5A0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D41DAB">
        <w:rPr>
          <w:rFonts w:cs="Helvetica"/>
        </w:rPr>
        <w:t xml:space="preserve">Suggested that language </w:t>
      </w:r>
      <w:r w:rsidR="008D5A07" w:rsidRPr="00D41DAB">
        <w:rPr>
          <w:rFonts w:cs="Helvetica"/>
        </w:rPr>
        <w:t>script communities</w:t>
      </w:r>
      <w:r w:rsidRPr="00D41DAB">
        <w:rPr>
          <w:rFonts w:cs="Helvetica"/>
        </w:rPr>
        <w:t>, i.e. groups using</w:t>
      </w:r>
      <w:r w:rsidR="008C6CE3" w:rsidRPr="00D41DAB">
        <w:rPr>
          <w:rFonts w:cs="Helvetica"/>
        </w:rPr>
        <w:t xml:space="preserve"> </w:t>
      </w:r>
      <w:r w:rsidR="008C6CE3" w:rsidRPr="00D41DAB">
        <w:rPr>
          <w:rFonts w:cs="Arial"/>
        </w:rPr>
        <w:t>internationalized domain name</w:t>
      </w:r>
      <w:r w:rsidRPr="00D41DAB">
        <w:rPr>
          <w:rFonts w:cs="Helvetica"/>
        </w:rPr>
        <w:t xml:space="preserve"> </w:t>
      </w:r>
      <w:r w:rsidR="008D5A07" w:rsidRPr="00D41DAB">
        <w:rPr>
          <w:rFonts w:cs="Helvetica"/>
        </w:rPr>
        <w:t xml:space="preserve">IDNs, </w:t>
      </w:r>
      <w:r w:rsidRPr="00D41DAB">
        <w:rPr>
          <w:rFonts w:cs="Helvetica"/>
        </w:rPr>
        <w:t>should be included as a distinct group in the stakeholder definition</w:t>
      </w:r>
      <w:r w:rsidR="008D5A07" w:rsidRPr="00D41DAB">
        <w:rPr>
          <w:rFonts w:cs="Helvetica"/>
        </w:rPr>
        <w:t>.</w:t>
      </w:r>
    </w:p>
    <w:p w14:paraId="046CF12B" w14:textId="77777777" w:rsidR="002307D4" w:rsidRDefault="002307D4" w:rsidP="00C351C2">
      <w:pPr>
        <w:pStyle w:val="ListParagraph"/>
        <w:widowControl w:val="0"/>
        <w:autoSpaceDE w:val="0"/>
        <w:autoSpaceDN w:val="0"/>
        <w:adjustRightInd w:val="0"/>
        <w:ind w:left="1080"/>
      </w:pPr>
    </w:p>
    <w:p w14:paraId="626CBA7D" w14:textId="77777777" w:rsidR="002307D4" w:rsidRPr="002307D4" w:rsidRDefault="002307D4" w:rsidP="002307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2307D4">
        <w:rPr>
          <w:rFonts w:cs="Helvetica"/>
          <w:b/>
        </w:rPr>
        <w:t>CWG-Stewardship</w:t>
      </w:r>
    </w:p>
    <w:p w14:paraId="003B2C46" w14:textId="77777777" w:rsidR="000232A5" w:rsidRPr="00426DE8" w:rsidRDefault="00271B0F" w:rsidP="00426DE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</w:t>
      </w:r>
      <w:hyperlink r:id="rId14" w:history="1">
        <w:r w:rsidR="002307D4" w:rsidRPr="006E471A">
          <w:rPr>
            <w:rStyle w:val="Hyperlink"/>
            <w:rFonts w:cs="Helvetica"/>
          </w:rPr>
          <w:t>dependencies</w:t>
        </w:r>
      </w:hyperlink>
      <w:r w:rsidR="002307D4">
        <w:rPr>
          <w:rFonts w:cs="Helvetica"/>
        </w:rPr>
        <w:t xml:space="preserve"> on ICANN accountabilities </w:t>
      </w:r>
      <w:r w:rsidR="00FC3CA2">
        <w:rPr>
          <w:rFonts w:cs="Helvetica"/>
        </w:rPr>
        <w:t>identif</w:t>
      </w:r>
      <w:r w:rsidR="000D3F36">
        <w:rPr>
          <w:rFonts w:cs="Helvetica"/>
        </w:rPr>
        <w:t>i</w:t>
      </w:r>
      <w:r w:rsidR="002307D4">
        <w:rPr>
          <w:rFonts w:cs="Helvetica"/>
        </w:rPr>
        <w:t>ed</w:t>
      </w:r>
      <w:r w:rsidR="006E471A">
        <w:rPr>
          <w:rFonts w:cs="Helvetica"/>
        </w:rPr>
        <w:t xml:space="preserve"> </w:t>
      </w:r>
      <w:r w:rsidR="00575AE9">
        <w:rPr>
          <w:rFonts w:cs="Helvetica"/>
        </w:rPr>
        <w:t xml:space="preserve">by the CWG-Stewardship </w:t>
      </w:r>
      <w:r w:rsidR="006E471A">
        <w:rPr>
          <w:rFonts w:cs="Helvetica"/>
        </w:rPr>
        <w:t xml:space="preserve">to date </w:t>
      </w:r>
      <w:r w:rsidR="00575AE9">
        <w:rPr>
          <w:rFonts w:cs="Helvetica"/>
        </w:rPr>
        <w:t xml:space="preserve">was relayed to the CCWG-Accountability </w:t>
      </w:r>
      <w:r w:rsidR="006E471A">
        <w:rPr>
          <w:rFonts w:cs="Helvetica"/>
        </w:rPr>
        <w:t xml:space="preserve">with a note that dependency concerns may be more applicable to one model or the other. </w:t>
      </w:r>
    </w:p>
    <w:p w14:paraId="791E2B41" w14:textId="77777777" w:rsidR="00574BA3" w:rsidRPr="008D5A07" w:rsidRDefault="00574BA3" w:rsidP="008D5A07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156E54CD" w14:textId="77777777" w:rsidR="000232A5" w:rsidRPr="00D76164" w:rsidRDefault="000232A5" w:rsidP="00023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D76164">
        <w:rPr>
          <w:rFonts w:cs="Helvetica"/>
          <w:b/>
        </w:rPr>
        <w:t>International Law</w:t>
      </w:r>
    </w:p>
    <w:p w14:paraId="44B80BD2" w14:textId="601D84FD" w:rsidR="00574BA3" w:rsidRDefault="00632B28" w:rsidP="00574BA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hyperlink r:id="rId15" w:history="1">
        <w:r w:rsidR="004E4BD7" w:rsidRPr="004E4BD7">
          <w:rPr>
            <w:rStyle w:val="Hyperlink"/>
            <w:rFonts w:cs="Helvetica"/>
          </w:rPr>
          <w:t>Provisions</w:t>
        </w:r>
      </w:hyperlink>
      <w:r w:rsidR="00574BA3">
        <w:rPr>
          <w:rFonts w:cs="Helvetica"/>
        </w:rPr>
        <w:t xml:space="preserve"> relating to international law in ICANN’s </w:t>
      </w:r>
      <w:r w:rsidR="004E4BD7">
        <w:rPr>
          <w:rFonts w:cs="Helvetica"/>
        </w:rPr>
        <w:t>A</w:t>
      </w:r>
      <w:r w:rsidR="00574BA3">
        <w:rPr>
          <w:rFonts w:cs="Helvetica"/>
        </w:rPr>
        <w:t>rticle</w:t>
      </w:r>
      <w:r w:rsidR="004E4BD7">
        <w:rPr>
          <w:rFonts w:cs="Helvetica"/>
        </w:rPr>
        <w:t>s</w:t>
      </w:r>
      <w:r w:rsidR="00574BA3">
        <w:rPr>
          <w:rFonts w:cs="Helvetica"/>
        </w:rPr>
        <w:t xml:space="preserve"> of </w:t>
      </w:r>
      <w:r w:rsidR="003D43D4">
        <w:rPr>
          <w:rFonts w:cs="Helvetica"/>
        </w:rPr>
        <w:t>I</w:t>
      </w:r>
      <w:r w:rsidR="00574BA3">
        <w:rPr>
          <w:rFonts w:cs="Helvetica"/>
        </w:rPr>
        <w:t xml:space="preserve">ncorporation </w:t>
      </w:r>
      <w:r w:rsidR="004E4BD7">
        <w:rPr>
          <w:rFonts w:cs="Helvetica"/>
        </w:rPr>
        <w:t xml:space="preserve">were highlighted as a follow up to </w:t>
      </w:r>
      <w:r w:rsidR="003D43D4">
        <w:rPr>
          <w:rFonts w:cs="Helvetica"/>
        </w:rPr>
        <w:t xml:space="preserve">discussions in </w:t>
      </w:r>
      <w:r w:rsidR="004E4BD7">
        <w:rPr>
          <w:rFonts w:cs="Helvetica"/>
        </w:rPr>
        <w:t>Frankfurt.</w:t>
      </w:r>
    </w:p>
    <w:p w14:paraId="1A0538FF" w14:textId="77777777" w:rsidR="00574BA3" w:rsidRDefault="00574BA3" w:rsidP="00574BA3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55684EC6" w14:textId="77777777" w:rsidR="00574BA3" w:rsidRPr="00F378B2" w:rsidRDefault="00574BA3" w:rsidP="00574B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F378B2">
        <w:rPr>
          <w:rFonts w:cs="Helvetica"/>
          <w:b/>
        </w:rPr>
        <w:t xml:space="preserve">Membership </w:t>
      </w:r>
      <w:r w:rsidR="000145E4">
        <w:rPr>
          <w:rFonts w:cs="Helvetica"/>
          <w:b/>
        </w:rPr>
        <w:t>Organizations</w:t>
      </w:r>
    </w:p>
    <w:p w14:paraId="1DA2EE5A" w14:textId="739B867A" w:rsidR="00E02159" w:rsidRPr="002E78C6" w:rsidRDefault="008458BD" w:rsidP="00F378B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Discussion about revising ICANN's corporate structure by becoming a </w:t>
      </w:r>
      <w:r w:rsidR="00AB48F8" w:rsidRPr="002E78C6">
        <w:rPr>
          <w:rFonts w:cs="Helvetica"/>
        </w:rPr>
        <w:t xml:space="preserve">membership-based organization. </w:t>
      </w:r>
      <w:r>
        <w:rPr>
          <w:rFonts w:cs="Helvetica"/>
        </w:rPr>
        <w:t xml:space="preserve"> The arr</w:t>
      </w:r>
      <w:r w:rsidR="00EC4DF3">
        <w:rPr>
          <w:rFonts w:cs="Helvetica"/>
        </w:rPr>
        <w:t>angements/implications of this sh</w:t>
      </w:r>
      <w:r>
        <w:rPr>
          <w:rFonts w:cs="Helvetica"/>
        </w:rPr>
        <w:t>ould be one topic for independent legal and other advice.</w:t>
      </w:r>
    </w:p>
    <w:p w14:paraId="0F50572B" w14:textId="3A3226BC" w:rsidR="00EC4DF3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447EEA" w:rsidRPr="002E78C6">
        <w:rPr>
          <w:rFonts w:cs="Helvetica"/>
        </w:rPr>
        <w:t xml:space="preserve"> </w:t>
      </w:r>
      <w:r w:rsidR="00EB67F1" w:rsidRPr="002E78C6">
        <w:rPr>
          <w:rFonts w:cs="Helvetica"/>
        </w:rPr>
        <w:t>structure co</w:t>
      </w:r>
      <w:r w:rsidR="00792433" w:rsidRPr="002E78C6">
        <w:rPr>
          <w:rFonts w:cs="Helvetica"/>
        </w:rPr>
        <w:t>mposed of SO/AC representatives</w:t>
      </w:r>
      <w:r>
        <w:rPr>
          <w:rFonts w:cs="Helvetica"/>
        </w:rPr>
        <w:t xml:space="preserve"> with various degrees of oversight/control over the Board and its decisions was discussed.  </w:t>
      </w:r>
    </w:p>
    <w:p w14:paraId="31E01951" w14:textId="08469979" w:rsidR="00EC4DF3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Introducing a "membership"</w:t>
      </w:r>
      <w:r w:rsidR="004C168D" w:rsidRPr="002E78C6">
        <w:rPr>
          <w:rFonts w:cs="Helvetica"/>
        </w:rPr>
        <w:t xml:space="preserve"> would require </w:t>
      </w:r>
      <w:r>
        <w:rPr>
          <w:rFonts w:cs="Helvetica"/>
        </w:rPr>
        <w:t xml:space="preserve">the creation </w:t>
      </w:r>
      <w:proofErr w:type="spellStart"/>
      <w:proofErr w:type="gramStart"/>
      <w:r>
        <w:rPr>
          <w:rFonts w:cs="Helvetica"/>
        </w:rPr>
        <w:t>og</w:t>
      </w:r>
      <w:proofErr w:type="spellEnd"/>
      <w:proofErr w:type="gramEnd"/>
      <w:r w:rsidR="004C168D" w:rsidRPr="002E78C6">
        <w:rPr>
          <w:rFonts w:cs="Helvetica"/>
        </w:rPr>
        <w:t xml:space="preserve"> classes of membershi</w:t>
      </w:r>
      <w:r w:rsidR="006A6159" w:rsidRPr="002E78C6">
        <w:rPr>
          <w:rFonts w:cs="Helvetica"/>
        </w:rPr>
        <w:t xml:space="preserve">p, structure scale for any future membership, </w:t>
      </w:r>
      <w:r w:rsidR="000D478A" w:rsidRPr="002E78C6">
        <w:rPr>
          <w:rFonts w:cs="Helvetica"/>
        </w:rPr>
        <w:t>power and its use</w:t>
      </w:r>
      <w:r w:rsidR="004C168D" w:rsidRPr="002E78C6">
        <w:rPr>
          <w:rFonts w:cs="Helvetica"/>
        </w:rPr>
        <w:t xml:space="preserve">, </w:t>
      </w:r>
      <w:r w:rsidR="002005C9" w:rsidRPr="002E78C6">
        <w:rPr>
          <w:rFonts w:cs="Helvetica"/>
        </w:rPr>
        <w:t xml:space="preserve">and </w:t>
      </w:r>
      <w:r w:rsidR="00B45BB5" w:rsidRPr="002E78C6">
        <w:rPr>
          <w:rFonts w:cs="Helvetica"/>
        </w:rPr>
        <w:t xml:space="preserve">voting </w:t>
      </w:r>
      <w:r w:rsidR="004C168D" w:rsidRPr="002E78C6">
        <w:rPr>
          <w:rFonts w:cs="Helvetica"/>
        </w:rPr>
        <w:t xml:space="preserve">majorities. </w:t>
      </w:r>
      <w:r>
        <w:rPr>
          <w:rFonts w:cs="Helvetica"/>
        </w:rPr>
        <w:t xml:space="preserve"> S</w:t>
      </w:r>
      <w:r w:rsidR="002A016B">
        <w:rPr>
          <w:rFonts w:cs="Helvetica"/>
        </w:rPr>
        <w:t xml:space="preserve">ome </w:t>
      </w:r>
      <w:r>
        <w:rPr>
          <w:rFonts w:cs="Helvetica"/>
        </w:rPr>
        <w:t>suggested</w:t>
      </w:r>
      <w:r w:rsidRPr="002E78C6">
        <w:rPr>
          <w:rFonts w:cs="Helvetica"/>
        </w:rPr>
        <w:t xml:space="preserve"> </w:t>
      </w:r>
      <w:r w:rsidR="002A016B" w:rsidRPr="002E78C6">
        <w:rPr>
          <w:rFonts w:cs="Helvetica"/>
        </w:rPr>
        <w:t>having SO/AC Chairs as effective members of ICANN</w:t>
      </w:r>
      <w:r w:rsidR="00472ADC">
        <w:rPr>
          <w:rFonts w:cs="Helvetica"/>
        </w:rPr>
        <w:t xml:space="preserve"> with equal voting power</w:t>
      </w:r>
      <w:r w:rsidR="002A016B" w:rsidRPr="002E78C6">
        <w:rPr>
          <w:rFonts w:cs="Helvetica"/>
        </w:rPr>
        <w:t xml:space="preserve">, </w:t>
      </w:r>
      <w:r w:rsidR="002A016B">
        <w:rPr>
          <w:rFonts w:cs="Helvetica"/>
        </w:rPr>
        <w:t xml:space="preserve">others </w:t>
      </w:r>
      <w:r>
        <w:rPr>
          <w:rFonts w:cs="Helvetica"/>
        </w:rPr>
        <w:t>commented</w:t>
      </w:r>
      <w:r w:rsidRPr="002E78C6">
        <w:rPr>
          <w:rFonts w:cs="Helvetica"/>
        </w:rPr>
        <w:t xml:space="preserve"> </w:t>
      </w:r>
      <w:r w:rsidR="002A016B" w:rsidRPr="002E78C6">
        <w:rPr>
          <w:rFonts w:cs="Helvetica"/>
        </w:rPr>
        <w:t>this would increase the politic</w:t>
      </w:r>
      <w:r w:rsidR="002A016B">
        <w:rPr>
          <w:rFonts w:cs="Helvetica"/>
        </w:rPr>
        <w:t>al attention on these positions, raised concerns about capture</w:t>
      </w:r>
      <w:r w:rsidR="001F5F36">
        <w:rPr>
          <w:rFonts w:cs="Helvetica"/>
        </w:rPr>
        <w:t xml:space="preserve">. </w:t>
      </w:r>
    </w:p>
    <w:p w14:paraId="0E9EC62B" w14:textId="2BCCBE21" w:rsidR="00C0336B" w:rsidRPr="00C0336B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2E78C6">
        <w:rPr>
          <w:rFonts w:cs="Helvetica"/>
        </w:rPr>
        <w:t>ICANN bylaws</w:t>
      </w:r>
      <w:r>
        <w:rPr>
          <w:rFonts w:cs="Helvetica"/>
        </w:rPr>
        <w:t xml:space="preserve"> </w:t>
      </w:r>
      <w:r w:rsidRPr="002E78C6">
        <w:rPr>
          <w:rFonts w:cs="Helvetica"/>
        </w:rPr>
        <w:t>have provisions to ensure Board diversity</w:t>
      </w:r>
      <w:r>
        <w:rPr>
          <w:rFonts w:cs="Helvetica"/>
        </w:rPr>
        <w:t>, noted that a new</w:t>
      </w:r>
      <w:r w:rsidRPr="002E78C6" w:rsidDel="00EC4DF3">
        <w:rPr>
          <w:rFonts w:cs="Helvetica"/>
        </w:rPr>
        <w:t xml:space="preserve"> </w:t>
      </w:r>
      <w:r w:rsidR="00C0336B" w:rsidRPr="002E78C6">
        <w:rPr>
          <w:rFonts w:cs="Helvetica"/>
        </w:rPr>
        <w:t xml:space="preserve">SO/AC Chairs structure </w:t>
      </w:r>
      <w:r>
        <w:rPr>
          <w:rFonts w:cs="Helvetica"/>
        </w:rPr>
        <w:t>might lack such diversity requirements</w:t>
      </w:r>
      <w:r w:rsidR="00C0336B" w:rsidRPr="002E78C6">
        <w:rPr>
          <w:rFonts w:cs="Helvetica"/>
        </w:rPr>
        <w:t xml:space="preserve">. </w:t>
      </w:r>
    </w:p>
    <w:p w14:paraId="7C25206E" w14:textId="2353A78E" w:rsidR="00C0336B" w:rsidRPr="00C0336B" w:rsidRDefault="008458BD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C0336B" w:rsidRPr="00C0336B">
        <w:rPr>
          <w:rFonts w:cs="Helvetica"/>
        </w:rPr>
        <w:t xml:space="preserve"> membership organization </w:t>
      </w:r>
      <w:r>
        <w:rPr>
          <w:rFonts w:cs="Helvetica"/>
        </w:rPr>
        <w:t xml:space="preserve">should be based on </w:t>
      </w:r>
      <w:r w:rsidR="00C0336B" w:rsidRPr="00C0336B">
        <w:rPr>
          <w:rFonts w:cs="Helvetica"/>
        </w:rPr>
        <w:t>clear and objective rules that make it fair and sustai</w:t>
      </w:r>
      <w:r w:rsidR="00066B21">
        <w:rPr>
          <w:rFonts w:cs="Helvetica"/>
        </w:rPr>
        <w:t xml:space="preserve">nable. </w:t>
      </w:r>
      <w:r>
        <w:rPr>
          <w:rFonts w:cs="Helvetica"/>
        </w:rPr>
        <w:t>T</w:t>
      </w:r>
      <w:r w:rsidR="00C0336B" w:rsidRPr="00C0336B">
        <w:rPr>
          <w:rFonts w:cs="Helvetica"/>
        </w:rPr>
        <w:t xml:space="preserve">he multi-stakeholder </w:t>
      </w:r>
      <w:r w:rsidR="00EC4DF3">
        <w:rPr>
          <w:rFonts w:cs="Helvetica"/>
        </w:rPr>
        <w:t xml:space="preserve">model </w:t>
      </w:r>
      <w:r>
        <w:rPr>
          <w:rFonts w:cs="Helvetica"/>
        </w:rPr>
        <w:t xml:space="preserve">should be protected </w:t>
      </w:r>
      <w:r w:rsidR="00066B21">
        <w:rPr>
          <w:rFonts w:cs="Helvetica"/>
        </w:rPr>
        <w:t xml:space="preserve">. </w:t>
      </w:r>
    </w:p>
    <w:p w14:paraId="248955F3" w14:textId="3125F5C4" w:rsidR="00CC1D60" w:rsidRDefault="003A7065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2E78C6">
        <w:rPr>
          <w:rFonts w:cs="Helvetica"/>
        </w:rPr>
        <w:t xml:space="preserve">There are differences of opinions on how structures </w:t>
      </w:r>
      <w:r w:rsidR="00C64ACA">
        <w:rPr>
          <w:rFonts w:cs="Helvetica"/>
        </w:rPr>
        <w:t>would be</w:t>
      </w:r>
      <w:r w:rsidR="004E1FA8">
        <w:rPr>
          <w:rFonts w:cs="Helvetica"/>
        </w:rPr>
        <w:t xml:space="preserve"> </w:t>
      </w:r>
      <w:r w:rsidRPr="002E78C6">
        <w:rPr>
          <w:rFonts w:cs="Helvetica"/>
        </w:rPr>
        <w:t>positioned in the governance of ICANN</w:t>
      </w:r>
      <w:r w:rsidR="002A016B">
        <w:rPr>
          <w:rFonts w:cs="Helvetica"/>
        </w:rPr>
        <w:t xml:space="preserve"> and the powers </w:t>
      </w:r>
      <w:r w:rsidR="00EC4DF3">
        <w:rPr>
          <w:rFonts w:cs="Helvetica"/>
        </w:rPr>
        <w:t xml:space="preserve">any new arrangement </w:t>
      </w:r>
      <w:r w:rsidR="002A016B">
        <w:rPr>
          <w:rFonts w:cs="Helvetica"/>
        </w:rPr>
        <w:t>should be given</w:t>
      </w:r>
      <w:r w:rsidR="006A6159" w:rsidRPr="002E78C6">
        <w:rPr>
          <w:rFonts w:cs="Helvetica"/>
        </w:rPr>
        <w:t xml:space="preserve">. </w:t>
      </w:r>
      <w:r w:rsidR="00962540" w:rsidRPr="004E1FA8">
        <w:rPr>
          <w:rFonts w:cs="Helvetica"/>
        </w:rPr>
        <w:t xml:space="preserve">Some </w:t>
      </w:r>
      <w:r w:rsidR="008458BD">
        <w:rPr>
          <w:rFonts w:cs="Helvetica"/>
        </w:rPr>
        <w:t>suggested</w:t>
      </w:r>
      <w:r w:rsidR="008458BD" w:rsidRPr="004E1FA8">
        <w:rPr>
          <w:rFonts w:cs="Helvetica"/>
        </w:rPr>
        <w:t xml:space="preserve"> </w:t>
      </w:r>
      <w:r w:rsidR="00962540" w:rsidRPr="004E1FA8">
        <w:rPr>
          <w:rFonts w:cs="Helvetica"/>
        </w:rPr>
        <w:t xml:space="preserve">the </w:t>
      </w:r>
      <w:r w:rsidR="00FF5E2C" w:rsidRPr="004E1FA8">
        <w:rPr>
          <w:rFonts w:cs="Helvetica"/>
        </w:rPr>
        <w:t xml:space="preserve">group </w:t>
      </w:r>
      <w:r w:rsidR="00454ACE" w:rsidRPr="004E1FA8">
        <w:rPr>
          <w:rFonts w:cs="Helvetica"/>
        </w:rPr>
        <w:t>sh</w:t>
      </w:r>
      <w:r w:rsidR="00FF5E2C" w:rsidRPr="004E1FA8">
        <w:rPr>
          <w:rFonts w:cs="Helvetica"/>
        </w:rPr>
        <w:t>ould have substantial but narrow powers, including annual budget approval/disapproval, spilling the Board, review of Board decisions, referral of Board decisions to an independent review mechanism, approval of changes to B</w:t>
      </w:r>
      <w:r w:rsidR="00454ACE" w:rsidRPr="004E1FA8">
        <w:rPr>
          <w:rFonts w:cs="Helvetica"/>
        </w:rPr>
        <w:t xml:space="preserve">ylaws and </w:t>
      </w:r>
      <w:r w:rsidR="00FF5E2C" w:rsidRPr="004E1FA8">
        <w:rPr>
          <w:rFonts w:cs="Helvetica"/>
        </w:rPr>
        <w:t xml:space="preserve">Articles of Incorporation. </w:t>
      </w:r>
    </w:p>
    <w:p w14:paraId="00800356" w14:textId="2F1E8628" w:rsidR="00CC1D60" w:rsidRDefault="00CC1D60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Further</w:t>
      </w:r>
      <w:r w:rsidR="00717050" w:rsidRPr="004E1FA8">
        <w:rPr>
          <w:rFonts w:cs="Helvetica"/>
        </w:rPr>
        <w:t xml:space="preserve"> suggestion that </w:t>
      </w:r>
      <w:r w:rsidR="002B3902">
        <w:rPr>
          <w:rFonts w:cs="Helvetica"/>
        </w:rPr>
        <w:t>this potential</w:t>
      </w:r>
      <w:r>
        <w:rPr>
          <w:rFonts w:cs="Helvetica"/>
        </w:rPr>
        <w:t xml:space="preserve"> new </w:t>
      </w:r>
      <w:r w:rsidR="00EC4DF3">
        <w:rPr>
          <w:rFonts w:cs="Helvetica"/>
        </w:rPr>
        <w:t>stakeholder</w:t>
      </w:r>
      <w:r>
        <w:rPr>
          <w:rFonts w:cs="Helvetica"/>
        </w:rPr>
        <w:t xml:space="preserve"> group</w:t>
      </w:r>
      <w:r w:rsidRPr="004E1FA8">
        <w:rPr>
          <w:rFonts w:cs="Helvetica"/>
        </w:rPr>
        <w:t xml:space="preserve"> </w:t>
      </w:r>
      <w:r w:rsidR="00717050" w:rsidRPr="004E1FA8">
        <w:rPr>
          <w:rFonts w:cs="Helvetica"/>
        </w:rPr>
        <w:t xml:space="preserve">should have the ability to </w:t>
      </w:r>
      <w:r w:rsidR="00BB6711" w:rsidRPr="004E1FA8">
        <w:rPr>
          <w:rFonts w:cs="Helvetica"/>
        </w:rPr>
        <w:t>propose</w:t>
      </w:r>
      <w:r w:rsidR="00717050" w:rsidRPr="004E1FA8">
        <w:rPr>
          <w:rFonts w:cs="Helvetica"/>
        </w:rPr>
        <w:t xml:space="preserve"> change</w:t>
      </w:r>
      <w:r>
        <w:rPr>
          <w:rFonts w:cs="Helvetica"/>
        </w:rPr>
        <w:t>s</w:t>
      </w:r>
      <w:r w:rsidR="00717050" w:rsidRPr="004E1FA8">
        <w:rPr>
          <w:rFonts w:cs="Helvetica"/>
        </w:rPr>
        <w:t xml:space="preserve"> to </w:t>
      </w:r>
      <w:r w:rsidR="00BB6711" w:rsidRPr="004E1FA8">
        <w:rPr>
          <w:rFonts w:cs="Helvetica"/>
        </w:rPr>
        <w:t>Bylaws</w:t>
      </w:r>
      <w:r w:rsidR="00717050" w:rsidRPr="004E1FA8">
        <w:rPr>
          <w:rFonts w:cs="Helvetica"/>
        </w:rPr>
        <w:t xml:space="preserve"> and Articles of Inc</w:t>
      </w:r>
      <w:r w:rsidR="003A2E1B">
        <w:rPr>
          <w:rFonts w:cs="Helvetica"/>
        </w:rPr>
        <w:t xml:space="preserve">orporation. </w:t>
      </w:r>
    </w:p>
    <w:p w14:paraId="375A20BC" w14:textId="410D7FED" w:rsidR="00DE0E65" w:rsidRDefault="00CC1D60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Noted</w:t>
      </w:r>
      <w:r w:rsidR="0004277B" w:rsidRPr="003A2E1B">
        <w:rPr>
          <w:rFonts w:cs="Helvetica"/>
        </w:rPr>
        <w:t xml:space="preserve"> that</w:t>
      </w:r>
      <w:r w:rsidR="001F2435" w:rsidRPr="003A2E1B">
        <w:rPr>
          <w:rFonts w:cs="Helvetica"/>
        </w:rPr>
        <w:t>,</w:t>
      </w:r>
      <w:r w:rsidR="0004277B" w:rsidRPr="003A2E1B">
        <w:rPr>
          <w:rFonts w:cs="Helvetica"/>
        </w:rPr>
        <w:t xml:space="preserve"> u</w:t>
      </w:r>
      <w:r w:rsidR="004B053E" w:rsidRPr="003A2E1B">
        <w:rPr>
          <w:rFonts w:cs="Helvetica"/>
        </w:rPr>
        <w:t>nder the gTLD agreement</w:t>
      </w:r>
      <w:r w:rsidR="00E1767B" w:rsidRPr="003A2E1B">
        <w:rPr>
          <w:rFonts w:cs="Helvetica"/>
        </w:rPr>
        <w:t>,</w:t>
      </w:r>
      <w:r w:rsidR="009E6AEA" w:rsidRPr="003A2E1B">
        <w:rPr>
          <w:rFonts w:cs="Helvetica"/>
        </w:rPr>
        <w:t xml:space="preserve"> </w:t>
      </w:r>
      <w:r w:rsidR="003A2E1B">
        <w:rPr>
          <w:rFonts w:cs="Helvetica"/>
        </w:rPr>
        <w:t xml:space="preserve">consensus policies need to be approved by </w:t>
      </w:r>
      <w:r w:rsidR="00356641">
        <w:rPr>
          <w:rFonts w:cs="Helvetica"/>
        </w:rPr>
        <w:t>both the GNSO Council and Board</w:t>
      </w:r>
      <w:r w:rsidR="009E6AEA" w:rsidRPr="003A2E1B">
        <w:rPr>
          <w:rFonts w:cs="Helvetica"/>
        </w:rPr>
        <w:t xml:space="preserve">. </w:t>
      </w:r>
    </w:p>
    <w:p w14:paraId="17A6A10B" w14:textId="32CC2DFE" w:rsidR="00472ADC" w:rsidRPr="00DE0E65" w:rsidRDefault="00472ADC" w:rsidP="008E0ED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lastRenderedPageBreak/>
        <w:t xml:space="preserve">The question of fees and membership </w:t>
      </w:r>
      <w:r w:rsidR="00BB6E7F">
        <w:rPr>
          <w:rFonts w:cs="Helvetica"/>
        </w:rPr>
        <w:t xml:space="preserve">rules </w:t>
      </w:r>
      <w:r>
        <w:rPr>
          <w:rFonts w:cs="Helvetica"/>
        </w:rPr>
        <w:t>were</w:t>
      </w:r>
      <w:r w:rsidR="00BB6E7F">
        <w:rPr>
          <w:rFonts w:cs="Helvetica"/>
        </w:rPr>
        <w:t xml:space="preserve"> raised: should each constituency have its own membership rules? Based on funding, </w:t>
      </w:r>
      <w:r w:rsidR="007D341B">
        <w:rPr>
          <w:rFonts w:cs="Helvetica"/>
        </w:rPr>
        <w:t>are all equally equal in representation and voting</w:t>
      </w:r>
      <w:r w:rsidR="00BB6E7F">
        <w:rPr>
          <w:rFonts w:cs="Helvetica"/>
        </w:rPr>
        <w:t xml:space="preserve">? </w:t>
      </w:r>
      <w:r w:rsidR="002B3902">
        <w:rPr>
          <w:rFonts w:cs="Helvetica"/>
        </w:rPr>
        <w:t>Consequences if</w:t>
      </w:r>
      <w:r w:rsidR="007D341B">
        <w:rPr>
          <w:rFonts w:cs="Helvetica"/>
        </w:rPr>
        <w:t xml:space="preserve"> SO/ACs were created? Can a government</w:t>
      </w:r>
      <w:r w:rsidR="000145E4">
        <w:rPr>
          <w:rFonts w:cs="Helvetica"/>
        </w:rPr>
        <w:t xml:space="preserve"> entity join a California membership corporation? If membership fees, will civil society be left behind? Would this let a sector or region predominate? How would membership be maintained </w:t>
      </w:r>
      <w:r w:rsidR="00F12174">
        <w:rPr>
          <w:rFonts w:cs="Helvetica"/>
        </w:rPr>
        <w:t>(permanent or renewal process)?</w:t>
      </w:r>
      <w:r w:rsidR="000145E4">
        <w:rPr>
          <w:rFonts w:cs="Helvetica"/>
        </w:rPr>
        <w:t xml:space="preserve"> </w:t>
      </w:r>
    </w:p>
    <w:p w14:paraId="6E7CE72E" w14:textId="1C23E1E9" w:rsidR="000145E4" w:rsidRDefault="006948D7" w:rsidP="0001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  <w:sz w:val="20"/>
          <w:szCs w:val="20"/>
        </w:rPr>
      </w:pPr>
      <w:r>
        <w:rPr>
          <w:rFonts w:cs="Courier"/>
          <w:color w:val="000000"/>
          <w:sz w:val="20"/>
          <w:szCs w:val="20"/>
        </w:rPr>
        <w:t xml:space="preserve">        </w:t>
      </w:r>
    </w:p>
    <w:p w14:paraId="48BDB4CA" w14:textId="77777777" w:rsidR="000145E4" w:rsidRPr="00796E39" w:rsidRDefault="000145E4" w:rsidP="00796E3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000000"/>
          <w:szCs w:val="20"/>
        </w:rPr>
      </w:pPr>
      <w:r w:rsidRPr="00796E39">
        <w:rPr>
          <w:rFonts w:cs="Courier"/>
          <w:b/>
          <w:color w:val="000000"/>
          <w:szCs w:val="20"/>
        </w:rPr>
        <w:t>Delegation of management activities</w:t>
      </w:r>
    </w:p>
    <w:p w14:paraId="30CD8492" w14:textId="77777777" w:rsidR="000145E4" w:rsidRDefault="000145E4" w:rsidP="000145E4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5763B10D" w14:textId="71A9E71D" w:rsidR="00C40BBB" w:rsidRPr="00C4026F" w:rsidRDefault="007C705D" w:rsidP="00C402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alternative model of</w:t>
      </w:r>
      <w:r w:rsidR="000145E4" w:rsidRPr="00796E39">
        <w:rPr>
          <w:rFonts w:cs="Helvetica"/>
        </w:rPr>
        <w:t xml:space="preserve"> </w:t>
      </w:r>
      <w:r w:rsidR="00C40BBB">
        <w:rPr>
          <w:rFonts w:cs="Helvetica"/>
        </w:rPr>
        <w:t xml:space="preserve">a </w:t>
      </w:r>
      <w:r w:rsidR="000145E4" w:rsidRPr="00796E39">
        <w:rPr>
          <w:rFonts w:cs="Helvetica"/>
        </w:rPr>
        <w:t xml:space="preserve">Board </w:t>
      </w:r>
      <w:r>
        <w:rPr>
          <w:rFonts w:cs="Helvetica"/>
        </w:rPr>
        <w:t xml:space="preserve">that </w:t>
      </w:r>
      <w:r w:rsidR="000145E4" w:rsidRPr="00796E39">
        <w:rPr>
          <w:rFonts w:cs="Helvetica"/>
        </w:rPr>
        <w:t>delegate</w:t>
      </w:r>
      <w:r w:rsidR="00C40BBB">
        <w:rPr>
          <w:rFonts w:cs="Helvetica"/>
        </w:rPr>
        <w:t>s</w:t>
      </w:r>
      <w:r w:rsidR="000145E4" w:rsidRPr="00796E39">
        <w:rPr>
          <w:rFonts w:cs="Helvetica"/>
        </w:rPr>
        <w:t xml:space="preserve"> </w:t>
      </w:r>
      <w:r w:rsidR="000B1D4E">
        <w:rPr>
          <w:rFonts w:cs="Helvetica"/>
        </w:rPr>
        <w:t>some</w:t>
      </w:r>
      <w:r w:rsidR="000145E4" w:rsidRPr="00796E39">
        <w:rPr>
          <w:rFonts w:cs="Helvetica"/>
        </w:rPr>
        <w:t xml:space="preserve"> management activities to the “Community” was also suggested</w:t>
      </w:r>
      <w:r w:rsidR="009463B7">
        <w:rPr>
          <w:rFonts w:cs="Helvetica"/>
        </w:rPr>
        <w:t xml:space="preserve">. </w:t>
      </w:r>
      <w:r w:rsidR="00C523D0">
        <w:rPr>
          <w:rFonts w:cs="Helvetica"/>
        </w:rPr>
        <w:t>These powers would be</w:t>
      </w:r>
      <w:r w:rsidR="00C4026F" w:rsidRPr="00C0336B">
        <w:rPr>
          <w:rFonts w:cs="Helvetica"/>
        </w:rPr>
        <w:t xml:space="preserve"> limited</w:t>
      </w:r>
      <w:r w:rsidR="00C523D0">
        <w:rPr>
          <w:rFonts w:cs="Helvetica"/>
        </w:rPr>
        <w:t xml:space="preserve"> to a</w:t>
      </w:r>
      <w:r w:rsidR="00C4026F" w:rsidRPr="00C0336B">
        <w:rPr>
          <w:rFonts w:cs="Helvetica"/>
        </w:rPr>
        <w:t xml:space="preserve"> number of k</w:t>
      </w:r>
      <w:r w:rsidR="00C4026F">
        <w:rPr>
          <w:rFonts w:cs="Helvetica"/>
        </w:rPr>
        <w:t>ey</w:t>
      </w:r>
      <w:r w:rsidR="00C523D0">
        <w:rPr>
          <w:rFonts w:cs="Helvetica"/>
        </w:rPr>
        <w:t xml:space="preserve"> issues and</w:t>
      </w:r>
      <w:r w:rsidR="00C4026F">
        <w:rPr>
          <w:rFonts w:cs="Helvetica"/>
        </w:rPr>
        <w:t xml:space="preserve"> </w:t>
      </w:r>
      <w:r w:rsidR="00C523D0">
        <w:rPr>
          <w:rFonts w:cs="Helvetica"/>
        </w:rPr>
        <w:t xml:space="preserve">would be carried out via an </w:t>
      </w:r>
      <w:r w:rsidR="00C4026F">
        <w:rPr>
          <w:rFonts w:cs="Helvetica"/>
        </w:rPr>
        <w:t>ombudsman-</w:t>
      </w:r>
      <w:r w:rsidR="00C4026F" w:rsidRPr="00C0336B">
        <w:rPr>
          <w:rFonts w:cs="Helvetica"/>
        </w:rPr>
        <w:t>mediated process</w:t>
      </w:r>
      <w:r w:rsidR="000D2567">
        <w:rPr>
          <w:rFonts w:cs="Helvetica"/>
        </w:rPr>
        <w:t xml:space="preserve">. </w:t>
      </w:r>
      <w:r w:rsidR="009463B7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The </w:t>
      </w:r>
      <w:r w:rsidR="00C4026F">
        <w:rPr>
          <w:rFonts w:cs="Helvetica"/>
        </w:rPr>
        <w:t>B</w:t>
      </w:r>
      <w:r w:rsidR="00C4026F" w:rsidRPr="00C0336B">
        <w:rPr>
          <w:rFonts w:cs="Helvetica"/>
        </w:rPr>
        <w:t xml:space="preserve">oard would be required to adopt </w:t>
      </w:r>
      <w:r w:rsidR="00C54ED1">
        <w:rPr>
          <w:rFonts w:cs="Helvetica"/>
        </w:rPr>
        <w:t>a</w:t>
      </w:r>
      <w:r w:rsidR="00C54ED1" w:rsidRPr="00C0336B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Decision of the Community unless </w:t>
      </w:r>
      <w:r w:rsidR="009463B7">
        <w:rPr>
          <w:rFonts w:cs="Helvetica"/>
        </w:rPr>
        <w:t xml:space="preserve">a </w:t>
      </w:r>
      <w:r w:rsidR="00C4026F" w:rsidRPr="00C0336B">
        <w:rPr>
          <w:rFonts w:cs="Helvetica"/>
        </w:rPr>
        <w:t>unanimous or super-majority</w:t>
      </w:r>
      <w:r w:rsidR="00C54ED1">
        <w:rPr>
          <w:rFonts w:cs="Helvetica"/>
        </w:rPr>
        <w:t xml:space="preserve"> vote</w:t>
      </w:r>
      <w:r w:rsidR="009463B7">
        <w:rPr>
          <w:rFonts w:cs="Helvetica"/>
        </w:rPr>
        <w:t xml:space="preserve"> rejected the decision</w:t>
      </w:r>
      <w:r w:rsidR="00C54ED1">
        <w:rPr>
          <w:rFonts w:cs="Helvetica"/>
        </w:rPr>
        <w:t xml:space="preserve">. </w:t>
      </w:r>
      <w:r w:rsidR="009463B7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The </w:t>
      </w:r>
      <w:r w:rsidR="00C4026F">
        <w:rPr>
          <w:rFonts w:cs="Helvetica"/>
        </w:rPr>
        <w:t>B</w:t>
      </w:r>
      <w:r w:rsidR="00C4026F" w:rsidRPr="00C0336B">
        <w:rPr>
          <w:rFonts w:cs="Helvetica"/>
        </w:rPr>
        <w:t>oard would retain ultimate decision</w:t>
      </w:r>
      <w:r w:rsidR="009463B7">
        <w:rPr>
          <w:rFonts w:cs="Helvetica"/>
        </w:rPr>
        <w:t>-making</w:t>
      </w:r>
      <w:r w:rsidR="00C4026F" w:rsidRPr="00C0336B">
        <w:rPr>
          <w:rFonts w:cs="Helvetica"/>
        </w:rPr>
        <w:t xml:space="preserve"> authority as required by Cal</w:t>
      </w:r>
      <w:r w:rsidR="00C4026F">
        <w:rPr>
          <w:rFonts w:cs="Helvetica"/>
        </w:rPr>
        <w:t>ifornia</w:t>
      </w:r>
      <w:r w:rsidR="008B30D3">
        <w:rPr>
          <w:rFonts w:cs="Helvetica"/>
        </w:rPr>
        <w:t xml:space="preserve"> Corporate L</w:t>
      </w:r>
      <w:r w:rsidR="00C4026F" w:rsidRPr="00C0336B">
        <w:rPr>
          <w:rFonts w:cs="Helvetica"/>
        </w:rPr>
        <w:t>aw</w:t>
      </w:r>
      <w:r w:rsidR="00C4026F">
        <w:rPr>
          <w:rFonts w:cs="Helvetica"/>
        </w:rPr>
        <w:t xml:space="preserve">. </w:t>
      </w:r>
    </w:p>
    <w:p w14:paraId="268C1BA9" w14:textId="52452838" w:rsidR="00C0336B" w:rsidRPr="007C705D" w:rsidRDefault="009463B7" w:rsidP="00C0516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This process</w:t>
      </w:r>
      <w:r w:rsidR="00CD385C">
        <w:rPr>
          <w:rFonts w:cs="Helvetica"/>
        </w:rPr>
        <w:t xml:space="preserve"> </w:t>
      </w:r>
      <w:r w:rsidR="007C705D" w:rsidRPr="004974B3">
        <w:rPr>
          <w:rFonts w:cs="Helvetica"/>
        </w:rPr>
        <w:t>would be co</w:t>
      </w:r>
      <w:r w:rsidR="0019047F" w:rsidRPr="004974B3">
        <w:rPr>
          <w:rFonts w:cs="Helvetica"/>
        </w:rPr>
        <w:t>mbin</w:t>
      </w:r>
      <w:r w:rsidR="007C705D" w:rsidRPr="004974B3">
        <w:rPr>
          <w:rFonts w:cs="Helvetica"/>
        </w:rPr>
        <w:t xml:space="preserve">ed with </w:t>
      </w:r>
      <w:r w:rsidR="000145E4" w:rsidRPr="004974B3">
        <w:rPr>
          <w:rFonts w:cs="Helvetica"/>
        </w:rPr>
        <w:t xml:space="preserve">a </w:t>
      </w:r>
      <w:r w:rsidR="00C4026F" w:rsidRPr="004974B3">
        <w:rPr>
          <w:rFonts w:cs="Helvetica"/>
        </w:rPr>
        <w:t xml:space="preserve">recall </w:t>
      </w:r>
      <w:r w:rsidR="00D30C18">
        <w:rPr>
          <w:rFonts w:cs="Helvetica"/>
        </w:rPr>
        <w:t>mechanism</w:t>
      </w:r>
      <w:r>
        <w:rPr>
          <w:rFonts w:cs="Helvetica"/>
        </w:rPr>
        <w:t xml:space="preserve"> of</w:t>
      </w:r>
      <w:r w:rsidR="00D30C18">
        <w:rPr>
          <w:rFonts w:cs="Helvetica"/>
        </w:rPr>
        <w:t xml:space="preserve"> some or all </w:t>
      </w:r>
      <w:r w:rsidR="004974B3" w:rsidRPr="004974B3">
        <w:rPr>
          <w:rFonts w:cs="Helvetica"/>
        </w:rPr>
        <w:t>Board members</w:t>
      </w:r>
      <w:r w:rsidR="004974B3">
        <w:rPr>
          <w:rFonts w:cs="Helvetica"/>
        </w:rPr>
        <w:t>.</w:t>
      </w:r>
    </w:p>
    <w:p w14:paraId="4AE4B0B2" w14:textId="2C3BE6DE" w:rsidR="00456370" w:rsidRPr="00EB76BC" w:rsidRDefault="009463B7" w:rsidP="00EB76B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</w:t>
      </w:r>
      <w:r w:rsidRPr="00796E39">
        <w:rPr>
          <w:rFonts w:cs="Helvetica"/>
        </w:rPr>
        <w:t xml:space="preserve"> </w:t>
      </w:r>
      <w:r w:rsidR="000145E4" w:rsidRPr="00796E39">
        <w:rPr>
          <w:rFonts w:cs="Helvetica"/>
        </w:rPr>
        <w:t xml:space="preserve">proposal triggered questions of how </w:t>
      </w:r>
      <w:r>
        <w:rPr>
          <w:rFonts w:cs="Helvetica"/>
        </w:rPr>
        <w:t>it could</w:t>
      </w:r>
      <w:r w:rsidR="00954651">
        <w:rPr>
          <w:rFonts w:cs="Helvetica"/>
        </w:rPr>
        <w:t xml:space="preserve"> </w:t>
      </w:r>
      <w:r w:rsidR="000145E4" w:rsidRPr="00796E39">
        <w:rPr>
          <w:rFonts w:cs="Helvetica"/>
        </w:rPr>
        <w:t xml:space="preserve">be exercised in a non-member organization. </w:t>
      </w:r>
      <w:r w:rsidR="003A4EC9" w:rsidRPr="00EB76BC">
        <w:rPr>
          <w:rFonts w:cs="Helvetica"/>
        </w:rPr>
        <w:t xml:space="preserve"> </w:t>
      </w:r>
      <w:r w:rsidR="00520109" w:rsidRPr="00EB76BC">
        <w:rPr>
          <w:rFonts w:cs="Helvetica"/>
        </w:rPr>
        <w:t xml:space="preserve">  </w:t>
      </w:r>
    </w:p>
    <w:p w14:paraId="425B8BA2" w14:textId="77777777" w:rsidR="001D1B8A" w:rsidRPr="001D1B8A" w:rsidRDefault="001D1B8A" w:rsidP="001D1B8A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4D08A011" w14:textId="77777777" w:rsidR="009C7892" w:rsidRPr="008E5520" w:rsidRDefault="009C7892" w:rsidP="009C78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8E5520">
        <w:rPr>
          <w:rFonts w:cs="Helvetica"/>
          <w:b/>
        </w:rPr>
        <w:t xml:space="preserve">Review, Redress, Binding &amp; Independence </w:t>
      </w:r>
    </w:p>
    <w:p w14:paraId="5EF17A53" w14:textId="77777777" w:rsidR="008E5520" w:rsidRDefault="00FD1B56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It was suggested that mechanisms could be classified as </w:t>
      </w:r>
      <w:r w:rsidR="001F4E1D">
        <w:rPr>
          <w:rFonts w:cs="Helvetica"/>
        </w:rPr>
        <w:t xml:space="preserve">review and redress, </w:t>
      </w:r>
      <w:r>
        <w:rPr>
          <w:rFonts w:cs="Helvetica"/>
        </w:rPr>
        <w:t>independent</w:t>
      </w:r>
      <w:r w:rsidR="001F4E1D">
        <w:rPr>
          <w:rFonts w:cs="Helvetica"/>
        </w:rPr>
        <w:t xml:space="preserve"> or not, and binding or not.</w:t>
      </w:r>
    </w:p>
    <w:p w14:paraId="70EEAD4C" w14:textId="00DFFBBC" w:rsidR="00B96729" w:rsidRDefault="00991EEA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C</w:t>
      </w:r>
      <w:r w:rsidR="00B96729">
        <w:rPr>
          <w:rFonts w:cs="Helvetica"/>
        </w:rPr>
        <w:t>larity is needed in any independe</w:t>
      </w:r>
      <w:r w:rsidR="00525D50">
        <w:rPr>
          <w:rFonts w:cs="Helvetica"/>
        </w:rPr>
        <w:t>nt</w:t>
      </w:r>
      <w:r w:rsidR="00B96729">
        <w:rPr>
          <w:rFonts w:cs="Helvetica"/>
        </w:rPr>
        <w:t xml:space="preserve"> mechanism on the standard that is being applied and what redress mechanisms are available for specific actions of the Board or staff. </w:t>
      </w:r>
    </w:p>
    <w:p w14:paraId="0F7B3313" w14:textId="2E742D57" w:rsidR="00B45017" w:rsidRDefault="00B45017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 reference was made to </w:t>
      </w:r>
      <w:hyperlink r:id="rId16" w:history="1">
        <w:r w:rsidRPr="00B45017">
          <w:rPr>
            <w:rStyle w:val="Hyperlink"/>
            <w:rFonts w:cs="Helvetica"/>
          </w:rPr>
          <w:t>Nolan principles</w:t>
        </w:r>
      </w:hyperlink>
      <w:r w:rsidR="00062F0B">
        <w:rPr>
          <w:rFonts w:cs="Helvetica"/>
        </w:rPr>
        <w:t>, which</w:t>
      </w:r>
      <w:r w:rsidR="00AE2E37">
        <w:rPr>
          <w:rFonts w:cs="Helvetica"/>
        </w:rPr>
        <w:t xml:space="preserve"> were described as</w:t>
      </w:r>
      <w:r>
        <w:rPr>
          <w:rFonts w:cs="Helvetica"/>
        </w:rPr>
        <w:t xml:space="preserve"> a useful roadmap when thinking about</w:t>
      </w:r>
      <w:r w:rsidR="00062F0B">
        <w:rPr>
          <w:rFonts w:cs="Helvetica"/>
        </w:rPr>
        <w:t xml:space="preserve"> </w:t>
      </w:r>
      <w:r w:rsidR="00525D50">
        <w:rPr>
          <w:rFonts w:cs="Helvetica"/>
        </w:rPr>
        <w:t>the</w:t>
      </w:r>
      <w:r w:rsidR="00062F0B">
        <w:rPr>
          <w:rFonts w:cs="Helvetica"/>
        </w:rPr>
        <w:t xml:space="preserve"> compos</w:t>
      </w:r>
      <w:r w:rsidR="00525D50">
        <w:rPr>
          <w:rFonts w:cs="Helvetica"/>
        </w:rPr>
        <w:t>ition of</w:t>
      </w:r>
      <w:r>
        <w:rPr>
          <w:rFonts w:cs="Helvetica"/>
        </w:rPr>
        <w:t xml:space="preserve"> independent review panels </w:t>
      </w:r>
      <w:r w:rsidR="00062F0B">
        <w:rPr>
          <w:rFonts w:cs="Helvetica"/>
        </w:rPr>
        <w:t>(IRP)</w:t>
      </w:r>
      <w:r>
        <w:rPr>
          <w:rFonts w:cs="Helvetica"/>
        </w:rPr>
        <w:t xml:space="preserve">. </w:t>
      </w:r>
    </w:p>
    <w:p w14:paraId="04631A20" w14:textId="77777777" w:rsidR="00AE2E37" w:rsidRDefault="00AE2E37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current</w:t>
      </w:r>
      <w:r w:rsidR="00BB2CBE">
        <w:rPr>
          <w:rFonts w:cs="Helvetica"/>
        </w:rPr>
        <w:t xml:space="preserve"> Bylaws</w:t>
      </w:r>
      <w:r>
        <w:rPr>
          <w:rFonts w:cs="Helvetica"/>
        </w:rPr>
        <w:t xml:space="preserve"> </w:t>
      </w:r>
      <w:hyperlink r:id="rId17" w:anchor="IV" w:history="1">
        <w:r w:rsidRPr="002B008B">
          <w:rPr>
            <w:rStyle w:val="Hyperlink"/>
            <w:rFonts w:cs="Helvetica"/>
          </w:rPr>
          <w:t>requirements</w:t>
        </w:r>
      </w:hyperlink>
      <w:r>
        <w:rPr>
          <w:rFonts w:cs="Helvetica"/>
        </w:rPr>
        <w:t xml:space="preserve"> for independent panels were circulated to the list. </w:t>
      </w:r>
    </w:p>
    <w:p w14:paraId="0C0D9B32" w14:textId="3138DE81" w:rsidR="001F4E1D" w:rsidRPr="00BD58F6" w:rsidRDefault="00F57995" w:rsidP="00D41D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Suggested </w:t>
      </w:r>
      <w:r w:rsidR="001F4E1D" w:rsidRPr="002E78C6">
        <w:rPr>
          <w:rFonts w:cs="Helvetica"/>
        </w:rPr>
        <w:t xml:space="preserve">that </w:t>
      </w:r>
      <w:r w:rsidR="00525D50">
        <w:rPr>
          <w:rFonts w:cs="Helvetica"/>
        </w:rPr>
        <w:t>one reason t</w:t>
      </w:r>
      <w:r w:rsidR="001F4E1D" w:rsidRPr="002E78C6">
        <w:rPr>
          <w:rFonts w:cs="Helvetica"/>
        </w:rPr>
        <w:t xml:space="preserve">o invalidate a Board decision </w:t>
      </w:r>
      <w:r w:rsidR="00525D50">
        <w:rPr>
          <w:rFonts w:cs="Helvetica"/>
        </w:rPr>
        <w:t xml:space="preserve">was that in making the decision </w:t>
      </w:r>
      <w:r w:rsidR="001F4E1D" w:rsidRPr="002E78C6">
        <w:rPr>
          <w:rFonts w:cs="Helvetica"/>
        </w:rPr>
        <w:t>the Board ha</w:t>
      </w:r>
      <w:r>
        <w:rPr>
          <w:rFonts w:cs="Helvetica"/>
        </w:rPr>
        <w:t>d</w:t>
      </w:r>
      <w:r w:rsidR="001F4E1D" w:rsidRPr="002E78C6">
        <w:rPr>
          <w:rFonts w:cs="Helvetica"/>
        </w:rPr>
        <w:t xml:space="preserve"> not complied with </w:t>
      </w:r>
      <w:r w:rsidR="00FA55C1">
        <w:rPr>
          <w:rFonts w:cs="Helvetica"/>
        </w:rPr>
        <w:t>the</w:t>
      </w:r>
      <w:r w:rsidR="00FA55C1" w:rsidRPr="002E78C6">
        <w:rPr>
          <w:rFonts w:cs="Helvetica"/>
        </w:rPr>
        <w:t xml:space="preserve"> </w:t>
      </w:r>
      <w:r w:rsidR="001F4E1D" w:rsidRPr="002E78C6">
        <w:rPr>
          <w:rFonts w:cs="Helvetica"/>
        </w:rPr>
        <w:t xml:space="preserve">Bylaws. </w:t>
      </w:r>
    </w:p>
    <w:p w14:paraId="74526441" w14:textId="77777777" w:rsidR="005E42E0" w:rsidRPr="005D047C" w:rsidRDefault="005E42E0" w:rsidP="005D047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17DCFBCA" w14:textId="2504BC37" w:rsidR="005E42E0" w:rsidRPr="00D41DAB" w:rsidRDefault="00BF3225" w:rsidP="005E42E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D41DAB">
        <w:rPr>
          <w:rFonts w:cs="Helvetica"/>
          <w:b/>
        </w:rPr>
        <w:t xml:space="preserve">Approval of Key Decisions, the </w:t>
      </w:r>
      <w:r w:rsidR="005E42E0" w:rsidRPr="00D41DAB">
        <w:rPr>
          <w:rFonts w:cs="Helvetica"/>
          <w:b/>
        </w:rPr>
        <w:t xml:space="preserve">“Community” Avenue of Work </w:t>
      </w:r>
    </w:p>
    <w:p w14:paraId="13B436B3" w14:textId="7C0825D2" w:rsidR="0044375C" w:rsidRDefault="00BF3225" w:rsidP="005E42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</w:t>
      </w:r>
      <w:r w:rsidR="0044375C">
        <w:rPr>
          <w:rFonts w:cs="Helvetica"/>
        </w:rPr>
        <w:t xml:space="preserve"> mind map</w:t>
      </w:r>
      <w:r w:rsidR="005D2A5D">
        <w:rPr>
          <w:rFonts w:cs="Helvetica"/>
        </w:rPr>
        <w:t xml:space="preserve"> from the Frankfurt meeting</w:t>
      </w:r>
      <w:r w:rsidR="00ED47A6">
        <w:rPr>
          <w:rFonts w:cs="Helvetica"/>
        </w:rPr>
        <w:t xml:space="preserve"> established a new work area </w:t>
      </w:r>
      <w:r>
        <w:rPr>
          <w:rFonts w:cs="Helvetica"/>
        </w:rPr>
        <w:t xml:space="preserve">to develop proposals on the enhanced roll of the community in key decisions, </w:t>
      </w:r>
      <w:hyperlink r:id="rId18" w:history="1">
        <w:r w:rsidRPr="00ED47A6">
          <w:rPr>
            <w:rStyle w:val="Hyperlink"/>
            <w:rFonts w:cs="Helvetica"/>
          </w:rPr>
          <w:t>initial scope</w:t>
        </w:r>
      </w:hyperlink>
      <w:r>
        <w:rPr>
          <w:rFonts w:cs="Helvetica"/>
        </w:rPr>
        <w:t xml:space="preserve"> of this work was presented on the list</w:t>
      </w:r>
      <w:r w:rsidR="00B25B30">
        <w:rPr>
          <w:rFonts w:cs="Helvetica"/>
        </w:rPr>
        <w:t>.</w:t>
      </w:r>
    </w:p>
    <w:p w14:paraId="03A31AFE" w14:textId="77777777" w:rsidR="00C61728" w:rsidRDefault="00C61728" w:rsidP="00C61728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234F2AF6" w14:textId="77777777" w:rsidR="00C61728" w:rsidRPr="00C3197E" w:rsidRDefault="00C61728" w:rsidP="00C6172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C3197E">
        <w:rPr>
          <w:rFonts w:cs="Helvetica"/>
          <w:b/>
        </w:rPr>
        <w:t xml:space="preserve">IANA Transition in the Bylaws </w:t>
      </w:r>
    </w:p>
    <w:p w14:paraId="2F2FEB0C" w14:textId="2ACDAB92" w:rsidR="008D2416" w:rsidRDefault="00A617E1" w:rsidP="00C617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It was suggested that it </w:t>
      </w:r>
      <w:r w:rsidR="00105CEE">
        <w:rPr>
          <w:rFonts w:cs="Helvetica"/>
        </w:rPr>
        <w:t xml:space="preserve">text </w:t>
      </w:r>
      <w:r w:rsidR="00C61728">
        <w:rPr>
          <w:rFonts w:cs="Helvetica"/>
        </w:rPr>
        <w:t>regarding the process and steps to transition the IANA function outside of the organization</w:t>
      </w:r>
      <w:r w:rsidR="00534000">
        <w:rPr>
          <w:rFonts w:cs="Helvetica"/>
        </w:rPr>
        <w:t>,</w:t>
      </w:r>
      <w:r w:rsidR="00C61728">
        <w:rPr>
          <w:rFonts w:cs="Helvetica"/>
        </w:rPr>
        <w:t xml:space="preserve"> </w:t>
      </w:r>
      <w:r w:rsidR="00105CEE">
        <w:rPr>
          <w:rFonts w:cs="Helvetica"/>
        </w:rPr>
        <w:t>could be added to the Bylaws</w:t>
      </w:r>
      <w:r w:rsidR="00C61728">
        <w:rPr>
          <w:rFonts w:cs="Helvetica"/>
        </w:rPr>
        <w:t xml:space="preserve">. </w:t>
      </w:r>
    </w:p>
    <w:p w14:paraId="5C58F05E" w14:textId="6E3D8411" w:rsidR="00C61728" w:rsidRDefault="00105CEE" w:rsidP="00C617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</w:t>
      </w:r>
      <w:r w:rsidR="008D2416">
        <w:rPr>
          <w:rFonts w:cs="Helvetica"/>
        </w:rPr>
        <w:t>he current NTIA contract contains obligations on ICANN to facilitate the transfer of the IANA function to another party at the expiration and non-renewal of the contract</w:t>
      </w:r>
      <w:r>
        <w:rPr>
          <w:rFonts w:cs="Helvetica"/>
        </w:rPr>
        <w:t xml:space="preserve">; this language </w:t>
      </w:r>
      <w:r w:rsidR="008D2416">
        <w:rPr>
          <w:rFonts w:cs="Helvetica"/>
        </w:rPr>
        <w:t xml:space="preserve">might be useful </w:t>
      </w:r>
      <w:r>
        <w:rPr>
          <w:rFonts w:cs="Helvetica"/>
        </w:rPr>
        <w:t>when considering drafting such B</w:t>
      </w:r>
      <w:r w:rsidR="008D2416">
        <w:rPr>
          <w:rFonts w:cs="Helvetica"/>
        </w:rPr>
        <w:t xml:space="preserve">ylaw </w:t>
      </w:r>
      <w:r>
        <w:rPr>
          <w:rFonts w:cs="Helvetica"/>
        </w:rPr>
        <w:t>amendments</w:t>
      </w:r>
      <w:r w:rsidR="008D2416">
        <w:rPr>
          <w:rFonts w:cs="Helvetica"/>
        </w:rPr>
        <w:t xml:space="preserve">. </w:t>
      </w:r>
    </w:p>
    <w:p w14:paraId="5B0A2B27" w14:textId="0DEE7C87" w:rsidR="00AB1493" w:rsidRDefault="002D22DB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lastRenderedPageBreak/>
        <w:t>F</w:t>
      </w:r>
      <w:r w:rsidR="00A617E1">
        <w:rPr>
          <w:rFonts w:cs="Helvetica"/>
        </w:rPr>
        <w:t>lagged as a</w:t>
      </w:r>
      <w:r>
        <w:rPr>
          <w:rFonts w:cs="Helvetica"/>
        </w:rPr>
        <w:t xml:space="preserve"> potential</w:t>
      </w:r>
      <w:r w:rsidR="00A617E1">
        <w:rPr>
          <w:rFonts w:cs="Helvetica"/>
        </w:rPr>
        <w:t xml:space="preserve"> </w:t>
      </w:r>
      <w:r>
        <w:rPr>
          <w:rFonts w:cs="Helvetica"/>
        </w:rPr>
        <w:t xml:space="preserve">issue for </w:t>
      </w:r>
      <w:r w:rsidR="00A617E1">
        <w:rPr>
          <w:rFonts w:cs="Helvetica"/>
        </w:rPr>
        <w:t>independent legal advice.</w:t>
      </w:r>
    </w:p>
    <w:p w14:paraId="30264B50" w14:textId="77777777" w:rsidR="008E5520" w:rsidRDefault="00A617E1" w:rsidP="00AB1493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  <w:r>
        <w:rPr>
          <w:rFonts w:cs="Helvetica"/>
        </w:rPr>
        <w:t xml:space="preserve"> </w:t>
      </w:r>
    </w:p>
    <w:p w14:paraId="4824153A" w14:textId="77777777" w:rsidR="00AB1493" w:rsidRPr="00021459" w:rsidRDefault="00AB1493" w:rsidP="00AB149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021459">
        <w:rPr>
          <w:rFonts w:cs="Helvetica"/>
          <w:b/>
        </w:rPr>
        <w:t>SO/ACs</w:t>
      </w:r>
      <w:r w:rsidR="00021459">
        <w:rPr>
          <w:rFonts w:cs="Helvetica"/>
          <w:b/>
        </w:rPr>
        <w:t>’</w:t>
      </w:r>
      <w:r w:rsidRPr="00021459">
        <w:rPr>
          <w:rFonts w:cs="Helvetica"/>
          <w:b/>
        </w:rPr>
        <w:t xml:space="preserve"> Accountability</w:t>
      </w:r>
    </w:p>
    <w:p w14:paraId="2B4F31C1" w14:textId="15863BCF" w:rsidR="00AB1493" w:rsidRPr="00AB1493" w:rsidRDefault="00AB1493" w:rsidP="00AB149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 suggestion was made that the</w:t>
      </w:r>
      <w:r w:rsidR="00967A91">
        <w:rPr>
          <w:rFonts w:cs="Helvetica"/>
        </w:rPr>
        <w:t xml:space="preserve"> SO/AC should be subject to the</w:t>
      </w:r>
      <w:r>
        <w:rPr>
          <w:rFonts w:cs="Helvetica"/>
        </w:rPr>
        <w:t xml:space="preserve"> same accountability </w:t>
      </w:r>
      <w:r w:rsidR="00967A91">
        <w:rPr>
          <w:rFonts w:cs="Helvetica"/>
        </w:rPr>
        <w:t>mechanisms</w:t>
      </w:r>
      <w:r>
        <w:rPr>
          <w:rFonts w:cs="Helvetica"/>
        </w:rPr>
        <w:t xml:space="preserve">. </w:t>
      </w:r>
    </w:p>
    <w:p w14:paraId="1834913B" w14:textId="77777777" w:rsidR="009362CA" w:rsidRDefault="009362CA" w:rsidP="00D64CB0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33B44F4A" w14:textId="77777777" w:rsidR="00472ADC" w:rsidRPr="00D64CB0" w:rsidRDefault="00472ADC" w:rsidP="00D64CB0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7528EF8" w14:textId="77777777" w:rsidR="00B35C31" w:rsidRPr="00A13B1A" w:rsidRDefault="00B35C31" w:rsidP="00D36AEC">
      <w:pPr>
        <w:pStyle w:val="Heading2"/>
        <w:rPr>
          <w:rFonts w:asciiTheme="minorHAnsi" w:hAnsiTheme="minorHAnsi"/>
        </w:rPr>
      </w:pPr>
      <w:r w:rsidRPr="00A13B1A">
        <w:rPr>
          <w:rFonts w:asciiTheme="minorHAnsi" w:hAnsiTheme="minorHAnsi"/>
        </w:rPr>
        <w:t>Work Area 1: Existing Accountability Mechanisms (including ATRT 1 &amp; ATRT 2 Recommendations) </w:t>
      </w:r>
      <w:r w:rsidR="00A54449">
        <w:rPr>
          <w:rFonts w:asciiTheme="minorHAnsi" w:hAnsiTheme="minorHAnsi"/>
        </w:rPr>
        <w:t>(</w:t>
      </w:r>
      <w:hyperlink r:id="rId19" w:history="1">
        <w:r w:rsidR="00A54449" w:rsidRPr="00A05577">
          <w:rPr>
            <w:rStyle w:val="Hyperlink"/>
            <w:rFonts w:asciiTheme="minorHAnsi" w:hAnsiTheme="minorHAnsi"/>
          </w:rPr>
          <w:t>archives</w:t>
        </w:r>
      </w:hyperlink>
      <w:r w:rsidR="00A54449">
        <w:rPr>
          <w:rFonts w:asciiTheme="minorHAnsi" w:hAnsiTheme="minorHAnsi"/>
        </w:rPr>
        <w:t>)</w:t>
      </w:r>
    </w:p>
    <w:p w14:paraId="254385B4" w14:textId="77777777" w:rsidR="00D36AEC" w:rsidRPr="00A13B1A" w:rsidRDefault="00D36AEC" w:rsidP="00D36AEC"/>
    <w:p w14:paraId="2A6D1A6A" w14:textId="34D48BCF" w:rsidR="00B76160" w:rsidRPr="00BD5B11" w:rsidRDefault="00967A91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Suggestions that</w:t>
      </w:r>
      <w:r w:rsidR="00340EF7" w:rsidRPr="00BD5B11">
        <w:rPr>
          <w:rFonts w:cs="Courier"/>
          <w:color w:val="000000"/>
          <w:szCs w:val="20"/>
        </w:rPr>
        <w:t xml:space="preserve"> redress may be sought if the review does not </w:t>
      </w:r>
      <w:r w:rsidR="007A0346">
        <w:rPr>
          <w:rFonts w:cs="Courier"/>
          <w:color w:val="000000"/>
          <w:szCs w:val="20"/>
        </w:rPr>
        <w:t>re</w:t>
      </w:r>
      <w:r w:rsidR="00340EF7" w:rsidRPr="00BD5B11">
        <w:rPr>
          <w:rFonts w:cs="Courier"/>
          <w:color w:val="000000"/>
          <w:szCs w:val="20"/>
        </w:rPr>
        <w:t xml:space="preserve">solve </w:t>
      </w:r>
      <w:r w:rsidR="007A0346">
        <w:rPr>
          <w:rFonts w:cs="Courier"/>
          <w:color w:val="000000"/>
          <w:szCs w:val="20"/>
        </w:rPr>
        <w:t>an</w:t>
      </w:r>
      <w:r w:rsidR="007A0346" w:rsidRPr="00BD5B11">
        <w:rPr>
          <w:rFonts w:cs="Courier"/>
          <w:color w:val="000000"/>
          <w:szCs w:val="20"/>
        </w:rPr>
        <w:t xml:space="preserve"> </w:t>
      </w:r>
      <w:r w:rsidR="00340EF7" w:rsidRPr="00BD5B11">
        <w:rPr>
          <w:rFonts w:cs="Courier"/>
          <w:color w:val="000000"/>
          <w:szCs w:val="20"/>
        </w:rPr>
        <w:t xml:space="preserve">issue, </w:t>
      </w:r>
      <w:r>
        <w:rPr>
          <w:rFonts w:cs="Courier"/>
          <w:color w:val="000000"/>
          <w:szCs w:val="20"/>
        </w:rPr>
        <w:t xml:space="preserve">however there were other comments </w:t>
      </w:r>
      <w:r w:rsidR="00340EF7" w:rsidRPr="00BD5B11">
        <w:rPr>
          <w:rFonts w:cs="Courier"/>
          <w:color w:val="000000"/>
          <w:szCs w:val="20"/>
        </w:rPr>
        <w:t xml:space="preserve">that the former is a pre-requisite of the latter. </w:t>
      </w:r>
    </w:p>
    <w:p w14:paraId="369B2E0C" w14:textId="05C103C1" w:rsidR="00BD5B11" w:rsidRPr="00E94543" w:rsidRDefault="00BD5B11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The UDRP referred to as an example of a</w:t>
      </w:r>
      <w:r w:rsidR="006C406B">
        <w:rPr>
          <w:rFonts w:cs="Courier"/>
          <w:color w:val="000000"/>
          <w:szCs w:val="20"/>
        </w:rPr>
        <w:t xml:space="preserve">n ICANN </w:t>
      </w:r>
      <w:r>
        <w:rPr>
          <w:rFonts w:cs="Courier"/>
          <w:color w:val="000000"/>
          <w:szCs w:val="20"/>
        </w:rPr>
        <w:t xml:space="preserve">process that includes review and redress. </w:t>
      </w:r>
    </w:p>
    <w:p w14:paraId="7A425E85" w14:textId="7A997BBD" w:rsidR="00E94543" w:rsidRPr="00AC013E" w:rsidRDefault="00E94543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The Ombudsman</w:t>
      </w:r>
      <w:r w:rsidR="00D117F7">
        <w:rPr>
          <w:rFonts w:cs="Courier"/>
          <w:color w:val="000000"/>
          <w:szCs w:val="20"/>
        </w:rPr>
        <w:t xml:space="preserve"> mechanism</w:t>
      </w:r>
      <w:r>
        <w:rPr>
          <w:rFonts w:cs="Courier"/>
          <w:color w:val="000000"/>
          <w:szCs w:val="20"/>
        </w:rPr>
        <w:t xml:space="preserve"> flagged as a mediation service that does not follow a conventional review and redress process. </w:t>
      </w:r>
    </w:p>
    <w:p w14:paraId="5F30FE30" w14:textId="4F2A0FC9" w:rsidR="00AC013E" w:rsidRPr="00E94543" w:rsidRDefault="00AC013E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It was stressed that a clear delineation between “review” and “redress” mechanism</w:t>
      </w:r>
      <w:r w:rsidR="006C654C">
        <w:rPr>
          <w:rFonts w:cs="Courier"/>
          <w:color w:val="000000"/>
          <w:szCs w:val="20"/>
        </w:rPr>
        <w:t>s</w:t>
      </w:r>
      <w:r>
        <w:rPr>
          <w:rFonts w:cs="Courier"/>
          <w:color w:val="000000"/>
          <w:szCs w:val="20"/>
        </w:rPr>
        <w:t xml:space="preserve"> </w:t>
      </w:r>
      <w:r w:rsidR="006C654C">
        <w:rPr>
          <w:rFonts w:cs="Courier"/>
          <w:color w:val="000000"/>
          <w:szCs w:val="20"/>
        </w:rPr>
        <w:t>is</w:t>
      </w:r>
      <w:r>
        <w:rPr>
          <w:rFonts w:cs="Courier"/>
          <w:color w:val="000000"/>
          <w:szCs w:val="20"/>
        </w:rPr>
        <w:t xml:space="preserve"> needed, the proposed delineation being the ability of the outcome to be binding. </w:t>
      </w:r>
    </w:p>
    <w:p w14:paraId="75946A99" w14:textId="77777777" w:rsidR="00BF7FED" w:rsidRPr="00BF7FED" w:rsidRDefault="00B35C31" w:rsidP="00AC013E">
      <w:pPr>
        <w:pStyle w:val="Heading2"/>
      </w:pPr>
      <w:r w:rsidRPr="00A13B1A">
        <w:t>Work Area 2: Review Input from Public Comment and Categorize Items into Work Streams 1 &amp; 2 (WS1 WS2)</w:t>
      </w:r>
      <w:r w:rsidR="00A54449">
        <w:t xml:space="preserve"> (</w:t>
      </w:r>
      <w:hyperlink r:id="rId20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59CA76C0" w14:textId="77777777" w:rsidR="00AC013E" w:rsidRDefault="00AC013E" w:rsidP="00AC013E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473A97AA" w14:textId="77777777" w:rsidR="00AC013E" w:rsidRDefault="00AC013E" w:rsidP="00AC01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WA2 rapporteur encouraged the CCWG to review the </w:t>
      </w:r>
      <w:hyperlink r:id="rId21" w:history="1">
        <w:r w:rsidRPr="004D38B2">
          <w:rPr>
            <w:rStyle w:val="Hyperlink"/>
            <w:rFonts w:cs="Helvetica"/>
          </w:rPr>
          <w:t>revised inventory</w:t>
        </w:r>
      </w:hyperlink>
      <w:r>
        <w:rPr>
          <w:rFonts w:cs="Helvetica"/>
        </w:rPr>
        <w:t xml:space="preserve"> and indicated that prioritization would be opportune.</w:t>
      </w:r>
    </w:p>
    <w:p w14:paraId="2DD92E86" w14:textId="77777777" w:rsidR="00AC013E" w:rsidRDefault="00632B28" w:rsidP="00AC01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hyperlink r:id="rId22" w:history="1">
        <w:r w:rsidR="00AC013E" w:rsidRPr="00372986">
          <w:rPr>
            <w:rStyle w:val="Hyperlink"/>
            <w:rFonts w:cs="Helvetica"/>
          </w:rPr>
          <w:t>Proposed requirements</w:t>
        </w:r>
      </w:hyperlink>
      <w:r w:rsidR="00AC013E">
        <w:rPr>
          <w:rFonts w:cs="Helvetica"/>
        </w:rPr>
        <w:t xml:space="preserve"> were extracted from the Work Area 2 to advance the inventory for requirements discussion in Frankfurt. </w:t>
      </w:r>
    </w:p>
    <w:p w14:paraId="7FDA9561" w14:textId="77777777" w:rsidR="00F0450D" w:rsidRDefault="00F0450D" w:rsidP="00F0450D">
      <w:pPr>
        <w:pStyle w:val="Heading2"/>
      </w:pPr>
      <w:r w:rsidRPr="00A13B1A">
        <w:t xml:space="preserve">Work Area </w:t>
      </w:r>
      <w:r>
        <w:t>3</w:t>
      </w:r>
      <w:r w:rsidRPr="00A13B1A">
        <w:t xml:space="preserve">: </w:t>
      </w:r>
      <w:r w:rsidRPr="00F0450D">
        <w:t>Review Issues Identified by CWG-Stewardship</w:t>
      </w:r>
      <w:r w:rsidR="00A54449">
        <w:t xml:space="preserve"> (</w:t>
      </w:r>
      <w:hyperlink r:id="rId23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7FA1AE1C" w14:textId="77777777" w:rsidR="00127403" w:rsidRPr="00127403" w:rsidRDefault="00127403" w:rsidP="00127403"/>
    <w:p w14:paraId="78A15C62" w14:textId="6F9D4EE8" w:rsidR="00127403" w:rsidRPr="00426DE8" w:rsidRDefault="00127403" w:rsidP="001274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</w:t>
      </w:r>
      <w:hyperlink r:id="rId24" w:history="1">
        <w:r w:rsidRPr="006E471A">
          <w:rPr>
            <w:rStyle w:val="Hyperlink"/>
            <w:rFonts w:cs="Helvetica"/>
          </w:rPr>
          <w:t>dependencies</w:t>
        </w:r>
      </w:hyperlink>
      <w:r>
        <w:rPr>
          <w:rFonts w:cs="Helvetica"/>
        </w:rPr>
        <w:t xml:space="preserve"> on ICANN accountabilities </w:t>
      </w:r>
      <w:r w:rsidR="00C16484">
        <w:rPr>
          <w:rFonts w:cs="Helvetica"/>
        </w:rPr>
        <w:t>identified</w:t>
      </w:r>
      <w:r>
        <w:rPr>
          <w:rFonts w:cs="Helvetica"/>
        </w:rPr>
        <w:t xml:space="preserve"> by the CWG-Stewardship to date were flagged with a note that dependency concerns may be more applicable to one model or the other. </w:t>
      </w:r>
      <w:r w:rsidR="006820BD">
        <w:rPr>
          <w:rFonts w:cs="Helvetica"/>
        </w:rPr>
        <w:t>(Note.  The link is to a living document being updated by CWG membership).</w:t>
      </w:r>
    </w:p>
    <w:p w14:paraId="61621150" w14:textId="77777777" w:rsidR="00B35C31" w:rsidRPr="00A13B1A" w:rsidRDefault="00B35C31" w:rsidP="00A04E50">
      <w:pPr>
        <w:pStyle w:val="Heading2"/>
      </w:pPr>
      <w:r w:rsidRPr="00A13B1A">
        <w:t xml:space="preserve">Work Area 4: Identify Contingencies </w:t>
      </w:r>
      <w:r w:rsidR="00A54449">
        <w:t>(</w:t>
      </w:r>
      <w:hyperlink r:id="rId25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0A3F11B1" w14:textId="77777777" w:rsidR="00FF0FBD" w:rsidRDefault="00FF0FBD"/>
    <w:p w14:paraId="30966ECC" w14:textId="7A69C7DD" w:rsidR="00A04E50" w:rsidRPr="00A13B1A" w:rsidRDefault="006820BD" w:rsidP="00D36FF0">
      <w:pPr>
        <w:pStyle w:val="ListParagraph"/>
        <w:numPr>
          <w:ilvl w:val="0"/>
          <w:numId w:val="2"/>
        </w:numPr>
      </w:pPr>
      <w:r>
        <w:t>T</w:t>
      </w:r>
      <w:r w:rsidR="00C64A55">
        <w:t xml:space="preserve">he contingencies list </w:t>
      </w:r>
      <w:r>
        <w:t xml:space="preserve">was </w:t>
      </w:r>
      <w:hyperlink r:id="rId26" w:history="1">
        <w:r w:rsidRPr="00C64A55">
          <w:rPr>
            <w:rStyle w:val="Hyperlink"/>
          </w:rPr>
          <w:t>crosschecked</w:t>
        </w:r>
      </w:hyperlink>
      <w:r>
        <w:rPr>
          <w:rStyle w:val="Hyperlink"/>
        </w:rPr>
        <w:t xml:space="preserve"> </w:t>
      </w:r>
      <w:r>
        <w:t xml:space="preserve">against the WA2 inventory </w:t>
      </w:r>
      <w:r w:rsidR="00D36FF0">
        <w:t xml:space="preserve">to ensure </w:t>
      </w:r>
      <w:r>
        <w:t xml:space="preserve">they are </w:t>
      </w:r>
      <w:r w:rsidR="00D36FF0">
        <w:t xml:space="preserve">reflected in </w:t>
      </w:r>
      <w:r>
        <w:t>WA</w:t>
      </w:r>
      <w:r w:rsidR="005C4215">
        <w:t>4</w:t>
      </w:r>
      <w:r w:rsidR="00D36FF0">
        <w:t xml:space="preserve">. </w:t>
      </w:r>
    </w:p>
    <w:sectPr w:rsidR="00A04E50" w:rsidRPr="00A13B1A" w:rsidSect="0057467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B8"/>
    <w:multiLevelType w:val="hybridMultilevel"/>
    <w:tmpl w:val="A46A0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B04D79"/>
    <w:multiLevelType w:val="hybridMultilevel"/>
    <w:tmpl w:val="2F900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E585A"/>
    <w:multiLevelType w:val="hybridMultilevel"/>
    <w:tmpl w:val="7932D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963442"/>
    <w:multiLevelType w:val="hybridMultilevel"/>
    <w:tmpl w:val="01DA4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F6104"/>
    <w:multiLevelType w:val="hybridMultilevel"/>
    <w:tmpl w:val="6408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7D79"/>
    <w:multiLevelType w:val="hybridMultilevel"/>
    <w:tmpl w:val="B23E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C30D0"/>
    <w:multiLevelType w:val="hybridMultilevel"/>
    <w:tmpl w:val="C1D0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E743C"/>
    <w:multiLevelType w:val="hybridMultilevel"/>
    <w:tmpl w:val="0BFE9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34497"/>
    <w:multiLevelType w:val="hybridMultilevel"/>
    <w:tmpl w:val="37E6BC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66724"/>
    <w:multiLevelType w:val="hybridMultilevel"/>
    <w:tmpl w:val="68F0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4111B2"/>
    <w:multiLevelType w:val="hybridMultilevel"/>
    <w:tmpl w:val="0E7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43534"/>
    <w:multiLevelType w:val="multilevel"/>
    <w:tmpl w:val="C1D0B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21C4B"/>
    <w:multiLevelType w:val="hybridMultilevel"/>
    <w:tmpl w:val="BB064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463A04"/>
    <w:multiLevelType w:val="hybridMultilevel"/>
    <w:tmpl w:val="BC2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1"/>
    <w:rsid w:val="000145E4"/>
    <w:rsid w:val="00021459"/>
    <w:rsid w:val="000232A5"/>
    <w:rsid w:val="000238D3"/>
    <w:rsid w:val="0003541A"/>
    <w:rsid w:val="0004277B"/>
    <w:rsid w:val="00043B40"/>
    <w:rsid w:val="00043CC2"/>
    <w:rsid w:val="000579EB"/>
    <w:rsid w:val="00062F0B"/>
    <w:rsid w:val="00066B21"/>
    <w:rsid w:val="00073565"/>
    <w:rsid w:val="00083ECD"/>
    <w:rsid w:val="00085060"/>
    <w:rsid w:val="000903B8"/>
    <w:rsid w:val="000A65DF"/>
    <w:rsid w:val="000B1D4E"/>
    <w:rsid w:val="000D0BC8"/>
    <w:rsid w:val="000D2567"/>
    <w:rsid w:val="000D3F36"/>
    <w:rsid w:val="000D478A"/>
    <w:rsid w:val="000F14A5"/>
    <w:rsid w:val="00105CEE"/>
    <w:rsid w:val="0011095E"/>
    <w:rsid w:val="00113AF0"/>
    <w:rsid w:val="00120914"/>
    <w:rsid w:val="00127403"/>
    <w:rsid w:val="00142ACF"/>
    <w:rsid w:val="00153A78"/>
    <w:rsid w:val="00155985"/>
    <w:rsid w:val="00155E4B"/>
    <w:rsid w:val="00157F1A"/>
    <w:rsid w:val="00160EEC"/>
    <w:rsid w:val="001660EB"/>
    <w:rsid w:val="00184172"/>
    <w:rsid w:val="0019047F"/>
    <w:rsid w:val="00192058"/>
    <w:rsid w:val="00196254"/>
    <w:rsid w:val="001C611A"/>
    <w:rsid w:val="001D1B8A"/>
    <w:rsid w:val="001E0826"/>
    <w:rsid w:val="001E22CA"/>
    <w:rsid w:val="001F2435"/>
    <w:rsid w:val="001F4E1D"/>
    <w:rsid w:val="001F5F36"/>
    <w:rsid w:val="001F70B3"/>
    <w:rsid w:val="002005C9"/>
    <w:rsid w:val="00200CFA"/>
    <w:rsid w:val="00202F8C"/>
    <w:rsid w:val="002229B8"/>
    <w:rsid w:val="00222B92"/>
    <w:rsid w:val="002307D4"/>
    <w:rsid w:val="00236EDE"/>
    <w:rsid w:val="00240160"/>
    <w:rsid w:val="00266784"/>
    <w:rsid w:val="002672A4"/>
    <w:rsid w:val="00271B0F"/>
    <w:rsid w:val="00295459"/>
    <w:rsid w:val="002A016B"/>
    <w:rsid w:val="002A1AB8"/>
    <w:rsid w:val="002A68E1"/>
    <w:rsid w:val="002A7EDA"/>
    <w:rsid w:val="002B008B"/>
    <w:rsid w:val="002B0854"/>
    <w:rsid w:val="002B12A5"/>
    <w:rsid w:val="002B3902"/>
    <w:rsid w:val="002B3E8C"/>
    <w:rsid w:val="002C1D48"/>
    <w:rsid w:val="002D22DB"/>
    <w:rsid w:val="002E376B"/>
    <w:rsid w:val="002E7539"/>
    <w:rsid w:val="002E78C6"/>
    <w:rsid w:val="002F2EC2"/>
    <w:rsid w:val="00302E54"/>
    <w:rsid w:val="003035A0"/>
    <w:rsid w:val="00322417"/>
    <w:rsid w:val="00324058"/>
    <w:rsid w:val="00324786"/>
    <w:rsid w:val="00324F80"/>
    <w:rsid w:val="00340EF7"/>
    <w:rsid w:val="003416D6"/>
    <w:rsid w:val="00351E17"/>
    <w:rsid w:val="00356641"/>
    <w:rsid w:val="00372986"/>
    <w:rsid w:val="003748A9"/>
    <w:rsid w:val="0038475E"/>
    <w:rsid w:val="003A2E1B"/>
    <w:rsid w:val="003A4EC9"/>
    <w:rsid w:val="003A7065"/>
    <w:rsid w:val="003B004B"/>
    <w:rsid w:val="003D43D4"/>
    <w:rsid w:val="003D56BC"/>
    <w:rsid w:val="003E67E2"/>
    <w:rsid w:val="003F0C19"/>
    <w:rsid w:val="00416BA8"/>
    <w:rsid w:val="00416DFC"/>
    <w:rsid w:val="004233C6"/>
    <w:rsid w:val="00426DE8"/>
    <w:rsid w:val="00431FD0"/>
    <w:rsid w:val="00442C29"/>
    <w:rsid w:val="0044375C"/>
    <w:rsid w:val="004453ED"/>
    <w:rsid w:val="00447EEA"/>
    <w:rsid w:val="00454ACE"/>
    <w:rsid w:val="00456370"/>
    <w:rsid w:val="00472ADC"/>
    <w:rsid w:val="00476A55"/>
    <w:rsid w:val="00485DF4"/>
    <w:rsid w:val="00487780"/>
    <w:rsid w:val="004958F4"/>
    <w:rsid w:val="004974B3"/>
    <w:rsid w:val="004A31AE"/>
    <w:rsid w:val="004A4135"/>
    <w:rsid w:val="004A6FA1"/>
    <w:rsid w:val="004B053E"/>
    <w:rsid w:val="004C168D"/>
    <w:rsid w:val="004C16D6"/>
    <w:rsid w:val="004C2F46"/>
    <w:rsid w:val="004D38B2"/>
    <w:rsid w:val="004E0129"/>
    <w:rsid w:val="004E1FA8"/>
    <w:rsid w:val="004E4AAD"/>
    <w:rsid w:val="004E4BD7"/>
    <w:rsid w:val="004E7D2E"/>
    <w:rsid w:val="00504C2D"/>
    <w:rsid w:val="00506335"/>
    <w:rsid w:val="0051067B"/>
    <w:rsid w:val="00511399"/>
    <w:rsid w:val="00520109"/>
    <w:rsid w:val="00525D50"/>
    <w:rsid w:val="005338FA"/>
    <w:rsid w:val="00534000"/>
    <w:rsid w:val="00542094"/>
    <w:rsid w:val="00561BA3"/>
    <w:rsid w:val="0057000F"/>
    <w:rsid w:val="00574672"/>
    <w:rsid w:val="00574936"/>
    <w:rsid w:val="00574BA3"/>
    <w:rsid w:val="00575AE9"/>
    <w:rsid w:val="00583E2A"/>
    <w:rsid w:val="005903A8"/>
    <w:rsid w:val="005A137C"/>
    <w:rsid w:val="005B1454"/>
    <w:rsid w:val="005C4215"/>
    <w:rsid w:val="005D047C"/>
    <w:rsid w:val="005D2A5D"/>
    <w:rsid w:val="005E0A72"/>
    <w:rsid w:val="005E42E0"/>
    <w:rsid w:val="005E5B68"/>
    <w:rsid w:val="005E6D10"/>
    <w:rsid w:val="005E6F8A"/>
    <w:rsid w:val="005F0469"/>
    <w:rsid w:val="005F2A41"/>
    <w:rsid w:val="006144C2"/>
    <w:rsid w:val="00622EEB"/>
    <w:rsid w:val="00632B28"/>
    <w:rsid w:val="00644393"/>
    <w:rsid w:val="00663F36"/>
    <w:rsid w:val="00670C20"/>
    <w:rsid w:val="006820BD"/>
    <w:rsid w:val="00685A7F"/>
    <w:rsid w:val="00694620"/>
    <w:rsid w:val="006948D7"/>
    <w:rsid w:val="006A2494"/>
    <w:rsid w:val="006A6159"/>
    <w:rsid w:val="006C406B"/>
    <w:rsid w:val="006C590D"/>
    <w:rsid w:val="006C654C"/>
    <w:rsid w:val="006D5E2D"/>
    <w:rsid w:val="006E471A"/>
    <w:rsid w:val="006E4AF8"/>
    <w:rsid w:val="006E7C23"/>
    <w:rsid w:val="006F5B25"/>
    <w:rsid w:val="007021B3"/>
    <w:rsid w:val="00707E14"/>
    <w:rsid w:val="00717050"/>
    <w:rsid w:val="00725DBE"/>
    <w:rsid w:val="00760145"/>
    <w:rsid w:val="007755D0"/>
    <w:rsid w:val="00783031"/>
    <w:rsid w:val="0078314B"/>
    <w:rsid w:val="00792433"/>
    <w:rsid w:val="00796E39"/>
    <w:rsid w:val="007A0346"/>
    <w:rsid w:val="007C567F"/>
    <w:rsid w:val="007C705D"/>
    <w:rsid w:val="007D341B"/>
    <w:rsid w:val="007D3EC8"/>
    <w:rsid w:val="007F6CE9"/>
    <w:rsid w:val="008123B2"/>
    <w:rsid w:val="00816BB8"/>
    <w:rsid w:val="00823EB4"/>
    <w:rsid w:val="008458BD"/>
    <w:rsid w:val="00856A89"/>
    <w:rsid w:val="00864F34"/>
    <w:rsid w:val="008675CA"/>
    <w:rsid w:val="00882294"/>
    <w:rsid w:val="00884316"/>
    <w:rsid w:val="00884D5F"/>
    <w:rsid w:val="008947E6"/>
    <w:rsid w:val="008B30D3"/>
    <w:rsid w:val="008C6CE3"/>
    <w:rsid w:val="008D2416"/>
    <w:rsid w:val="008D364D"/>
    <w:rsid w:val="008D5A07"/>
    <w:rsid w:val="008E0ED6"/>
    <w:rsid w:val="008E13BA"/>
    <w:rsid w:val="008E5520"/>
    <w:rsid w:val="008F6BB1"/>
    <w:rsid w:val="009025D8"/>
    <w:rsid w:val="0092673F"/>
    <w:rsid w:val="0093415D"/>
    <w:rsid w:val="009362CA"/>
    <w:rsid w:val="009463B7"/>
    <w:rsid w:val="00953D2A"/>
    <w:rsid w:val="00954651"/>
    <w:rsid w:val="0095747C"/>
    <w:rsid w:val="0096173C"/>
    <w:rsid w:val="00962540"/>
    <w:rsid w:val="00964E4D"/>
    <w:rsid w:val="00964ED4"/>
    <w:rsid w:val="00967A91"/>
    <w:rsid w:val="00967D93"/>
    <w:rsid w:val="00967E82"/>
    <w:rsid w:val="00975EF9"/>
    <w:rsid w:val="00977087"/>
    <w:rsid w:val="009871C8"/>
    <w:rsid w:val="00991EEA"/>
    <w:rsid w:val="0099649E"/>
    <w:rsid w:val="009A049C"/>
    <w:rsid w:val="009A14FC"/>
    <w:rsid w:val="009A3061"/>
    <w:rsid w:val="009B678A"/>
    <w:rsid w:val="009C0D85"/>
    <w:rsid w:val="009C598E"/>
    <w:rsid w:val="009C7892"/>
    <w:rsid w:val="009E6AEA"/>
    <w:rsid w:val="00A04E50"/>
    <w:rsid w:val="00A05577"/>
    <w:rsid w:val="00A064D5"/>
    <w:rsid w:val="00A11E86"/>
    <w:rsid w:val="00A125F9"/>
    <w:rsid w:val="00A130E0"/>
    <w:rsid w:val="00A13B1A"/>
    <w:rsid w:val="00A17D72"/>
    <w:rsid w:val="00A3777F"/>
    <w:rsid w:val="00A401BB"/>
    <w:rsid w:val="00A4473F"/>
    <w:rsid w:val="00A54449"/>
    <w:rsid w:val="00A617E1"/>
    <w:rsid w:val="00A82DC9"/>
    <w:rsid w:val="00A95798"/>
    <w:rsid w:val="00A96ACF"/>
    <w:rsid w:val="00AB1493"/>
    <w:rsid w:val="00AB48F8"/>
    <w:rsid w:val="00AB544C"/>
    <w:rsid w:val="00AC013E"/>
    <w:rsid w:val="00AE2E37"/>
    <w:rsid w:val="00AF1ABA"/>
    <w:rsid w:val="00AF69EB"/>
    <w:rsid w:val="00B01630"/>
    <w:rsid w:val="00B108C2"/>
    <w:rsid w:val="00B12A39"/>
    <w:rsid w:val="00B25B30"/>
    <w:rsid w:val="00B35C31"/>
    <w:rsid w:val="00B445F1"/>
    <w:rsid w:val="00B45017"/>
    <w:rsid w:val="00B45BB5"/>
    <w:rsid w:val="00B47CA2"/>
    <w:rsid w:val="00B53119"/>
    <w:rsid w:val="00B62D61"/>
    <w:rsid w:val="00B63630"/>
    <w:rsid w:val="00B63B8C"/>
    <w:rsid w:val="00B63BFC"/>
    <w:rsid w:val="00B671A7"/>
    <w:rsid w:val="00B72A74"/>
    <w:rsid w:val="00B76160"/>
    <w:rsid w:val="00B812C7"/>
    <w:rsid w:val="00B96729"/>
    <w:rsid w:val="00BA2C41"/>
    <w:rsid w:val="00BA4A6B"/>
    <w:rsid w:val="00BB2CBE"/>
    <w:rsid w:val="00BB6711"/>
    <w:rsid w:val="00BB6B41"/>
    <w:rsid w:val="00BB6E7F"/>
    <w:rsid w:val="00BB7C7D"/>
    <w:rsid w:val="00BC1C33"/>
    <w:rsid w:val="00BC45A4"/>
    <w:rsid w:val="00BC769A"/>
    <w:rsid w:val="00BC7E90"/>
    <w:rsid w:val="00BD3762"/>
    <w:rsid w:val="00BD58F6"/>
    <w:rsid w:val="00BD5B11"/>
    <w:rsid w:val="00BF10E0"/>
    <w:rsid w:val="00BF3225"/>
    <w:rsid w:val="00BF7FED"/>
    <w:rsid w:val="00C0336B"/>
    <w:rsid w:val="00C05169"/>
    <w:rsid w:val="00C078C1"/>
    <w:rsid w:val="00C13D99"/>
    <w:rsid w:val="00C144B3"/>
    <w:rsid w:val="00C15305"/>
    <w:rsid w:val="00C16484"/>
    <w:rsid w:val="00C20D66"/>
    <w:rsid w:val="00C314FC"/>
    <w:rsid w:val="00C3197E"/>
    <w:rsid w:val="00C33678"/>
    <w:rsid w:val="00C351C2"/>
    <w:rsid w:val="00C4026F"/>
    <w:rsid w:val="00C40BBB"/>
    <w:rsid w:val="00C523D0"/>
    <w:rsid w:val="00C53FA6"/>
    <w:rsid w:val="00C54C0A"/>
    <w:rsid w:val="00C54ED1"/>
    <w:rsid w:val="00C61728"/>
    <w:rsid w:val="00C64A55"/>
    <w:rsid w:val="00C64ACA"/>
    <w:rsid w:val="00C665A6"/>
    <w:rsid w:val="00C844F4"/>
    <w:rsid w:val="00CA0564"/>
    <w:rsid w:val="00CA700D"/>
    <w:rsid w:val="00CB3388"/>
    <w:rsid w:val="00CB3A83"/>
    <w:rsid w:val="00CB56B6"/>
    <w:rsid w:val="00CB6E22"/>
    <w:rsid w:val="00CC0F17"/>
    <w:rsid w:val="00CC1D60"/>
    <w:rsid w:val="00CC4CD8"/>
    <w:rsid w:val="00CD30DE"/>
    <w:rsid w:val="00CD385C"/>
    <w:rsid w:val="00CD62DE"/>
    <w:rsid w:val="00D117F7"/>
    <w:rsid w:val="00D11C7D"/>
    <w:rsid w:val="00D1366A"/>
    <w:rsid w:val="00D15F7F"/>
    <w:rsid w:val="00D21765"/>
    <w:rsid w:val="00D26D69"/>
    <w:rsid w:val="00D30C18"/>
    <w:rsid w:val="00D36AEC"/>
    <w:rsid w:val="00D36FF0"/>
    <w:rsid w:val="00D41DAB"/>
    <w:rsid w:val="00D42DCF"/>
    <w:rsid w:val="00D603E7"/>
    <w:rsid w:val="00D64CB0"/>
    <w:rsid w:val="00D66022"/>
    <w:rsid w:val="00D75224"/>
    <w:rsid w:val="00D76164"/>
    <w:rsid w:val="00D918AE"/>
    <w:rsid w:val="00DB730E"/>
    <w:rsid w:val="00DD6A88"/>
    <w:rsid w:val="00DE0E65"/>
    <w:rsid w:val="00DE102A"/>
    <w:rsid w:val="00DE20F4"/>
    <w:rsid w:val="00DE2F8D"/>
    <w:rsid w:val="00DE7410"/>
    <w:rsid w:val="00DF7C7B"/>
    <w:rsid w:val="00E02159"/>
    <w:rsid w:val="00E07C65"/>
    <w:rsid w:val="00E11C99"/>
    <w:rsid w:val="00E1544B"/>
    <w:rsid w:val="00E1767B"/>
    <w:rsid w:val="00E23A3D"/>
    <w:rsid w:val="00E35FB5"/>
    <w:rsid w:val="00E54EC6"/>
    <w:rsid w:val="00E55DCD"/>
    <w:rsid w:val="00E60939"/>
    <w:rsid w:val="00E70B2D"/>
    <w:rsid w:val="00E91D9D"/>
    <w:rsid w:val="00E94543"/>
    <w:rsid w:val="00E979D2"/>
    <w:rsid w:val="00EB67F1"/>
    <w:rsid w:val="00EB6A60"/>
    <w:rsid w:val="00EB76BC"/>
    <w:rsid w:val="00EB7756"/>
    <w:rsid w:val="00EC12B0"/>
    <w:rsid w:val="00EC4DF3"/>
    <w:rsid w:val="00ED47A6"/>
    <w:rsid w:val="00ED4B48"/>
    <w:rsid w:val="00ED742D"/>
    <w:rsid w:val="00EE2A6B"/>
    <w:rsid w:val="00EE42D3"/>
    <w:rsid w:val="00EE4BFF"/>
    <w:rsid w:val="00EE4FCA"/>
    <w:rsid w:val="00EE6803"/>
    <w:rsid w:val="00EF5945"/>
    <w:rsid w:val="00F01FA6"/>
    <w:rsid w:val="00F038DB"/>
    <w:rsid w:val="00F0450D"/>
    <w:rsid w:val="00F04891"/>
    <w:rsid w:val="00F06D31"/>
    <w:rsid w:val="00F07452"/>
    <w:rsid w:val="00F12174"/>
    <w:rsid w:val="00F221F3"/>
    <w:rsid w:val="00F332A3"/>
    <w:rsid w:val="00F378B2"/>
    <w:rsid w:val="00F40E95"/>
    <w:rsid w:val="00F57995"/>
    <w:rsid w:val="00F63A07"/>
    <w:rsid w:val="00FA55C1"/>
    <w:rsid w:val="00FA6663"/>
    <w:rsid w:val="00FC3CA2"/>
    <w:rsid w:val="00FD1B56"/>
    <w:rsid w:val="00FE32BB"/>
    <w:rsid w:val="00FE6432"/>
    <w:rsid w:val="00FF0FBD"/>
    <w:rsid w:val="00FF3510"/>
    <w:rsid w:val="00FF5062"/>
    <w:rsid w:val="00FF5E2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B36C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m.icann.org/pipermail/accountability-cross-community/attachments/20150120/9331e8f9/Accountabilityexpandedasaninherentprocess-0001.pdf" TargetMode="External"/><Relationship Id="rId20" Type="http://schemas.openxmlformats.org/officeDocument/2006/relationships/hyperlink" Target="http://mm.icann.org/pipermail/ccwg-accountability2/" TargetMode="External"/><Relationship Id="rId21" Type="http://schemas.openxmlformats.org/officeDocument/2006/relationships/hyperlink" Target="http://mm.icann.org/pipermail/accountability-cross-community/attachments/20150116/ca5894ee/WA2Inventory15-Jan-2015-0001.docx" TargetMode="External"/><Relationship Id="rId22" Type="http://schemas.openxmlformats.org/officeDocument/2006/relationships/hyperlink" Target="http://mm.icann.org/pipermail/accountability-cross-community/2015-January/000702.html" TargetMode="External"/><Relationship Id="rId23" Type="http://schemas.openxmlformats.org/officeDocument/2006/relationships/hyperlink" Target="http://mm.icann.org/pipermail/ccwg-accountability3/" TargetMode="External"/><Relationship Id="rId24" Type="http://schemas.openxmlformats.org/officeDocument/2006/relationships/hyperlink" Target="https://docs.google.com/document/d/1c4Eab_fZMCQeeYvhy8OcE6f_PqhGza2qW4-UgFn8Pvc/edit?usp=sharing" TargetMode="External"/><Relationship Id="rId25" Type="http://schemas.openxmlformats.org/officeDocument/2006/relationships/hyperlink" Target="http://mm.icann.org/pipermail/ccwg-accountability4/" TargetMode="External"/><Relationship Id="rId26" Type="http://schemas.openxmlformats.org/officeDocument/2006/relationships/hyperlink" Target="http://mm.icann.org/pipermail/ccwg-accountability4/attachments/20150119/12075e70/20150108CCWGAccountability-Scenarios-WS4coord-MSAH-0001.docx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mm.icann.org/pipermail/accountability-cross-community/attachments/20150120/ca7415ee/WS1requirements-0001.pdf" TargetMode="External"/><Relationship Id="rId11" Type="http://schemas.openxmlformats.org/officeDocument/2006/relationships/hyperlink" Target="https://docs.google.com/document/d/1c4Eab_fZMCQeeYvhy8OcE6f_PqhGza2qW4-UgFn8Pvc/edit?usp=sharing" TargetMode="External"/><Relationship Id="rId12" Type="http://schemas.openxmlformats.org/officeDocument/2006/relationships/hyperlink" Target="http://ccnso.icann.org/workinggroups/foiwg.htm" TargetMode="External"/><Relationship Id="rId13" Type="http://schemas.openxmlformats.org/officeDocument/2006/relationships/hyperlink" Target="http://mm.icann.org/pipermail/accountability-cross-community/attachments/20150119/e49daa40/20150119Food4ThoughtonAccountabilitysct-0001.docx" TargetMode="External"/><Relationship Id="rId14" Type="http://schemas.openxmlformats.org/officeDocument/2006/relationships/hyperlink" Target="https://docs.google.com/document/d/1c4Eab_fZMCQeeYvhy8OcE6f_PqhGza2qW4-UgFn8Pvc/edit?usp=sharing" TargetMode="External"/><Relationship Id="rId15" Type="http://schemas.openxmlformats.org/officeDocument/2006/relationships/hyperlink" Target="https://www.icann.org/resources/pages/articles-2012-02-25-en" TargetMode="External"/><Relationship Id="rId16" Type="http://schemas.openxmlformats.org/officeDocument/2006/relationships/hyperlink" Target="http://en.wikipedia.org/wiki/Committee_on_Standards_in_Public_Life" TargetMode="External"/><Relationship Id="rId17" Type="http://schemas.openxmlformats.org/officeDocument/2006/relationships/hyperlink" Target="https://www.icann.org/resources/pages/bylaws-2012-02-25-en" TargetMode="External"/><Relationship Id="rId18" Type="http://schemas.openxmlformats.org/officeDocument/2006/relationships/hyperlink" Target="http://mm.icann.org/pipermail/accountability-cross-community/2015-January/000716.html" TargetMode="External"/><Relationship Id="rId19" Type="http://schemas.openxmlformats.org/officeDocument/2006/relationships/hyperlink" Target="http://mm.icann.org/pipermail/ccwg-accountability1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m.icann.org/pipermail/accountability-cross-community/2015-January/date.html" TargetMode="External"/><Relationship Id="rId7" Type="http://schemas.openxmlformats.org/officeDocument/2006/relationships/hyperlink" Target="http://mm.icann.org/pipermail/accountability-cross-community/attachments/20150116/ca5894ee/WA2Inventory15-Jan-2015-0001.docx" TargetMode="External"/><Relationship Id="rId8" Type="http://schemas.openxmlformats.org/officeDocument/2006/relationships/hyperlink" Target="http://mm.icann.org/pipermail/accountability-cross-community/2015-January/0007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2162</Words>
  <Characters>8800</Characters>
  <Application>Microsoft Macintosh Word</Application>
  <DocSecurity>4</DocSecurity>
  <Lines>220</Lines>
  <Paragraphs>161</Paragraphs>
  <ScaleCrop>false</ScaleCrop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Adam Peake</cp:lastModifiedBy>
  <cp:revision>2</cp:revision>
  <cp:lastPrinted>2015-01-27T17:26:00Z</cp:lastPrinted>
  <dcterms:created xsi:type="dcterms:W3CDTF">2015-01-27T17:26:00Z</dcterms:created>
  <dcterms:modified xsi:type="dcterms:W3CDTF">2015-01-27T17:26:00Z</dcterms:modified>
</cp:coreProperties>
</file>