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57" w:rsidRPr="002B6571" w:rsidRDefault="00A00D57">
      <w:pPr>
        <w:rPr>
          <w:sz w:val="28"/>
          <w:szCs w:val="28"/>
        </w:rPr>
      </w:pPr>
    </w:p>
    <w:p w:rsidR="002B6571" w:rsidRPr="00FA4DA5" w:rsidRDefault="002B6571">
      <w:pPr>
        <w:rPr>
          <w:rFonts w:asciiTheme="majorHAnsi" w:hAnsiTheme="majorHAnsi"/>
          <w:sz w:val="28"/>
          <w:szCs w:val="28"/>
          <w:lang w:val="en-US"/>
        </w:rPr>
      </w:pPr>
      <w:r w:rsidRPr="00FA4DA5">
        <w:rPr>
          <w:rFonts w:asciiTheme="majorHAnsi" w:hAnsiTheme="majorHAnsi"/>
          <w:sz w:val="28"/>
          <w:szCs w:val="28"/>
          <w:lang w:val="en-US"/>
        </w:rPr>
        <w:t xml:space="preserve">Cross Community Working </w:t>
      </w:r>
      <w:proofErr w:type="gramStart"/>
      <w:r w:rsidRPr="00FA4DA5">
        <w:rPr>
          <w:rFonts w:asciiTheme="majorHAnsi" w:hAnsiTheme="majorHAnsi"/>
          <w:sz w:val="28"/>
          <w:szCs w:val="28"/>
          <w:lang w:val="en-US"/>
        </w:rPr>
        <w:t>Group(</w:t>
      </w:r>
      <w:proofErr w:type="gramEnd"/>
      <w:r w:rsidRPr="00FA4DA5">
        <w:rPr>
          <w:rFonts w:asciiTheme="majorHAnsi" w:hAnsiTheme="majorHAnsi"/>
          <w:sz w:val="28"/>
          <w:szCs w:val="28"/>
          <w:lang w:val="en-US"/>
        </w:rPr>
        <w:t xml:space="preserve"> CCWG)</w:t>
      </w:r>
    </w:p>
    <w:p w:rsidR="002B6571" w:rsidRPr="00FA4DA5" w:rsidRDefault="002B6571">
      <w:pPr>
        <w:rPr>
          <w:rFonts w:asciiTheme="majorHAnsi" w:hAnsiTheme="majorHAnsi"/>
          <w:sz w:val="28"/>
          <w:szCs w:val="28"/>
          <w:lang w:val="en-US"/>
        </w:rPr>
      </w:pPr>
      <w:r w:rsidRPr="00FA4DA5">
        <w:rPr>
          <w:rFonts w:asciiTheme="majorHAnsi" w:hAnsiTheme="majorHAnsi"/>
          <w:sz w:val="28"/>
          <w:szCs w:val="28"/>
          <w:lang w:val="en-US"/>
        </w:rPr>
        <w:t>Background</w:t>
      </w:r>
    </w:p>
    <w:p w:rsidR="002B6571" w:rsidRDefault="002B6571">
      <w:pPr>
        <w:rPr>
          <w:rFonts w:asciiTheme="majorHAnsi" w:hAnsiTheme="majorHAnsi"/>
          <w:sz w:val="28"/>
          <w:szCs w:val="28"/>
          <w:lang w:val="en-US"/>
        </w:rPr>
      </w:pPr>
      <w:r w:rsidRPr="00FA4DA5">
        <w:rPr>
          <w:rFonts w:asciiTheme="majorHAnsi" w:hAnsiTheme="majorHAnsi"/>
          <w:sz w:val="28"/>
          <w:szCs w:val="28"/>
          <w:lang w:val="en-US"/>
        </w:rPr>
        <w:t xml:space="preserve">What is accountability? </w:t>
      </w:r>
    </w:p>
    <w:p w:rsidR="009E3DF6" w:rsidRPr="00FA4DA5" w:rsidRDefault="009E3DF6">
      <w:pPr>
        <w:rPr>
          <w:rFonts w:asciiTheme="majorHAnsi" w:hAnsiTheme="majorHAnsi"/>
          <w:sz w:val="28"/>
          <w:szCs w:val="28"/>
          <w:lang w:val="en-US"/>
        </w:rPr>
      </w:pPr>
      <w:r>
        <w:rPr>
          <w:rFonts w:asciiTheme="majorHAnsi" w:hAnsiTheme="majorHAnsi"/>
          <w:sz w:val="28"/>
          <w:szCs w:val="28"/>
          <w:lang w:val="en-US"/>
        </w:rPr>
        <w:t>I do not think that there is a need to describe that issue due to the fact that there are sufficient information, definition, description on the matter in the literature and it may be outside the patience and timing of CCWG to go that far and review the scope of accountability in a general form</w:t>
      </w:r>
      <w:bookmarkStart w:id="0" w:name="_GoBack"/>
      <w:bookmarkEnd w:id="0"/>
      <w:r>
        <w:rPr>
          <w:rFonts w:asciiTheme="majorHAnsi" w:hAnsiTheme="majorHAnsi"/>
          <w:sz w:val="28"/>
          <w:szCs w:val="28"/>
          <w:lang w:val="en-US"/>
        </w:rPr>
        <w:t>,</w:t>
      </w:r>
    </w:p>
    <w:p w:rsidR="002B6571" w:rsidRPr="00FA4DA5" w:rsidRDefault="002B6571">
      <w:pPr>
        <w:rPr>
          <w:rFonts w:asciiTheme="majorHAnsi" w:hAnsiTheme="majorHAnsi"/>
          <w:sz w:val="28"/>
          <w:szCs w:val="28"/>
          <w:lang w:val="en-US"/>
        </w:rPr>
      </w:pPr>
      <w:r w:rsidRPr="00FA4DA5">
        <w:rPr>
          <w:rFonts w:asciiTheme="majorHAnsi" w:hAnsiTheme="majorHAnsi"/>
          <w:sz w:val="28"/>
          <w:szCs w:val="28"/>
          <w:lang w:val="en-US"/>
        </w:rPr>
        <w:t>Introduction</w:t>
      </w:r>
    </w:p>
    <w:p w:rsidR="002B6571" w:rsidRPr="00FA4DA5" w:rsidRDefault="002B6571">
      <w:pPr>
        <w:rPr>
          <w:rFonts w:asciiTheme="majorHAnsi" w:hAnsiTheme="majorHAnsi"/>
          <w:sz w:val="28"/>
          <w:szCs w:val="28"/>
          <w:lang w:val="en-US"/>
        </w:rPr>
      </w:pPr>
      <w:r w:rsidRPr="00FA4DA5">
        <w:rPr>
          <w:rFonts w:asciiTheme="majorHAnsi" w:hAnsiTheme="majorHAnsi"/>
          <w:sz w:val="28"/>
          <w:szCs w:val="28"/>
          <w:lang w:val="en-US"/>
        </w:rPr>
        <w:t xml:space="preserve">During ICANN 50 London, it was announced that pursuant to the announcement of NTIA in regard with the transition of the Stewardship of IANA function from the USG to Global </w:t>
      </w:r>
      <w:proofErr w:type="spellStart"/>
      <w:r w:rsidRPr="00FA4DA5">
        <w:rPr>
          <w:rFonts w:asciiTheme="majorHAnsi" w:hAnsiTheme="majorHAnsi"/>
          <w:sz w:val="28"/>
          <w:szCs w:val="28"/>
          <w:lang w:val="en-US"/>
        </w:rPr>
        <w:t>Multistakeholder</w:t>
      </w:r>
      <w:proofErr w:type="spellEnd"/>
      <w:r w:rsidRPr="00FA4DA5">
        <w:rPr>
          <w:rFonts w:asciiTheme="majorHAnsi" w:hAnsiTheme="majorHAnsi"/>
          <w:sz w:val="28"/>
          <w:szCs w:val="28"/>
          <w:lang w:val="en-US"/>
        </w:rPr>
        <w:t xml:space="preserve"> Community, two Entities/ Groups need to be established:</w:t>
      </w:r>
    </w:p>
    <w:p w:rsidR="002B6571" w:rsidRPr="00FA4DA5" w:rsidRDefault="002B6571" w:rsidP="002B6571">
      <w:pPr>
        <w:pStyle w:val="ListParagraph"/>
        <w:numPr>
          <w:ilvl w:val="0"/>
          <w:numId w:val="1"/>
        </w:numPr>
        <w:ind w:left="0" w:firstLine="0"/>
        <w:rPr>
          <w:rFonts w:asciiTheme="majorHAnsi" w:hAnsiTheme="majorHAnsi"/>
          <w:sz w:val="28"/>
          <w:szCs w:val="28"/>
          <w:lang w:val="en-US"/>
        </w:rPr>
      </w:pPr>
      <w:r w:rsidRPr="00FA4DA5">
        <w:rPr>
          <w:rFonts w:asciiTheme="majorHAnsi" w:hAnsiTheme="majorHAnsi"/>
          <w:sz w:val="28"/>
          <w:szCs w:val="28"/>
          <w:lang w:val="en-US"/>
        </w:rPr>
        <w:t>IIANA Transition Coordination Group ( ICG) and</w:t>
      </w:r>
    </w:p>
    <w:p w:rsidR="002B6571" w:rsidRPr="00FA4DA5" w:rsidRDefault="002B6571" w:rsidP="002B6571">
      <w:pPr>
        <w:pStyle w:val="ListParagraph"/>
        <w:numPr>
          <w:ilvl w:val="0"/>
          <w:numId w:val="1"/>
        </w:numPr>
        <w:ind w:left="0" w:firstLine="0"/>
        <w:rPr>
          <w:rFonts w:asciiTheme="majorHAnsi" w:hAnsiTheme="majorHAnsi"/>
          <w:sz w:val="28"/>
          <w:szCs w:val="28"/>
          <w:lang w:val="en-US"/>
        </w:rPr>
      </w:pPr>
      <w:r w:rsidRPr="00FA4DA5">
        <w:rPr>
          <w:rFonts w:asciiTheme="majorHAnsi" w:hAnsiTheme="majorHAnsi"/>
          <w:sz w:val="28"/>
          <w:szCs w:val="28"/>
          <w:lang w:val="en-US"/>
        </w:rPr>
        <w:t>ICANN Accountability Working Group</w:t>
      </w:r>
    </w:p>
    <w:p w:rsidR="002B6571" w:rsidRPr="00FA4DA5" w:rsidRDefault="002B6571" w:rsidP="002B6571">
      <w:pPr>
        <w:pStyle w:val="ListParagraph"/>
        <w:ind w:left="0"/>
        <w:rPr>
          <w:rFonts w:asciiTheme="majorHAnsi" w:hAnsiTheme="majorHAnsi"/>
          <w:sz w:val="28"/>
          <w:szCs w:val="28"/>
          <w:lang w:val="en-US"/>
        </w:rPr>
      </w:pPr>
      <w:r w:rsidRPr="00FA4DA5">
        <w:rPr>
          <w:rFonts w:asciiTheme="majorHAnsi" w:hAnsiTheme="majorHAnsi"/>
          <w:sz w:val="28"/>
          <w:szCs w:val="28"/>
          <w:lang w:val="en-US"/>
        </w:rPr>
        <w:t>The first Group was established and held its first f</w:t>
      </w:r>
      <w:r w:rsidR="004C22BA">
        <w:rPr>
          <w:rFonts w:asciiTheme="majorHAnsi" w:hAnsiTheme="majorHAnsi"/>
          <w:sz w:val="28"/>
          <w:szCs w:val="28"/>
          <w:lang w:val="en-US"/>
        </w:rPr>
        <w:t>2f</w:t>
      </w:r>
      <w:r w:rsidRPr="00FA4DA5">
        <w:rPr>
          <w:rFonts w:asciiTheme="majorHAnsi" w:hAnsiTheme="majorHAnsi"/>
          <w:sz w:val="28"/>
          <w:szCs w:val="28"/>
          <w:lang w:val="en-US"/>
        </w:rPr>
        <w:t xml:space="preserve"> meeting in July 2014 </w:t>
      </w:r>
    </w:p>
    <w:p w:rsidR="002B6571" w:rsidRPr="00FA4DA5" w:rsidRDefault="002B6571" w:rsidP="002B6571">
      <w:pPr>
        <w:pStyle w:val="ListParagraph"/>
        <w:ind w:left="0"/>
        <w:rPr>
          <w:rFonts w:asciiTheme="majorHAnsi" w:hAnsiTheme="majorHAnsi"/>
          <w:sz w:val="28"/>
          <w:szCs w:val="28"/>
          <w:lang w:val="en-US"/>
        </w:rPr>
      </w:pPr>
      <w:r w:rsidRPr="00FA4DA5">
        <w:rPr>
          <w:rFonts w:asciiTheme="majorHAnsi" w:hAnsiTheme="majorHAnsi"/>
          <w:sz w:val="28"/>
          <w:szCs w:val="28"/>
          <w:lang w:val="en-US"/>
        </w:rPr>
        <w:t xml:space="preserve">However, </w:t>
      </w:r>
      <w:r w:rsidR="00DF3691" w:rsidRPr="00FA4DA5">
        <w:rPr>
          <w:rFonts w:asciiTheme="majorHAnsi" w:hAnsiTheme="majorHAnsi"/>
          <w:sz w:val="28"/>
          <w:szCs w:val="28"/>
          <w:lang w:val="en-US"/>
        </w:rPr>
        <w:t>the establishment</w:t>
      </w:r>
      <w:r w:rsidRPr="00FA4DA5">
        <w:rPr>
          <w:rFonts w:asciiTheme="majorHAnsi" w:hAnsiTheme="majorHAnsi"/>
          <w:sz w:val="28"/>
          <w:szCs w:val="28"/>
          <w:lang w:val="en-US"/>
        </w:rPr>
        <w:t xml:space="preserve"> of the second Group was </w:t>
      </w:r>
      <w:r w:rsidR="00DF3691" w:rsidRPr="00FA4DA5">
        <w:rPr>
          <w:rFonts w:asciiTheme="majorHAnsi" w:hAnsiTheme="majorHAnsi"/>
          <w:sz w:val="28"/>
          <w:szCs w:val="28"/>
          <w:lang w:val="en-US"/>
        </w:rPr>
        <w:t>postponed due</w:t>
      </w:r>
      <w:r w:rsidRPr="00FA4DA5">
        <w:rPr>
          <w:rFonts w:asciiTheme="majorHAnsi" w:hAnsiTheme="majorHAnsi"/>
          <w:sz w:val="28"/>
          <w:szCs w:val="28"/>
          <w:lang w:val="en-US"/>
        </w:rPr>
        <w:t xml:space="preserve"> to the fact that, according to </w:t>
      </w:r>
      <w:r w:rsidR="00DF3691" w:rsidRPr="00FA4DA5">
        <w:rPr>
          <w:rFonts w:asciiTheme="majorHAnsi" w:hAnsiTheme="majorHAnsi"/>
          <w:sz w:val="28"/>
          <w:szCs w:val="28"/>
          <w:lang w:val="en-US"/>
        </w:rPr>
        <w:t>ICANN public announcement the required procedure to deal with accountability required review and some adjustment.</w:t>
      </w:r>
    </w:p>
    <w:p w:rsidR="00DF3691" w:rsidRPr="00FA4DA5" w:rsidRDefault="00DF3691" w:rsidP="00FA4DA5">
      <w:pPr>
        <w:pStyle w:val="ListParagraph"/>
        <w:ind w:left="0"/>
        <w:rPr>
          <w:rFonts w:asciiTheme="majorHAnsi" w:hAnsiTheme="majorHAnsi"/>
          <w:sz w:val="28"/>
          <w:szCs w:val="28"/>
          <w:lang w:val="en-US"/>
        </w:rPr>
      </w:pPr>
      <w:r w:rsidRPr="00FA4DA5">
        <w:rPr>
          <w:rFonts w:asciiTheme="majorHAnsi" w:hAnsiTheme="majorHAnsi"/>
          <w:sz w:val="28"/>
          <w:szCs w:val="28"/>
          <w:lang w:val="en-US"/>
        </w:rPr>
        <w:t>During ICANN 52 in LA, it was publicly announced the procedure has been modified</w:t>
      </w:r>
      <w:r w:rsidR="00FA4DA5">
        <w:rPr>
          <w:rFonts w:asciiTheme="majorHAnsi" w:hAnsiTheme="majorHAnsi"/>
          <w:sz w:val="28"/>
          <w:szCs w:val="28"/>
          <w:lang w:val="en-US"/>
        </w:rPr>
        <w:t xml:space="preserve"> due to the </w:t>
      </w:r>
      <w:r w:rsidRPr="00FA4DA5">
        <w:rPr>
          <w:rFonts w:asciiTheme="majorHAnsi" w:eastAsia="Times New Roman" w:hAnsiTheme="majorHAnsi" w:cs="Helvetica"/>
          <w:color w:val="333333"/>
          <w:sz w:val="28"/>
          <w:szCs w:val="28"/>
          <w:lang w:val="en" w:eastAsia="fr-CH"/>
        </w:rPr>
        <w:t xml:space="preserve">impact of the change on ICANN's accountability given its historical contractual relationship with the United States and NTIA. </w:t>
      </w:r>
    </w:p>
    <w:p w:rsidR="00DF3691" w:rsidRPr="00FA4DA5" w:rsidRDefault="00FA4DA5"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w:t>
      </w:r>
      <w:r w:rsidR="00DF3691" w:rsidRPr="00FA4DA5">
        <w:rPr>
          <w:rFonts w:asciiTheme="majorHAnsi" w:eastAsia="Times New Roman" w:hAnsiTheme="majorHAnsi" w:cs="Helvetica"/>
          <w:color w:val="333333"/>
          <w:sz w:val="28"/>
          <w:szCs w:val="28"/>
          <w:lang w:val="en" w:eastAsia="fr-CH"/>
        </w:rPr>
        <w:t>he composition of the process was modified to include two groups:</w:t>
      </w:r>
    </w:p>
    <w:p w:rsidR="00DF3691" w:rsidRPr="00FA4DA5" w:rsidRDefault="00DF3691" w:rsidP="00DF3691">
      <w:pPr>
        <w:numPr>
          <w:ilvl w:val="0"/>
          <w:numId w:val="2"/>
        </w:numPr>
        <w:spacing w:before="100" w:beforeAutospacing="1" w:after="100" w:afterAutospacing="1" w:line="240" w:lineRule="auto"/>
        <w:ind w:left="300"/>
        <w:rPr>
          <w:rFonts w:asciiTheme="majorHAnsi" w:eastAsia="Times New Roman" w:hAnsiTheme="majorHAnsi" w:cs="Helvetica"/>
          <w:b/>
          <w:color w:val="333333"/>
          <w:sz w:val="28"/>
          <w:szCs w:val="28"/>
          <w:lang w:val="en" w:eastAsia="fr-CH"/>
        </w:rPr>
      </w:pPr>
      <w:r w:rsidRPr="00FA4DA5">
        <w:rPr>
          <w:rFonts w:asciiTheme="majorHAnsi" w:eastAsia="Times New Roman" w:hAnsiTheme="majorHAnsi" w:cs="Helvetica"/>
          <w:b/>
          <w:color w:val="333333"/>
          <w:sz w:val="28"/>
          <w:szCs w:val="28"/>
          <w:lang w:val="en" w:eastAsia="fr-CH"/>
        </w:rPr>
        <w:t>ICANN Accountability &amp; Governance Cross Community Group (CCWG); and</w:t>
      </w:r>
    </w:p>
    <w:p w:rsidR="00DF3691" w:rsidRPr="00FA4DA5" w:rsidRDefault="00DF3691" w:rsidP="00DF3691">
      <w:pPr>
        <w:numPr>
          <w:ilvl w:val="0"/>
          <w:numId w:val="2"/>
        </w:numPr>
        <w:spacing w:before="100" w:beforeAutospacing="1" w:after="100" w:afterAutospacing="1" w:line="240" w:lineRule="auto"/>
        <w:ind w:left="300"/>
        <w:rPr>
          <w:rFonts w:asciiTheme="majorHAnsi" w:eastAsia="Times New Roman" w:hAnsiTheme="majorHAnsi" w:cs="Helvetica"/>
          <w:b/>
          <w:color w:val="333333"/>
          <w:sz w:val="28"/>
          <w:szCs w:val="28"/>
          <w:lang w:val="en" w:eastAsia="fr-CH"/>
        </w:rPr>
      </w:pPr>
      <w:r w:rsidRPr="00FA4DA5">
        <w:rPr>
          <w:rFonts w:asciiTheme="majorHAnsi" w:eastAsia="Times New Roman" w:hAnsiTheme="majorHAnsi" w:cs="Helvetica"/>
          <w:b/>
          <w:color w:val="333333"/>
          <w:sz w:val="28"/>
          <w:szCs w:val="28"/>
          <w:lang w:val="en" w:eastAsia="fr-CH"/>
        </w:rPr>
        <w:t>ICANN Accountability &amp; Governance Coordination Group (CWG).</w:t>
      </w:r>
    </w:p>
    <w:p w:rsidR="00DF3691" w:rsidRPr="00FA4DA5" w:rsidRDefault="00FA4DA5"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w:t>
      </w:r>
      <w:r w:rsidR="00DF3691" w:rsidRPr="00FA4DA5">
        <w:rPr>
          <w:rFonts w:asciiTheme="majorHAnsi" w:eastAsia="Times New Roman" w:hAnsiTheme="majorHAnsi" w:cs="Helvetica"/>
          <w:color w:val="333333"/>
          <w:sz w:val="28"/>
          <w:szCs w:val="28"/>
          <w:lang w:val="en" w:eastAsia="fr-CH"/>
        </w:rPr>
        <w:t xml:space="preserve">he originally proposed </w:t>
      </w:r>
      <w:r w:rsidR="004C22BA" w:rsidRPr="00FA4DA5">
        <w:rPr>
          <w:rFonts w:asciiTheme="majorHAnsi" w:eastAsia="Times New Roman" w:hAnsiTheme="majorHAnsi" w:cs="Helvetica"/>
          <w:color w:val="333333"/>
          <w:sz w:val="28"/>
          <w:szCs w:val="28"/>
          <w:lang w:val="en" w:eastAsia="fr-CH"/>
        </w:rPr>
        <w:t xml:space="preserve">structure </w:t>
      </w:r>
      <w:r w:rsidR="004C22BA">
        <w:rPr>
          <w:rFonts w:asciiTheme="majorHAnsi" w:eastAsia="Times New Roman" w:hAnsiTheme="majorHAnsi" w:cs="Helvetica"/>
          <w:color w:val="333333"/>
          <w:sz w:val="28"/>
          <w:szCs w:val="28"/>
          <w:lang w:val="en" w:eastAsia="fr-CH"/>
        </w:rPr>
        <w:t>was</w:t>
      </w:r>
      <w:r>
        <w:rPr>
          <w:rFonts w:asciiTheme="majorHAnsi" w:eastAsia="Times New Roman" w:hAnsiTheme="majorHAnsi" w:cs="Helvetica"/>
          <w:color w:val="333333"/>
          <w:sz w:val="28"/>
          <w:szCs w:val="28"/>
          <w:lang w:val="en" w:eastAsia="fr-CH"/>
        </w:rPr>
        <w:t xml:space="preserve"> thus </w:t>
      </w:r>
      <w:r w:rsidR="004C22BA">
        <w:rPr>
          <w:rFonts w:asciiTheme="majorHAnsi" w:eastAsia="Times New Roman" w:hAnsiTheme="majorHAnsi" w:cs="Helvetica"/>
          <w:color w:val="333333"/>
          <w:sz w:val="28"/>
          <w:szCs w:val="28"/>
          <w:lang w:val="en" w:eastAsia="fr-CH"/>
        </w:rPr>
        <w:t>turned into</w:t>
      </w:r>
      <w:r w:rsidR="00DF3691" w:rsidRPr="00FA4DA5">
        <w:rPr>
          <w:rFonts w:asciiTheme="majorHAnsi" w:eastAsia="Times New Roman" w:hAnsiTheme="majorHAnsi" w:cs="Helvetica"/>
          <w:color w:val="333333"/>
          <w:sz w:val="28"/>
          <w:szCs w:val="28"/>
          <w:lang w:val="en" w:eastAsia="fr-CH"/>
        </w:rPr>
        <w:t xml:space="preserve"> establishing a Cross Community Working Group (CCWG) that incorporates some key elements that have arisen in the dialogues. Additionally, given the input over the course of the dialogue on this process, it's suggested that the CCWG has two work steams, one focused on accountability in view of ICANN's changing historical relationship with the USG, and the second, on the broader accountability issues the community would like to bring to the forefront.</w:t>
      </w:r>
    </w:p>
    <w:p w:rsidR="00DF3691" w:rsidRPr="00FA4DA5" w:rsidRDefault="00DF3691"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sidRPr="00FA4DA5">
        <w:rPr>
          <w:rFonts w:asciiTheme="majorHAnsi" w:eastAsia="Times New Roman" w:hAnsiTheme="majorHAnsi" w:cs="Helvetica"/>
          <w:color w:val="333333"/>
          <w:sz w:val="28"/>
          <w:szCs w:val="28"/>
          <w:lang w:val="en" w:eastAsia="fr-CH"/>
        </w:rPr>
        <w:t>The proposed process and next steps are outlined below.</w:t>
      </w:r>
    </w:p>
    <w:p w:rsidR="00DF3691" w:rsidRPr="00FA4DA5" w:rsidRDefault="00DF3691" w:rsidP="00DF3691">
      <w:pPr>
        <w:spacing w:after="0" w:line="240" w:lineRule="auto"/>
        <w:outlineLvl w:val="3"/>
        <w:rPr>
          <w:rFonts w:asciiTheme="majorHAnsi" w:eastAsia="Times New Roman" w:hAnsiTheme="majorHAnsi" w:cs="Helvetica"/>
          <w:color w:val="333333"/>
          <w:sz w:val="28"/>
          <w:szCs w:val="28"/>
          <w:lang w:val="en" w:eastAsia="fr-CH"/>
        </w:rPr>
      </w:pPr>
      <w:r w:rsidRPr="00FA4DA5">
        <w:rPr>
          <w:rFonts w:asciiTheme="majorHAnsi" w:eastAsia="Times New Roman" w:hAnsiTheme="majorHAnsi" w:cs="Helvetica"/>
          <w:color w:val="333333"/>
          <w:sz w:val="28"/>
          <w:szCs w:val="28"/>
          <w:lang w:val="en" w:eastAsia="fr-CH"/>
        </w:rPr>
        <w:lastRenderedPageBreak/>
        <w:t>ICANN Accountability and Governance Cross Community Working Group (CCWG)</w:t>
      </w:r>
    </w:p>
    <w:p w:rsidR="00DF3691" w:rsidRPr="00FA4DA5" w:rsidRDefault="00DF3691" w:rsidP="00FA4DA5">
      <w:pPr>
        <w:spacing w:before="100" w:beforeAutospacing="1" w:after="100" w:afterAutospacing="1" w:line="240" w:lineRule="auto"/>
        <w:rPr>
          <w:rFonts w:asciiTheme="majorHAnsi" w:eastAsia="Times New Roman" w:hAnsiTheme="majorHAnsi" w:cs="Helvetica"/>
          <w:color w:val="333333"/>
          <w:sz w:val="28"/>
          <w:szCs w:val="28"/>
          <w:lang w:val="en" w:eastAsia="fr-CH"/>
        </w:rPr>
      </w:pPr>
      <w:r w:rsidRPr="00FA4DA5">
        <w:rPr>
          <w:rFonts w:asciiTheme="majorHAnsi" w:eastAsia="Times New Roman" w:hAnsiTheme="majorHAnsi" w:cs="Helvetica"/>
          <w:color w:val="333333"/>
          <w:sz w:val="28"/>
          <w:szCs w:val="28"/>
          <w:u w:val="single"/>
          <w:lang w:val="en" w:eastAsia="fr-CH"/>
        </w:rPr>
        <w:t>Scope of the accountability process – two work streams</w:t>
      </w:r>
      <w:r w:rsidRPr="00FA4DA5">
        <w:rPr>
          <w:rFonts w:asciiTheme="majorHAnsi" w:eastAsia="Times New Roman" w:hAnsiTheme="majorHAnsi" w:cs="Helvetica"/>
          <w:color w:val="333333"/>
          <w:sz w:val="28"/>
          <w:szCs w:val="28"/>
          <w:lang w:val="en" w:eastAsia="fr-CH"/>
        </w:rPr>
        <w:t xml:space="preserve">: The topic of accountability is important, and in the discussions around this process, areas and topics have been identified that are important to enhancing ICANN's accountability but not directly related to accountability in the context of the changing historical relationship with the USG. </w:t>
      </w:r>
    </w:p>
    <w:p w:rsidR="0024144F" w:rsidRDefault="00DF3691" w:rsidP="0024144F">
      <w:pPr>
        <w:spacing w:before="100" w:beforeAutospacing="1" w:after="100" w:afterAutospacing="1" w:line="240" w:lineRule="auto"/>
        <w:rPr>
          <w:rFonts w:asciiTheme="majorHAnsi" w:eastAsia="Times New Roman" w:hAnsiTheme="majorHAnsi" w:cs="Helvetica"/>
          <w:color w:val="333333"/>
          <w:sz w:val="28"/>
          <w:szCs w:val="28"/>
          <w:lang w:val="en" w:eastAsia="fr-CH"/>
        </w:rPr>
      </w:pPr>
      <w:r w:rsidRPr="00FA4DA5">
        <w:rPr>
          <w:rFonts w:asciiTheme="majorHAnsi" w:eastAsia="Times New Roman" w:hAnsiTheme="majorHAnsi" w:cs="Helvetica"/>
          <w:color w:val="333333"/>
          <w:sz w:val="28"/>
          <w:szCs w:val="28"/>
          <w:lang w:val="en" w:eastAsia="fr-CH"/>
        </w:rPr>
        <w:t>To ensure that over time there's a mechanism to ensure coverage of all areas, including topics outside of the immediate scope of the process, a suggestion is that the CCWG establish two work streams or subgroups: one focused on the scope of the work on enhancing ICANN accountability in light of the changing relationship with the USG within the time frame of the transition (Work Stream 1); and a second focused on addressing topics on accountability outside the scope of Work Stream 1, which are longer term (Work Stream 2</w:t>
      </w:r>
    </w:p>
    <w:p w:rsidR="0024144F" w:rsidRDefault="0024144F" w:rsidP="0024144F">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In the announcement the role and scope of involvement of:</w:t>
      </w:r>
    </w:p>
    <w:p w:rsidR="0024144F" w:rsidRPr="0024144F" w:rsidRDefault="0024144F" w:rsidP="0024144F">
      <w:pPr>
        <w:pStyle w:val="ListParagraph"/>
        <w:numPr>
          <w:ilvl w:val="0"/>
          <w:numId w:val="7"/>
        </w:numPr>
        <w:spacing w:before="100" w:beforeAutospacing="1" w:after="100" w:afterAutospacing="1" w:line="240" w:lineRule="auto"/>
        <w:ind w:left="0" w:firstLine="0"/>
        <w:rPr>
          <w:rFonts w:asciiTheme="majorHAnsi" w:eastAsia="Times New Roman" w:hAnsiTheme="majorHAnsi" w:cs="Helvetica"/>
          <w:color w:val="333333"/>
          <w:sz w:val="28"/>
          <w:szCs w:val="28"/>
          <w:u w:val="single"/>
          <w:lang w:val="en" w:eastAsia="fr-CH"/>
        </w:rPr>
      </w:pPr>
      <w:r w:rsidRPr="0024144F">
        <w:rPr>
          <w:rFonts w:asciiTheme="majorHAnsi" w:eastAsia="Times New Roman" w:hAnsiTheme="majorHAnsi" w:cs="Helvetica"/>
          <w:color w:val="333333"/>
          <w:sz w:val="28"/>
          <w:szCs w:val="28"/>
          <w:u w:val="single"/>
          <w:lang w:val="en" w:eastAsia="fr-CH"/>
        </w:rPr>
        <w:t>ICANN Staff,</w:t>
      </w:r>
      <w:r>
        <w:rPr>
          <w:rFonts w:asciiTheme="majorHAnsi" w:eastAsia="Times New Roman" w:hAnsiTheme="majorHAnsi" w:cs="Helvetica"/>
          <w:color w:val="333333"/>
          <w:sz w:val="28"/>
          <w:szCs w:val="28"/>
          <w:u w:val="single"/>
          <w:lang w:val="en" w:eastAsia="fr-CH"/>
        </w:rPr>
        <w:t xml:space="preserve"> b) </w:t>
      </w:r>
      <w:r w:rsidR="00DF3691" w:rsidRPr="0024144F">
        <w:rPr>
          <w:rFonts w:asciiTheme="majorHAnsi" w:eastAsia="Times New Roman" w:hAnsiTheme="majorHAnsi" w:cs="Helvetica"/>
          <w:color w:val="333333"/>
          <w:sz w:val="28"/>
          <w:szCs w:val="28"/>
          <w:u w:val="single"/>
          <w:lang w:val="en" w:eastAsia="fr-CH"/>
        </w:rPr>
        <w:t xml:space="preserve">ICANN Board </w:t>
      </w:r>
      <w:r w:rsidRPr="0024144F">
        <w:rPr>
          <w:rFonts w:asciiTheme="majorHAnsi" w:eastAsia="Times New Roman" w:hAnsiTheme="majorHAnsi" w:cs="Helvetica"/>
          <w:color w:val="333333"/>
          <w:sz w:val="28"/>
          <w:szCs w:val="28"/>
          <w:u w:val="single"/>
          <w:lang w:val="en" w:eastAsia="fr-CH"/>
        </w:rPr>
        <w:t xml:space="preserve">Liaison </w:t>
      </w:r>
      <w:r>
        <w:rPr>
          <w:rFonts w:asciiTheme="majorHAnsi" w:eastAsia="Times New Roman" w:hAnsiTheme="majorHAnsi" w:cs="Helvetica"/>
          <w:color w:val="333333"/>
          <w:sz w:val="28"/>
          <w:szCs w:val="28"/>
          <w:u w:val="single"/>
          <w:lang w:val="en" w:eastAsia="fr-CH"/>
        </w:rPr>
        <w:t xml:space="preserve">c) </w:t>
      </w:r>
      <w:r w:rsidRPr="0024144F">
        <w:rPr>
          <w:rFonts w:asciiTheme="majorHAnsi" w:eastAsia="Times New Roman" w:hAnsiTheme="majorHAnsi" w:cs="Helvetica"/>
          <w:color w:val="333333"/>
          <w:sz w:val="28"/>
          <w:szCs w:val="28"/>
          <w:u w:val="single"/>
          <w:lang w:val="en" w:eastAsia="fr-CH"/>
        </w:rPr>
        <w:t>Advisors,</w:t>
      </w:r>
      <w:r>
        <w:rPr>
          <w:rFonts w:asciiTheme="majorHAnsi" w:eastAsia="Times New Roman" w:hAnsiTheme="majorHAnsi" w:cs="Helvetica"/>
          <w:color w:val="333333"/>
          <w:sz w:val="28"/>
          <w:szCs w:val="28"/>
          <w:u w:val="single"/>
          <w:lang w:val="en" w:eastAsia="fr-CH"/>
        </w:rPr>
        <w:t xml:space="preserve"> </w:t>
      </w:r>
      <w:r w:rsidR="00DF3691" w:rsidRPr="0024144F">
        <w:rPr>
          <w:rFonts w:asciiTheme="majorHAnsi" w:eastAsia="Times New Roman" w:hAnsiTheme="majorHAnsi" w:cs="Helvetica"/>
          <w:color w:val="333333"/>
          <w:sz w:val="28"/>
          <w:szCs w:val="28"/>
          <w:u w:val="single"/>
          <w:lang w:val="en" w:eastAsia="fr-CH"/>
        </w:rPr>
        <w:t>ATRT Expert</w:t>
      </w:r>
      <w:r w:rsidRPr="0024144F">
        <w:rPr>
          <w:rFonts w:asciiTheme="majorHAnsi" w:eastAsia="Times New Roman" w:hAnsiTheme="majorHAnsi" w:cs="Helvetica"/>
          <w:color w:val="333333"/>
          <w:sz w:val="28"/>
          <w:szCs w:val="28"/>
          <w:u w:val="single"/>
          <w:lang w:val="en" w:eastAsia="fr-CH"/>
        </w:rPr>
        <w:t>,</w:t>
      </w:r>
      <w:r>
        <w:rPr>
          <w:rFonts w:asciiTheme="majorHAnsi" w:eastAsia="Times New Roman" w:hAnsiTheme="majorHAnsi" w:cs="Helvetica"/>
          <w:color w:val="333333"/>
          <w:sz w:val="28"/>
          <w:szCs w:val="28"/>
          <w:u w:val="single"/>
          <w:lang w:val="en" w:eastAsia="fr-CH"/>
        </w:rPr>
        <w:t xml:space="preserve"> d)</w:t>
      </w:r>
      <w:r w:rsidRPr="0024144F">
        <w:rPr>
          <w:rFonts w:asciiTheme="majorHAnsi" w:eastAsia="Times New Roman" w:hAnsiTheme="majorHAnsi" w:cs="Helvetica"/>
          <w:color w:val="333333"/>
          <w:sz w:val="28"/>
          <w:szCs w:val="28"/>
          <w:u w:val="single"/>
          <w:lang w:val="en" w:eastAsia="fr-CH"/>
        </w:rPr>
        <w:t>Liaison with ICG</w:t>
      </w:r>
      <w:r>
        <w:rPr>
          <w:rFonts w:asciiTheme="majorHAnsi" w:eastAsia="Times New Roman" w:hAnsiTheme="majorHAnsi" w:cs="Helvetica"/>
          <w:color w:val="333333"/>
          <w:sz w:val="28"/>
          <w:szCs w:val="28"/>
          <w:u w:val="single"/>
          <w:lang w:val="en" w:eastAsia="fr-CH"/>
        </w:rPr>
        <w:t xml:space="preserve"> and e) </w:t>
      </w:r>
      <w:r w:rsidR="00DF3691" w:rsidRPr="0024144F">
        <w:rPr>
          <w:rFonts w:asciiTheme="majorHAnsi" w:eastAsia="Times New Roman" w:hAnsiTheme="majorHAnsi" w:cs="Helvetica"/>
          <w:color w:val="333333"/>
          <w:sz w:val="28"/>
          <w:szCs w:val="28"/>
          <w:lang w:val="en" w:eastAsia="fr-CH"/>
        </w:rPr>
        <w:t>Role of the Board</w:t>
      </w:r>
      <w:r>
        <w:rPr>
          <w:rFonts w:asciiTheme="majorHAnsi" w:eastAsia="Times New Roman" w:hAnsiTheme="majorHAnsi" w:cs="Helvetica"/>
          <w:color w:val="333333"/>
          <w:sz w:val="28"/>
          <w:szCs w:val="28"/>
          <w:lang w:val="en" w:eastAsia="fr-CH"/>
        </w:rPr>
        <w:t xml:space="preserve"> w</w:t>
      </w:r>
      <w:r w:rsidRPr="0024144F">
        <w:rPr>
          <w:rFonts w:asciiTheme="majorHAnsi" w:eastAsia="Times New Roman" w:hAnsiTheme="majorHAnsi" w:cs="Helvetica"/>
          <w:color w:val="333333"/>
          <w:sz w:val="28"/>
          <w:szCs w:val="28"/>
          <w:lang w:val="en" w:eastAsia="fr-CH"/>
        </w:rPr>
        <w:t>ere described</w:t>
      </w:r>
    </w:p>
    <w:p w:rsidR="00DF3691" w:rsidRPr="00FA4DA5" w:rsidRDefault="0024144F" w:rsidP="0060365A">
      <w:pPr>
        <w:spacing w:after="0" w:line="240" w:lineRule="auto"/>
        <w:outlineLvl w:val="3"/>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Under the </w:t>
      </w:r>
      <w:r w:rsidRPr="0024144F">
        <w:rPr>
          <w:rFonts w:asciiTheme="majorHAnsi" w:eastAsia="Times New Roman" w:hAnsiTheme="majorHAnsi" w:cs="Helvetica"/>
          <w:color w:val="333333"/>
          <w:sz w:val="28"/>
          <w:szCs w:val="28"/>
          <w:lang w:val="en" w:eastAsia="fr-CH"/>
        </w:rPr>
        <w:t>Role of the Board</w:t>
      </w:r>
      <w:r>
        <w:rPr>
          <w:rFonts w:asciiTheme="majorHAnsi" w:eastAsia="Times New Roman" w:hAnsiTheme="majorHAnsi" w:cs="Helvetica"/>
          <w:color w:val="333333"/>
          <w:sz w:val="28"/>
          <w:szCs w:val="28"/>
          <w:lang w:val="en" w:eastAsia="fr-CH"/>
        </w:rPr>
        <w:t>,</w:t>
      </w:r>
      <w:r w:rsidR="00DF3691" w:rsidRPr="00FA4DA5">
        <w:rPr>
          <w:rFonts w:asciiTheme="majorHAnsi" w:eastAsia="Times New Roman" w:hAnsiTheme="majorHAnsi" w:cs="Helvetica"/>
          <w:color w:val="333333"/>
          <w:sz w:val="28"/>
          <w:szCs w:val="28"/>
          <w:lang w:val="en" w:eastAsia="fr-CH"/>
        </w:rPr>
        <w:t xml:space="preserve"> in particular regarding the acceptance of recommendations from the </w:t>
      </w:r>
      <w:r w:rsidRPr="00FA4DA5">
        <w:rPr>
          <w:rFonts w:asciiTheme="majorHAnsi" w:eastAsia="Times New Roman" w:hAnsiTheme="majorHAnsi" w:cs="Helvetica"/>
          <w:color w:val="333333"/>
          <w:sz w:val="28"/>
          <w:szCs w:val="28"/>
          <w:lang w:val="en" w:eastAsia="fr-CH"/>
        </w:rPr>
        <w:t>process</w:t>
      </w:r>
      <w:r>
        <w:rPr>
          <w:rFonts w:asciiTheme="majorHAnsi" w:eastAsia="Times New Roman" w:hAnsiTheme="majorHAnsi" w:cs="Helvetica"/>
          <w:color w:val="333333"/>
          <w:sz w:val="28"/>
          <w:szCs w:val="28"/>
          <w:lang w:val="en" w:eastAsia="fr-CH"/>
        </w:rPr>
        <w:t xml:space="preserve">, it was mentioned </w:t>
      </w:r>
      <w:r w:rsidR="0060365A">
        <w:rPr>
          <w:rFonts w:asciiTheme="majorHAnsi" w:eastAsia="Times New Roman" w:hAnsiTheme="majorHAnsi" w:cs="Helvetica"/>
          <w:color w:val="333333"/>
          <w:sz w:val="28"/>
          <w:szCs w:val="28"/>
          <w:lang w:val="en" w:eastAsia="fr-CH"/>
        </w:rPr>
        <w:t xml:space="preserve">that </w:t>
      </w:r>
      <w:r w:rsidR="0060365A" w:rsidRPr="00FA4DA5">
        <w:rPr>
          <w:rFonts w:asciiTheme="majorHAnsi" w:eastAsia="Times New Roman" w:hAnsiTheme="majorHAnsi" w:cs="Helvetica"/>
          <w:color w:val="333333"/>
          <w:sz w:val="28"/>
          <w:szCs w:val="28"/>
          <w:lang w:val="en" w:eastAsia="fr-CH"/>
        </w:rPr>
        <w:t>that</w:t>
      </w:r>
      <w:r>
        <w:rPr>
          <w:rFonts w:asciiTheme="majorHAnsi" w:eastAsia="Times New Roman" w:hAnsiTheme="majorHAnsi" w:cs="Helvetica"/>
          <w:color w:val="333333"/>
          <w:sz w:val="28"/>
          <w:szCs w:val="28"/>
          <w:lang w:val="en" w:eastAsia="fr-CH"/>
        </w:rPr>
        <w:t xml:space="preserve"> </w:t>
      </w:r>
      <w:r w:rsidR="0060365A">
        <w:rPr>
          <w:rFonts w:asciiTheme="majorHAnsi" w:eastAsia="Times New Roman" w:hAnsiTheme="majorHAnsi" w:cs="Helvetica"/>
          <w:color w:val="333333"/>
          <w:sz w:val="28"/>
          <w:szCs w:val="28"/>
          <w:lang w:val="en" w:eastAsia="fr-CH"/>
        </w:rPr>
        <w:t xml:space="preserve">was </w:t>
      </w:r>
      <w:r w:rsidR="0060365A" w:rsidRPr="00FA4DA5">
        <w:rPr>
          <w:rFonts w:asciiTheme="majorHAnsi" w:eastAsia="Times New Roman" w:hAnsiTheme="majorHAnsi" w:cs="Helvetica"/>
          <w:color w:val="333333"/>
          <w:sz w:val="28"/>
          <w:szCs w:val="28"/>
          <w:lang w:val="en" w:eastAsia="fr-CH"/>
        </w:rPr>
        <w:t>a</w:t>
      </w:r>
      <w:r w:rsidR="00DF3691" w:rsidRPr="00FA4DA5">
        <w:rPr>
          <w:rFonts w:asciiTheme="majorHAnsi" w:eastAsia="Times New Roman" w:hAnsiTheme="majorHAnsi" w:cs="Helvetica"/>
          <w:color w:val="333333"/>
          <w:sz w:val="28"/>
          <w:szCs w:val="28"/>
          <w:lang w:val="en" w:eastAsia="fr-CH"/>
        </w:rPr>
        <w:t xml:space="preserve"> matter for the Board to address, and the Board </w:t>
      </w:r>
      <w:r w:rsidR="0060365A">
        <w:rPr>
          <w:rFonts w:asciiTheme="majorHAnsi" w:eastAsia="Times New Roman" w:hAnsiTheme="majorHAnsi" w:cs="Helvetica"/>
          <w:color w:val="333333"/>
          <w:sz w:val="28"/>
          <w:szCs w:val="28"/>
          <w:lang w:val="en" w:eastAsia="fr-CH"/>
        </w:rPr>
        <w:t xml:space="preserve">in </w:t>
      </w:r>
      <w:r w:rsidR="00DF3691" w:rsidRPr="00FA4DA5">
        <w:rPr>
          <w:rFonts w:asciiTheme="majorHAnsi" w:eastAsia="Times New Roman" w:hAnsiTheme="majorHAnsi" w:cs="Helvetica"/>
          <w:color w:val="333333"/>
          <w:sz w:val="28"/>
          <w:szCs w:val="28"/>
          <w:lang w:val="en" w:eastAsia="fr-CH"/>
        </w:rPr>
        <w:t>assur</w:t>
      </w:r>
      <w:r w:rsidR="0060365A">
        <w:rPr>
          <w:rFonts w:asciiTheme="majorHAnsi" w:eastAsia="Times New Roman" w:hAnsiTheme="majorHAnsi" w:cs="Helvetica"/>
          <w:color w:val="333333"/>
          <w:sz w:val="28"/>
          <w:szCs w:val="28"/>
          <w:lang w:val="en" w:eastAsia="fr-CH"/>
        </w:rPr>
        <w:t>ing</w:t>
      </w:r>
      <w:r w:rsidR="00DF3691" w:rsidRPr="00FA4DA5">
        <w:rPr>
          <w:rFonts w:asciiTheme="majorHAnsi" w:eastAsia="Times New Roman" w:hAnsiTheme="majorHAnsi" w:cs="Helvetica"/>
          <w:color w:val="333333"/>
          <w:sz w:val="28"/>
          <w:szCs w:val="28"/>
          <w:lang w:val="en" w:eastAsia="fr-CH"/>
        </w:rPr>
        <w:t xml:space="preserve"> all stakeholders that it will seriously consider and respect the recommendations arising out of the review. </w:t>
      </w:r>
    </w:p>
    <w:p w:rsidR="00DF3691" w:rsidRDefault="00DF3691"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sidRPr="00FA4DA5">
        <w:rPr>
          <w:rFonts w:asciiTheme="majorHAnsi" w:eastAsia="Times New Roman" w:hAnsiTheme="majorHAnsi" w:cs="Helvetica"/>
          <w:color w:val="333333"/>
          <w:sz w:val="28"/>
          <w:szCs w:val="28"/>
          <w:lang w:val="en" w:eastAsia="fr-CH"/>
        </w:rPr>
        <w:t xml:space="preserve">The CCWG is expected to prepare initial reports on Work Streams 1 and 2, including recommended timeframes for development of new or improved mechanisms, if any. Initial reports will be put out for public comment. This should occur for Work Streams 1 and 2, though given the deliverables, the timing of each report will be </w:t>
      </w:r>
      <w:r w:rsidR="004448E6" w:rsidRPr="00FA4DA5">
        <w:rPr>
          <w:rFonts w:asciiTheme="majorHAnsi" w:eastAsia="Times New Roman" w:hAnsiTheme="majorHAnsi" w:cs="Helvetica"/>
          <w:color w:val="333333"/>
          <w:sz w:val="28"/>
          <w:szCs w:val="28"/>
          <w:lang w:val="en" w:eastAsia="fr-CH"/>
        </w:rPr>
        <w:t>fazed</w:t>
      </w:r>
      <w:r w:rsidRPr="00FA4DA5">
        <w:rPr>
          <w:rFonts w:asciiTheme="majorHAnsi" w:eastAsia="Times New Roman" w:hAnsiTheme="majorHAnsi" w:cs="Helvetica"/>
          <w:color w:val="333333"/>
          <w:sz w:val="28"/>
          <w:szCs w:val="28"/>
          <w:lang w:val="en" w:eastAsia="fr-CH"/>
        </w:rPr>
        <w:t xml:space="preserve"> differently. The work of the CCWG </w:t>
      </w:r>
      <w:r w:rsidRPr="00FA4DA5">
        <w:rPr>
          <w:rFonts w:asciiTheme="majorHAnsi" w:eastAsia="Times New Roman" w:hAnsiTheme="majorHAnsi" w:cs="Helvetica"/>
          <w:color w:val="333333"/>
          <w:sz w:val="28"/>
          <w:szCs w:val="28"/>
          <w:u w:val="single"/>
          <w:lang w:val="en" w:eastAsia="fr-CH"/>
        </w:rPr>
        <w:t>should not reopen recommendations adopted for implementation by the ATRT processes</w:t>
      </w:r>
      <w:r w:rsidRPr="00FA4DA5">
        <w:rPr>
          <w:rFonts w:asciiTheme="majorHAnsi" w:eastAsia="Times New Roman" w:hAnsiTheme="majorHAnsi" w:cs="Helvetica"/>
          <w:color w:val="333333"/>
          <w:sz w:val="28"/>
          <w:szCs w:val="28"/>
          <w:lang w:val="en" w:eastAsia="fr-CH"/>
        </w:rPr>
        <w:t xml:space="preserve"> but rather complement those and other initiatives underway. The CCWG work on Work Stream 2 could, for example, provide advice on the implementation of some of the ATRT2 recommendations.</w:t>
      </w:r>
    </w:p>
    <w:p w:rsidR="0060365A" w:rsidRDefault="0060365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The above-mentioned two Groups, CWG and CCWG were thus established and commenced their works</w:t>
      </w:r>
      <w:r w:rsidR="004C22BA">
        <w:rPr>
          <w:rFonts w:asciiTheme="majorHAnsi" w:eastAsia="Times New Roman" w:hAnsiTheme="majorHAnsi" w:cs="Helvetica"/>
          <w:color w:val="333333"/>
          <w:sz w:val="28"/>
          <w:szCs w:val="28"/>
          <w:lang w:val="en" w:eastAsia="fr-CH"/>
        </w:rPr>
        <w:t>/</w:t>
      </w:r>
      <w:r>
        <w:rPr>
          <w:rFonts w:asciiTheme="majorHAnsi" w:eastAsia="Times New Roman" w:hAnsiTheme="majorHAnsi" w:cs="Helvetica"/>
          <w:color w:val="333333"/>
          <w:sz w:val="28"/>
          <w:szCs w:val="28"/>
          <w:lang w:val="en" w:eastAsia="fr-CH"/>
        </w:rPr>
        <w:t>activities</w:t>
      </w:r>
    </w:p>
    <w:p w:rsidR="004C22BA" w:rsidRDefault="004C22B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CWG has held so far one f2f and </w:t>
      </w:r>
      <w:r w:rsidR="004448E6">
        <w:rPr>
          <w:rFonts w:asciiTheme="majorHAnsi" w:eastAsia="Times New Roman" w:hAnsiTheme="majorHAnsi" w:cs="Helvetica"/>
          <w:color w:val="333333"/>
          <w:sz w:val="28"/>
          <w:szCs w:val="28"/>
          <w:lang w:val="en" w:eastAsia="fr-CH"/>
        </w:rPr>
        <w:t>several</w:t>
      </w:r>
      <w:r>
        <w:rPr>
          <w:rFonts w:asciiTheme="majorHAnsi" w:eastAsia="Times New Roman" w:hAnsiTheme="majorHAnsi" w:cs="Helvetica"/>
          <w:color w:val="333333"/>
          <w:sz w:val="28"/>
          <w:szCs w:val="28"/>
          <w:lang w:val="en" w:eastAsia="fr-CH"/>
        </w:rPr>
        <w:t xml:space="preserve"> virtual meetings</w:t>
      </w:r>
    </w:p>
    <w:p w:rsidR="00AE53CA" w:rsidRDefault="00AE53CA" w:rsidP="00AE53CA">
      <w:pPr>
        <w:pStyle w:val="ListParagraph"/>
        <w:numPr>
          <w:ilvl w:val="0"/>
          <w:numId w:val="9"/>
        </w:numPr>
        <w:spacing w:before="100" w:beforeAutospacing="1" w:after="100" w:afterAutospacing="1" w:line="240" w:lineRule="auto"/>
        <w:ind w:hanging="720"/>
        <w:rPr>
          <w:rFonts w:asciiTheme="majorHAnsi" w:eastAsia="Times New Roman" w:hAnsiTheme="majorHAnsi" w:cs="Helvetica"/>
          <w:color w:val="333333"/>
          <w:sz w:val="28"/>
          <w:szCs w:val="28"/>
          <w:lang w:val="en" w:eastAsia="fr-CH"/>
        </w:rPr>
      </w:pPr>
      <w:r w:rsidRPr="00AE53CA">
        <w:rPr>
          <w:rFonts w:asciiTheme="majorHAnsi" w:eastAsia="Times New Roman" w:hAnsiTheme="majorHAnsi" w:cs="Helvetica"/>
          <w:color w:val="333333"/>
          <w:sz w:val="28"/>
          <w:szCs w:val="28"/>
          <w:lang w:val="en" w:eastAsia="fr-CH"/>
        </w:rPr>
        <w:lastRenderedPageBreak/>
        <w:t>Specific comments</w:t>
      </w:r>
    </w:p>
    <w:p w:rsidR="00591AED" w:rsidRDefault="00AE53C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1.1</w:t>
      </w:r>
      <w:r>
        <w:rPr>
          <w:rFonts w:asciiTheme="majorHAnsi" w:eastAsia="Times New Roman" w:hAnsiTheme="majorHAnsi" w:cs="Helvetica"/>
          <w:color w:val="333333"/>
          <w:sz w:val="28"/>
          <w:szCs w:val="28"/>
          <w:lang w:val="en" w:eastAsia="fr-CH"/>
        </w:rPr>
        <w:tab/>
      </w:r>
      <w:r w:rsidR="004C22BA">
        <w:rPr>
          <w:rFonts w:asciiTheme="majorHAnsi" w:eastAsia="Times New Roman" w:hAnsiTheme="majorHAnsi" w:cs="Helvetica"/>
          <w:color w:val="333333"/>
          <w:sz w:val="28"/>
          <w:szCs w:val="28"/>
          <w:lang w:val="en" w:eastAsia="fr-CH"/>
        </w:rPr>
        <w:t>In the CWG Charter, under the headings of “Report</w:t>
      </w:r>
      <w:r w:rsidR="00591AED">
        <w:rPr>
          <w:rFonts w:asciiTheme="majorHAnsi" w:eastAsia="Times New Roman" w:hAnsiTheme="majorHAnsi" w:cs="Helvetica"/>
          <w:color w:val="333333"/>
          <w:sz w:val="28"/>
          <w:szCs w:val="28"/>
          <w:lang w:val="en" w:eastAsia="fr-CH"/>
        </w:rPr>
        <w:t>ing</w:t>
      </w:r>
      <w:r w:rsidR="004C22BA">
        <w:rPr>
          <w:rFonts w:asciiTheme="majorHAnsi" w:eastAsia="Times New Roman" w:hAnsiTheme="majorHAnsi" w:cs="Helvetica"/>
          <w:color w:val="333333"/>
          <w:sz w:val="28"/>
          <w:szCs w:val="28"/>
          <w:lang w:val="en" w:eastAsia="fr-CH"/>
        </w:rPr>
        <w:t xml:space="preserve">” and </w:t>
      </w:r>
      <w:r w:rsidR="00591AED">
        <w:rPr>
          <w:rFonts w:asciiTheme="majorHAnsi" w:eastAsia="Times New Roman" w:hAnsiTheme="majorHAnsi" w:cs="Helvetica"/>
          <w:color w:val="333333"/>
          <w:sz w:val="28"/>
          <w:szCs w:val="28"/>
          <w:lang w:val="en" w:eastAsia="fr-CH"/>
        </w:rPr>
        <w:t>“Working</w:t>
      </w:r>
      <w:r w:rsidR="004C22BA">
        <w:rPr>
          <w:rFonts w:asciiTheme="majorHAnsi" w:eastAsia="Times New Roman" w:hAnsiTheme="majorHAnsi" w:cs="Helvetica"/>
          <w:color w:val="333333"/>
          <w:sz w:val="28"/>
          <w:szCs w:val="28"/>
          <w:lang w:val="en" w:eastAsia="fr-CH"/>
        </w:rPr>
        <w:t xml:space="preserve"> Relation</w:t>
      </w:r>
      <w:r w:rsidR="00591AED">
        <w:rPr>
          <w:rFonts w:asciiTheme="majorHAnsi" w:eastAsia="Times New Roman" w:hAnsiTheme="majorHAnsi" w:cs="Helvetica"/>
          <w:color w:val="333333"/>
          <w:sz w:val="28"/>
          <w:szCs w:val="28"/>
          <w:lang w:val="en" w:eastAsia="fr-CH"/>
        </w:rPr>
        <w:t>ship with ICG</w:t>
      </w:r>
      <w:r w:rsidR="004C22BA">
        <w:rPr>
          <w:rFonts w:asciiTheme="majorHAnsi" w:eastAsia="Times New Roman" w:hAnsiTheme="majorHAnsi" w:cs="Helvetica"/>
          <w:color w:val="333333"/>
          <w:sz w:val="28"/>
          <w:szCs w:val="28"/>
          <w:lang w:val="en" w:eastAsia="fr-CH"/>
        </w:rPr>
        <w:t>” it is indicated that</w:t>
      </w:r>
      <w:r w:rsidR="00591AED">
        <w:rPr>
          <w:rFonts w:asciiTheme="majorHAnsi" w:eastAsia="Times New Roman" w:hAnsiTheme="majorHAnsi" w:cs="Helvetica"/>
          <w:color w:val="333333"/>
          <w:sz w:val="28"/>
          <w:szCs w:val="28"/>
          <w:lang w:val="en" w:eastAsia="fr-CH"/>
        </w:rPr>
        <w:t>” the CWG Co-Chair will brief the chartering organization and, in particular, their representatives on the ICG and will discuss with them the most appropriate methods of sharing information and communicating progress and outcomes of CWG”.</w:t>
      </w:r>
    </w:p>
    <w:p w:rsidR="00591AED" w:rsidRDefault="00591AED"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Since the CCWG will rely on the output of CWG in its overall activities, it is essential to ensure that such exchange of information and briefing have been regularly happening</w:t>
      </w:r>
    </w:p>
    <w:p w:rsidR="00847B0E" w:rsidRDefault="00AE53C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1.2</w:t>
      </w:r>
      <w:r>
        <w:rPr>
          <w:rFonts w:asciiTheme="majorHAnsi" w:eastAsia="Times New Roman" w:hAnsiTheme="majorHAnsi" w:cs="Helvetica"/>
          <w:color w:val="333333"/>
          <w:sz w:val="28"/>
          <w:szCs w:val="28"/>
          <w:lang w:val="en" w:eastAsia="fr-CH"/>
        </w:rPr>
        <w:tab/>
      </w:r>
      <w:r w:rsidR="00591AED">
        <w:rPr>
          <w:rFonts w:asciiTheme="majorHAnsi" w:eastAsia="Times New Roman" w:hAnsiTheme="majorHAnsi" w:cs="Helvetica"/>
          <w:color w:val="333333"/>
          <w:sz w:val="28"/>
          <w:szCs w:val="28"/>
          <w:lang w:val="en" w:eastAsia="fr-CH"/>
        </w:rPr>
        <w:t>In the scope of works of CCWG,</w:t>
      </w:r>
      <w:r w:rsidR="00847B0E">
        <w:rPr>
          <w:rFonts w:asciiTheme="majorHAnsi" w:eastAsia="Times New Roman" w:hAnsiTheme="majorHAnsi" w:cs="Helvetica"/>
          <w:color w:val="333333"/>
          <w:sz w:val="28"/>
          <w:szCs w:val="28"/>
          <w:lang w:val="en" w:eastAsia="fr-CH"/>
        </w:rPr>
        <w:t xml:space="preserve"> it is mentioned that the output received from CWG will be sent for the Board’s approval. As I mentioned in one of my </w:t>
      </w:r>
      <w:r w:rsidR="004448E6">
        <w:rPr>
          <w:rFonts w:asciiTheme="majorHAnsi" w:eastAsia="Times New Roman" w:hAnsiTheme="majorHAnsi" w:cs="Helvetica"/>
          <w:color w:val="333333"/>
          <w:sz w:val="28"/>
          <w:szCs w:val="28"/>
          <w:lang w:val="en" w:eastAsia="fr-CH"/>
        </w:rPr>
        <w:t>message to</w:t>
      </w:r>
      <w:r w:rsidR="00847B0E">
        <w:rPr>
          <w:rFonts w:asciiTheme="majorHAnsi" w:eastAsia="Times New Roman" w:hAnsiTheme="majorHAnsi" w:cs="Helvetica"/>
          <w:color w:val="333333"/>
          <w:sz w:val="28"/>
          <w:szCs w:val="28"/>
          <w:lang w:val="en" w:eastAsia="fr-CH"/>
        </w:rPr>
        <w:t xml:space="preserve"> my CCWG such course of action implies that the Board is given the authority of veto and/ or rejection or amending the output</w:t>
      </w:r>
    </w:p>
    <w:p w:rsidR="008C59DE" w:rsidRDefault="00847B0E"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In ICG process such veto is totally </w:t>
      </w:r>
      <w:r w:rsidR="004448E6">
        <w:rPr>
          <w:rFonts w:asciiTheme="majorHAnsi" w:eastAsia="Times New Roman" w:hAnsiTheme="majorHAnsi" w:cs="Helvetica"/>
          <w:color w:val="333333"/>
          <w:sz w:val="28"/>
          <w:szCs w:val="28"/>
          <w:lang w:val="en" w:eastAsia="fr-CH"/>
        </w:rPr>
        <w:t>excluded due</w:t>
      </w:r>
      <w:r>
        <w:rPr>
          <w:rFonts w:asciiTheme="majorHAnsi" w:eastAsia="Times New Roman" w:hAnsiTheme="majorHAnsi" w:cs="Helvetica"/>
          <w:color w:val="333333"/>
          <w:sz w:val="28"/>
          <w:szCs w:val="28"/>
          <w:lang w:val="en" w:eastAsia="fr-CH"/>
        </w:rPr>
        <w:t xml:space="preserve"> to the fact that the Board has had a permanent Liaison in ICG and could had timely provided its views and comments for consideration by ICG .Nevertheless ICG is finalizing its view to permit the Board while forwarding the ICG report without any modification to NTIA provide, if it so wishes, comments in a </w:t>
      </w:r>
      <w:r w:rsidR="00AE53CA">
        <w:rPr>
          <w:rFonts w:asciiTheme="majorHAnsi" w:eastAsia="Times New Roman" w:hAnsiTheme="majorHAnsi" w:cs="Helvetica"/>
          <w:color w:val="333333"/>
          <w:sz w:val="28"/>
          <w:szCs w:val="28"/>
          <w:lang w:val="en" w:eastAsia="fr-CH"/>
        </w:rPr>
        <w:t>separate communication</w:t>
      </w:r>
      <w:r>
        <w:rPr>
          <w:rFonts w:asciiTheme="majorHAnsi" w:eastAsia="Times New Roman" w:hAnsiTheme="majorHAnsi" w:cs="Helvetica"/>
          <w:color w:val="333333"/>
          <w:sz w:val="28"/>
          <w:szCs w:val="28"/>
          <w:lang w:val="en" w:eastAsia="fr-CH"/>
        </w:rPr>
        <w:t xml:space="preserve"> /message to NTIA.</w:t>
      </w:r>
    </w:p>
    <w:p w:rsidR="0060365A" w:rsidRDefault="00847B0E"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Similar course of action could be taken by CCWG</w:t>
      </w:r>
    </w:p>
    <w:p w:rsidR="00AE53CA" w:rsidRDefault="00AE53C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1.3</w:t>
      </w:r>
      <w:r>
        <w:rPr>
          <w:rFonts w:asciiTheme="majorHAnsi" w:eastAsia="Times New Roman" w:hAnsiTheme="majorHAnsi" w:cs="Helvetica"/>
          <w:color w:val="333333"/>
          <w:sz w:val="28"/>
          <w:szCs w:val="28"/>
          <w:lang w:val="en" w:eastAsia="fr-CH"/>
        </w:rPr>
        <w:tab/>
        <w:t xml:space="preserve">ICG expects to receive all required input from various sources by 15 January 2015, The way that the issues is a) progressing  in CWG and b) expected to be fed to and processed by working area 1 of CCWG does not seem to </w:t>
      </w:r>
      <w:proofErr w:type="spellStart"/>
      <w:r>
        <w:rPr>
          <w:rFonts w:asciiTheme="majorHAnsi" w:eastAsia="Times New Roman" w:hAnsiTheme="majorHAnsi" w:cs="Helvetica"/>
          <w:color w:val="333333"/>
          <w:sz w:val="28"/>
          <w:szCs w:val="28"/>
          <w:lang w:val="en" w:eastAsia="fr-CH"/>
        </w:rPr>
        <w:t>meat</w:t>
      </w:r>
      <w:proofErr w:type="spellEnd"/>
      <w:r>
        <w:rPr>
          <w:rFonts w:asciiTheme="majorHAnsi" w:eastAsia="Times New Roman" w:hAnsiTheme="majorHAnsi" w:cs="Helvetica"/>
          <w:color w:val="333333"/>
          <w:sz w:val="28"/>
          <w:szCs w:val="28"/>
          <w:lang w:val="en" w:eastAsia="fr-CH"/>
        </w:rPr>
        <w:t xml:space="preserve"> the above-mentioned deadline. This is an important issue to be immediately addressed and redressed</w:t>
      </w:r>
    </w:p>
    <w:p w:rsidR="00AE53CA" w:rsidRPr="00AE53CA" w:rsidRDefault="00AE53CA" w:rsidP="00AE53CA">
      <w:pPr>
        <w:pStyle w:val="ListParagraph"/>
        <w:numPr>
          <w:ilvl w:val="0"/>
          <w:numId w:val="9"/>
        </w:numPr>
        <w:spacing w:before="100" w:beforeAutospacing="1" w:after="100" w:afterAutospacing="1" w:line="240" w:lineRule="auto"/>
        <w:ind w:hanging="720"/>
        <w:rPr>
          <w:rFonts w:asciiTheme="majorHAnsi" w:eastAsia="Times New Roman" w:hAnsiTheme="majorHAnsi" w:cs="Helvetica"/>
          <w:color w:val="333333"/>
          <w:sz w:val="28"/>
          <w:szCs w:val="28"/>
          <w:lang w:val="en" w:eastAsia="fr-CH"/>
        </w:rPr>
      </w:pPr>
      <w:r w:rsidRPr="00AE53CA">
        <w:rPr>
          <w:rFonts w:asciiTheme="majorHAnsi" w:eastAsia="Times New Roman" w:hAnsiTheme="majorHAnsi" w:cs="Helvetica"/>
          <w:color w:val="333333"/>
          <w:sz w:val="28"/>
          <w:szCs w:val="28"/>
          <w:lang w:val="en" w:eastAsia="fr-CH"/>
        </w:rPr>
        <w:t>General Comments</w:t>
      </w:r>
    </w:p>
    <w:p w:rsidR="00AE53CA" w:rsidRDefault="00AE53C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According to the approved arrangements, four Working Groups have been established</w:t>
      </w:r>
    </w:p>
    <w:p w:rsidR="00AE53CA" w:rsidRDefault="009505C6"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2.1</w:t>
      </w:r>
      <w:r>
        <w:rPr>
          <w:rFonts w:asciiTheme="majorHAnsi" w:eastAsia="Times New Roman" w:hAnsiTheme="majorHAnsi" w:cs="Helvetica"/>
          <w:color w:val="333333"/>
          <w:sz w:val="28"/>
          <w:szCs w:val="28"/>
          <w:lang w:val="en" w:eastAsia="fr-CH"/>
        </w:rPr>
        <w:tab/>
      </w:r>
      <w:r w:rsidR="00AE53CA">
        <w:rPr>
          <w:rFonts w:asciiTheme="majorHAnsi" w:eastAsia="Times New Roman" w:hAnsiTheme="majorHAnsi" w:cs="Helvetica"/>
          <w:color w:val="333333"/>
          <w:sz w:val="28"/>
          <w:szCs w:val="28"/>
          <w:lang w:val="en" w:eastAsia="fr-CH"/>
        </w:rPr>
        <w:t>Working Group 1 collects and compile all existing information mostly from ATRT past works</w:t>
      </w:r>
    </w:p>
    <w:p w:rsidR="009505C6" w:rsidRDefault="00AE53CA" w:rsidP="009505C6">
      <w:pPr>
        <w:pStyle w:val="ListParagraph"/>
        <w:spacing w:before="100" w:beforeAutospacing="1" w:after="100" w:afterAutospacing="1" w:line="240" w:lineRule="auto"/>
        <w:ind w:left="0"/>
        <w:rPr>
          <w:rFonts w:asciiTheme="majorHAnsi" w:eastAsia="Times New Roman" w:hAnsiTheme="majorHAnsi" w:cs="Helvetica"/>
          <w:color w:val="333333"/>
          <w:sz w:val="28"/>
          <w:szCs w:val="28"/>
          <w:lang w:val="en" w:eastAsia="fr-CH"/>
        </w:rPr>
      </w:pPr>
      <w:r w:rsidRPr="009505C6">
        <w:rPr>
          <w:rFonts w:asciiTheme="majorHAnsi" w:eastAsia="Times New Roman" w:hAnsiTheme="majorHAnsi" w:cs="Helvetica"/>
          <w:color w:val="333333"/>
          <w:sz w:val="28"/>
          <w:szCs w:val="28"/>
          <w:lang w:val="en" w:eastAsia="fr-CH"/>
        </w:rPr>
        <w:t xml:space="preserve">The past works done ATRT were based on </w:t>
      </w:r>
      <w:r w:rsidR="009505C6" w:rsidRPr="009505C6">
        <w:rPr>
          <w:rFonts w:asciiTheme="majorHAnsi" w:eastAsia="Times New Roman" w:hAnsiTheme="majorHAnsi" w:cs="Helvetica"/>
          <w:color w:val="333333"/>
          <w:sz w:val="28"/>
          <w:szCs w:val="28"/>
          <w:lang w:val="en" w:eastAsia="fr-CH"/>
        </w:rPr>
        <w:t xml:space="preserve">the initial </w:t>
      </w:r>
      <w:proofErr w:type="spellStart"/>
      <w:proofErr w:type="gramStart"/>
      <w:r w:rsidR="009505C6" w:rsidRPr="009505C6">
        <w:rPr>
          <w:rFonts w:asciiTheme="majorHAnsi" w:eastAsia="Times New Roman" w:hAnsiTheme="majorHAnsi" w:cs="Helvetica"/>
          <w:color w:val="333333"/>
          <w:sz w:val="28"/>
          <w:szCs w:val="28"/>
          <w:lang w:val="en" w:eastAsia="fr-CH"/>
        </w:rPr>
        <w:t>AoC</w:t>
      </w:r>
      <w:proofErr w:type="spellEnd"/>
      <w:r w:rsidR="009505C6" w:rsidRPr="009505C6">
        <w:rPr>
          <w:rFonts w:asciiTheme="majorHAnsi" w:eastAsia="Times New Roman" w:hAnsiTheme="majorHAnsi" w:cs="Helvetica"/>
          <w:color w:val="333333"/>
          <w:sz w:val="28"/>
          <w:szCs w:val="28"/>
          <w:lang w:val="en" w:eastAsia="fr-CH"/>
        </w:rPr>
        <w:t xml:space="preserve">  and</w:t>
      </w:r>
      <w:proofErr w:type="gramEnd"/>
      <w:r w:rsidR="009505C6" w:rsidRPr="009505C6">
        <w:rPr>
          <w:rFonts w:asciiTheme="majorHAnsi" w:eastAsia="Times New Roman" w:hAnsiTheme="majorHAnsi" w:cs="Helvetica"/>
          <w:color w:val="333333"/>
          <w:sz w:val="28"/>
          <w:szCs w:val="28"/>
          <w:lang w:val="en" w:eastAsia="fr-CH"/>
        </w:rPr>
        <w:t xml:space="preserve"> the amendments thereto. Moreover, that works were resulted from consultancy agreement between ATRT and some private sources .</w:t>
      </w:r>
      <w:proofErr w:type="spellStart"/>
      <w:r w:rsidR="009505C6" w:rsidRPr="009505C6">
        <w:rPr>
          <w:rFonts w:asciiTheme="majorHAnsi" w:eastAsia="Times New Roman" w:hAnsiTheme="majorHAnsi" w:cs="Helvetica"/>
          <w:color w:val="333333"/>
          <w:sz w:val="28"/>
          <w:szCs w:val="28"/>
          <w:lang w:val="en" w:eastAsia="fr-CH"/>
        </w:rPr>
        <w:t>Consequently</w:t>
      </w:r>
      <w:proofErr w:type="gramStart"/>
      <w:r w:rsidR="009505C6" w:rsidRPr="009505C6">
        <w:rPr>
          <w:rFonts w:asciiTheme="majorHAnsi" w:eastAsia="Times New Roman" w:hAnsiTheme="majorHAnsi" w:cs="Helvetica"/>
          <w:color w:val="333333"/>
          <w:sz w:val="28"/>
          <w:szCs w:val="28"/>
          <w:lang w:val="en" w:eastAsia="fr-CH"/>
        </w:rPr>
        <w:t>,that</w:t>
      </w:r>
      <w:proofErr w:type="spellEnd"/>
      <w:proofErr w:type="gramEnd"/>
      <w:r w:rsidR="009505C6" w:rsidRPr="009505C6">
        <w:rPr>
          <w:rFonts w:asciiTheme="majorHAnsi" w:eastAsia="Times New Roman" w:hAnsiTheme="majorHAnsi" w:cs="Helvetica"/>
          <w:color w:val="333333"/>
          <w:sz w:val="28"/>
          <w:szCs w:val="28"/>
          <w:lang w:val="en" w:eastAsia="fr-CH"/>
        </w:rPr>
        <w:t xml:space="preserve"> output must be adjusted to post transition environment in which the duty of the NTIA is expected to be performed by another entity. This requires a thorough review of the terms, conditions and scope of works as contained in </w:t>
      </w:r>
      <w:proofErr w:type="spellStart"/>
      <w:r w:rsidR="009505C6" w:rsidRPr="009505C6">
        <w:rPr>
          <w:rFonts w:asciiTheme="majorHAnsi" w:eastAsia="Times New Roman" w:hAnsiTheme="majorHAnsi" w:cs="Helvetica"/>
          <w:color w:val="333333"/>
          <w:sz w:val="28"/>
          <w:szCs w:val="28"/>
          <w:lang w:val="en" w:eastAsia="fr-CH"/>
        </w:rPr>
        <w:t>AoC</w:t>
      </w:r>
      <w:proofErr w:type="spellEnd"/>
      <w:r w:rsidR="009505C6">
        <w:rPr>
          <w:rFonts w:asciiTheme="majorHAnsi" w:eastAsia="Times New Roman" w:hAnsiTheme="majorHAnsi" w:cs="Helvetica"/>
          <w:color w:val="333333"/>
          <w:sz w:val="28"/>
          <w:szCs w:val="28"/>
          <w:lang w:val="en" w:eastAsia="fr-CH"/>
        </w:rPr>
        <w:t xml:space="preserve"> </w:t>
      </w:r>
      <w:r w:rsidR="009505C6" w:rsidRPr="009505C6">
        <w:rPr>
          <w:rFonts w:asciiTheme="majorHAnsi" w:eastAsia="Times New Roman" w:hAnsiTheme="majorHAnsi" w:cs="Helvetica"/>
          <w:color w:val="333333"/>
          <w:sz w:val="28"/>
          <w:szCs w:val="28"/>
          <w:lang w:val="en" w:eastAsia="fr-CH"/>
        </w:rPr>
        <w:t>and its required adjustment to post transition environment</w:t>
      </w:r>
    </w:p>
    <w:p w:rsidR="009505C6" w:rsidRDefault="00FB0D40" w:rsidP="009505C6">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2.2</w:t>
      </w:r>
      <w:r>
        <w:rPr>
          <w:rFonts w:asciiTheme="majorHAnsi" w:eastAsia="Times New Roman" w:hAnsiTheme="majorHAnsi" w:cs="Helvetica"/>
          <w:color w:val="333333"/>
          <w:sz w:val="28"/>
          <w:szCs w:val="28"/>
          <w:lang w:val="en" w:eastAsia="fr-CH"/>
        </w:rPr>
        <w:tab/>
      </w:r>
      <w:r w:rsidR="009505C6">
        <w:rPr>
          <w:rFonts w:asciiTheme="majorHAnsi" w:eastAsia="Times New Roman" w:hAnsiTheme="majorHAnsi" w:cs="Helvetica"/>
          <w:color w:val="333333"/>
          <w:sz w:val="28"/>
          <w:szCs w:val="28"/>
          <w:lang w:val="en" w:eastAsia="fr-CH"/>
        </w:rPr>
        <w:t xml:space="preserve">Working Group </w:t>
      </w:r>
      <w:r w:rsidR="009505C6">
        <w:rPr>
          <w:rFonts w:asciiTheme="majorHAnsi" w:eastAsia="Times New Roman" w:hAnsiTheme="majorHAnsi" w:cs="Helvetica"/>
          <w:color w:val="333333"/>
          <w:sz w:val="28"/>
          <w:szCs w:val="28"/>
          <w:lang w:val="en" w:eastAsia="fr-CH"/>
        </w:rPr>
        <w:t>2</w:t>
      </w:r>
    </w:p>
    <w:p w:rsidR="009505C6" w:rsidRDefault="009505C6" w:rsidP="009505C6">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This working collects and complies information as contained in public comments relating </w:t>
      </w:r>
      <w:proofErr w:type="gramStart"/>
      <w:r>
        <w:rPr>
          <w:rFonts w:asciiTheme="majorHAnsi" w:eastAsia="Times New Roman" w:hAnsiTheme="majorHAnsi" w:cs="Helvetica"/>
          <w:color w:val="333333"/>
          <w:sz w:val="28"/>
          <w:szCs w:val="28"/>
          <w:lang w:val="en" w:eastAsia="fr-CH"/>
        </w:rPr>
        <w:t>to</w:t>
      </w:r>
      <w:proofErr w:type="gramEnd"/>
      <w:r>
        <w:rPr>
          <w:rFonts w:asciiTheme="majorHAnsi" w:eastAsia="Times New Roman" w:hAnsiTheme="majorHAnsi" w:cs="Helvetica"/>
          <w:color w:val="333333"/>
          <w:sz w:val="28"/>
          <w:szCs w:val="28"/>
          <w:lang w:val="en" w:eastAsia="fr-CH"/>
        </w:rPr>
        <w:t xml:space="preserve"> accountability</w:t>
      </w:r>
      <w:r w:rsidR="00FB0D40">
        <w:rPr>
          <w:rFonts w:asciiTheme="majorHAnsi" w:eastAsia="Times New Roman" w:hAnsiTheme="majorHAnsi" w:cs="Helvetica"/>
          <w:color w:val="333333"/>
          <w:sz w:val="28"/>
          <w:szCs w:val="28"/>
          <w:lang w:val="en" w:eastAsia="fr-CH"/>
        </w:rPr>
        <w:t>.</w:t>
      </w:r>
    </w:p>
    <w:p w:rsidR="00FB0D40" w:rsidRDefault="00FB0D40" w:rsidP="009505C6">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It is important to verify and collect all information and not selective comments irrespective from whether comments in question submitted by a community or by an individual</w:t>
      </w:r>
    </w:p>
    <w:p w:rsidR="00FB0D40" w:rsidRPr="00FB0D40" w:rsidRDefault="00FB0D40" w:rsidP="00FB0D40">
      <w:pPr>
        <w:pStyle w:val="ListParagraph"/>
        <w:numPr>
          <w:ilvl w:val="1"/>
          <w:numId w:val="1"/>
        </w:numPr>
        <w:spacing w:before="100" w:beforeAutospacing="1" w:after="100" w:afterAutospacing="1" w:line="240" w:lineRule="auto"/>
        <w:ind w:hanging="1125"/>
        <w:rPr>
          <w:rFonts w:asciiTheme="majorHAnsi" w:eastAsia="Times New Roman" w:hAnsiTheme="majorHAnsi" w:cs="Helvetica"/>
          <w:color w:val="333333"/>
          <w:sz w:val="28"/>
          <w:szCs w:val="28"/>
          <w:lang w:val="en" w:eastAsia="fr-CH"/>
        </w:rPr>
      </w:pPr>
      <w:r w:rsidRPr="00FB0D40">
        <w:rPr>
          <w:rFonts w:asciiTheme="majorHAnsi" w:eastAsia="Times New Roman" w:hAnsiTheme="majorHAnsi" w:cs="Helvetica"/>
          <w:color w:val="333333"/>
          <w:sz w:val="28"/>
          <w:szCs w:val="28"/>
          <w:lang w:val="en" w:eastAsia="fr-CH"/>
        </w:rPr>
        <w:t>Working Group</w:t>
      </w:r>
      <w:r w:rsidRPr="00FB0D40">
        <w:rPr>
          <w:rFonts w:asciiTheme="majorHAnsi" w:eastAsia="Times New Roman" w:hAnsiTheme="majorHAnsi" w:cs="Helvetica"/>
          <w:color w:val="333333"/>
          <w:sz w:val="28"/>
          <w:szCs w:val="28"/>
          <w:lang w:val="en" w:eastAsia="fr-CH"/>
        </w:rPr>
        <w:t xml:space="preserve"> 3</w:t>
      </w:r>
    </w:p>
    <w:p w:rsidR="00FB0D40" w:rsidRDefault="00FB0D40" w:rsidP="00FB0D40">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The activities of this working group</w:t>
      </w:r>
      <w:r w:rsidR="00EF67E0">
        <w:rPr>
          <w:rFonts w:asciiTheme="majorHAnsi" w:eastAsia="Times New Roman" w:hAnsiTheme="majorHAnsi" w:cs="Helvetica"/>
          <w:color w:val="333333"/>
          <w:sz w:val="28"/>
          <w:szCs w:val="28"/>
          <w:lang w:val="en" w:eastAsia="fr-CH"/>
        </w:rPr>
        <w:t xml:space="preserve"> relate to the review of issues identified by CWG</w:t>
      </w:r>
    </w:p>
    <w:p w:rsidR="00EF67E0" w:rsidRDefault="00EF67E0" w:rsidP="00FB0D40">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Apart from those specific </w:t>
      </w:r>
      <w:proofErr w:type="gramStart"/>
      <w:r>
        <w:rPr>
          <w:rFonts w:asciiTheme="majorHAnsi" w:eastAsia="Times New Roman" w:hAnsiTheme="majorHAnsi" w:cs="Helvetica"/>
          <w:color w:val="333333"/>
          <w:sz w:val="28"/>
          <w:szCs w:val="28"/>
          <w:lang w:val="en" w:eastAsia="fr-CH"/>
        </w:rPr>
        <w:t>comments ,no</w:t>
      </w:r>
      <w:proofErr w:type="gramEnd"/>
      <w:r>
        <w:rPr>
          <w:rFonts w:asciiTheme="majorHAnsi" w:eastAsia="Times New Roman" w:hAnsiTheme="majorHAnsi" w:cs="Helvetica"/>
          <w:color w:val="333333"/>
          <w:sz w:val="28"/>
          <w:szCs w:val="28"/>
          <w:lang w:val="en" w:eastAsia="fr-CH"/>
        </w:rPr>
        <w:t xml:space="preserve"> additional comments at this stage except that this Group needs to wait until the results of works of CWG are available</w:t>
      </w:r>
    </w:p>
    <w:p w:rsidR="00EF67E0" w:rsidRPr="00EF67E0" w:rsidRDefault="00EF67E0" w:rsidP="00EF67E0">
      <w:pPr>
        <w:pStyle w:val="ListParagraph"/>
        <w:numPr>
          <w:ilvl w:val="1"/>
          <w:numId w:val="1"/>
        </w:numPr>
        <w:spacing w:before="100" w:beforeAutospacing="1" w:after="100" w:afterAutospacing="1" w:line="240" w:lineRule="auto"/>
        <w:ind w:hanging="1125"/>
        <w:rPr>
          <w:rFonts w:asciiTheme="majorHAnsi" w:eastAsia="Times New Roman" w:hAnsiTheme="majorHAnsi" w:cs="Helvetica"/>
          <w:color w:val="333333"/>
          <w:sz w:val="28"/>
          <w:szCs w:val="28"/>
          <w:lang w:val="en" w:eastAsia="fr-CH"/>
        </w:rPr>
      </w:pPr>
      <w:r w:rsidRPr="00EF67E0">
        <w:rPr>
          <w:rFonts w:asciiTheme="majorHAnsi" w:eastAsia="Times New Roman" w:hAnsiTheme="majorHAnsi" w:cs="Helvetica"/>
          <w:color w:val="333333"/>
          <w:sz w:val="28"/>
          <w:szCs w:val="28"/>
          <w:lang w:val="en" w:eastAsia="fr-CH"/>
        </w:rPr>
        <w:t>Working Group 4</w:t>
      </w:r>
    </w:p>
    <w:p w:rsidR="00EF67E0" w:rsidRDefault="00EF67E0" w:rsidP="00EF67E0">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This scope of work of this Group is to identify </w:t>
      </w:r>
      <w:r w:rsidR="0061544A">
        <w:rPr>
          <w:rFonts w:asciiTheme="majorHAnsi" w:eastAsia="Times New Roman" w:hAnsiTheme="majorHAnsi" w:cs="Helvetica"/>
          <w:color w:val="333333"/>
          <w:sz w:val="28"/>
          <w:szCs w:val="28"/>
          <w:lang w:val="en" w:eastAsia="fr-CH"/>
        </w:rPr>
        <w:t>contingencies (especially</w:t>
      </w:r>
      <w:r>
        <w:rPr>
          <w:rFonts w:asciiTheme="majorHAnsi" w:eastAsia="Times New Roman" w:hAnsiTheme="majorHAnsi" w:cs="Helvetica"/>
          <w:color w:val="333333"/>
          <w:sz w:val="28"/>
          <w:szCs w:val="28"/>
          <w:lang w:val="en" w:eastAsia="fr-CH"/>
        </w:rPr>
        <w:t xml:space="preserve"> in relation with WS1)</w:t>
      </w:r>
    </w:p>
    <w:p w:rsidR="00EF67E0" w:rsidRDefault="00EF67E0" w:rsidP="00EF67E0">
      <w:pPr>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The above-mentioned scope is quite vague and ambiguous</w:t>
      </w:r>
    </w:p>
    <w:p w:rsidR="0061544A" w:rsidRDefault="00EF67E0" w:rsidP="0061544A">
      <w:pPr>
        <w:pStyle w:val="ListParagraph"/>
        <w:numPr>
          <w:ilvl w:val="1"/>
          <w:numId w:val="1"/>
        </w:numPr>
        <w:spacing w:before="100" w:beforeAutospacing="1" w:after="100" w:afterAutospacing="1" w:line="240" w:lineRule="auto"/>
        <w:ind w:hanging="1125"/>
        <w:rPr>
          <w:rFonts w:asciiTheme="majorHAnsi" w:eastAsia="Times New Roman" w:hAnsiTheme="majorHAnsi" w:cs="Helvetica"/>
          <w:color w:val="333333"/>
          <w:sz w:val="28"/>
          <w:szCs w:val="28"/>
          <w:lang w:val="en" w:eastAsia="fr-CH"/>
        </w:rPr>
      </w:pPr>
      <w:r w:rsidRPr="0061544A">
        <w:rPr>
          <w:rFonts w:asciiTheme="majorHAnsi" w:eastAsia="Times New Roman" w:hAnsiTheme="majorHAnsi" w:cs="Helvetica"/>
          <w:color w:val="333333"/>
          <w:sz w:val="28"/>
          <w:szCs w:val="28"/>
          <w:lang w:val="en" w:eastAsia="fr-CH"/>
        </w:rPr>
        <w:t>An important area on whic</w:t>
      </w:r>
      <w:r w:rsidR="0061544A">
        <w:rPr>
          <w:rFonts w:asciiTheme="majorHAnsi" w:eastAsia="Times New Roman" w:hAnsiTheme="majorHAnsi" w:cs="Helvetica"/>
          <w:color w:val="333333"/>
          <w:sz w:val="28"/>
          <w:szCs w:val="28"/>
          <w:lang w:val="en" w:eastAsia="fr-CH"/>
        </w:rPr>
        <w:t xml:space="preserve">h there would sufficient </w:t>
      </w:r>
      <w:proofErr w:type="spellStart"/>
      <w:r w:rsidR="0061544A">
        <w:rPr>
          <w:rFonts w:asciiTheme="majorHAnsi" w:eastAsia="Times New Roman" w:hAnsiTheme="majorHAnsi" w:cs="Helvetica"/>
          <w:color w:val="333333"/>
          <w:sz w:val="28"/>
          <w:szCs w:val="28"/>
          <w:lang w:val="en" w:eastAsia="fr-CH"/>
        </w:rPr>
        <w:t>usef</w:t>
      </w:r>
      <w:proofErr w:type="spellEnd"/>
    </w:p>
    <w:p w:rsidR="00EF67E0" w:rsidRPr="0061544A" w:rsidRDefault="0061544A" w:rsidP="0061544A">
      <w:pPr>
        <w:spacing w:before="100" w:beforeAutospacing="1" w:after="100" w:afterAutospacing="1" w:line="240" w:lineRule="auto"/>
        <w:rPr>
          <w:rFonts w:asciiTheme="majorHAnsi" w:eastAsia="Times New Roman" w:hAnsiTheme="majorHAnsi" w:cs="Helvetica"/>
          <w:color w:val="333333"/>
          <w:sz w:val="28"/>
          <w:szCs w:val="28"/>
          <w:lang w:val="en" w:eastAsia="fr-CH"/>
        </w:rPr>
      </w:pPr>
      <w:r w:rsidRPr="0061544A">
        <w:rPr>
          <w:rFonts w:asciiTheme="majorHAnsi" w:eastAsia="Times New Roman" w:hAnsiTheme="majorHAnsi" w:cs="Helvetica"/>
          <w:color w:val="333333"/>
          <w:sz w:val="28"/>
          <w:szCs w:val="28"/>
          <w:lang w:val="en" w:eastAsia="fr-CH"/>
        </w:rPr>
        <w:t>Information</w:t>
      </w:r>
      <w:r w:rsidR="00EF67E0" w:rsidRPr="0061544A">
        <w:rPr>
          <w:rFonts w:asciiTheme="majorHAnsi" w:eastAsia="Times New Roman" w:hAnsiTheme="majorHAnsi" w:cs="Helvetica"/>
          <w:color w:val="333333"/>
          <w:sz w:val="28"/>
          <w:szCs w:val="28"/>
          <w:lang w:val="en" w:eastAsia="fr-CH"/>
        </w:rPr>
        <w:t xml:space="preserve"> should be reminded to all colleagues and that is </w:t>
      </w:r>
      <w:proofErr w:type="spellStart"/>
      <w:r w:rsidR="00EF67E0" w:rsidRPr="0061544A">
        <w:rPr>
          <w:rFonts w:asciiTheme="majorHAnsi" w:eastAsia="Times New Roman" w:hAnsiTheme="majorHAnsi" w:cs="Helvetica"/>
          <w:b/>
          <w:color w:val="333333"/>
          <w:sz w:val="28"/>
          <w:szCs w:val="28"/>
          <w:lang w:val="en" w:eastAsia="fr-CH"/>
        </w:rPr>
        <w:t>NetMundial</w:t>
      </w:r>
      <w:proofErr w:type="spellEnd"/>
    </w:p>
    <w:p w:rsidR="0061544A" w:rsidRDefault="00EF67E0" w:rsidP="00EF67E0">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More than 180 contributions were submitted to that </w:t>
      </w:r>
      <w:r w:rsidR="0061544A">
        <w:rPr>
          <w:rFonts w:asciiTheme="majorHAnsi" w:eastAsia="Times New Roman" w:hAnsiTheme="majorHAnsi" w:cs="Helvetica"/>
          <w:color w:val="333333"/>
          <w:sz w:val="28"/>
          <w:szCs w:val="28"/>
          <w:lang w:val="en" w:eastAsia="fr-CH"/>
        </w:rPr>
        <w:t>event. There are certainly considerable amount of useful and relevant materials in those 180 contributions .Moreover</w:t>
      </w:r>
      <w:proofErr w:type="gramStart"/>
      <w:r w:rsidR="0061544A">
        <w:rPr>
          <w:rFonts w:asciiTheme="majorHAnsi" w:eastAsia="Times New Roman" w:hAnsiTheme="majorHAnsi" w:cs="Helvetica"/>
          <w:color w:val="333333"/>
          <w:sz w:val="28"/>
          <w:szCs w:val="28"/>
          <w:lang w:val="en" w:eastAsia="fr-CH"/>
        </w:rPr>
        <w:t>,  about</w:t>
      </w:r>
      <w:proofErr w:type="gramEnd"/>
      <w:r w:rsidR="0061544A">
        <w:rPr>
          <w:rFonts w:asciiTheme="majorHAnsi" w:eastAsia="Times New Roman" w:hAnsiTheme="majorHAnsi" w:cs="Helvetica"/>
          <w:color w:val="333333"/>
          <w:sz w:val="28"/>
          <w:szCs w:val="28"/>
          <w:lang w:val="en" w:eastAsia="fr-CH"/>
        </w:rPr>
        <w:t xml:space="preserve"> 1320 comments  were received on those contributions. Undoubtedly there </w:t>
      </w:r>
      <w:proofErr w:type="gramStart"/>
      <w:r w:rsidR="0061544A">
        <w:rPr>
          <w:rFonts w:asciiTheme="majorHAnsi" w:eastAsia="Times New Roman" w:hAnsiTheme="majorHAnsi" w:cs="Helvetica"/>
          <w:color w:val="333333"/>
          <w:sz w:val="28"/>
          <w:szCs w:val="28"/>
          <w:lang w:val="en" w:eastAsia="fr-CH"/>
        </w:rPr>
        <w:t>are</w:t>
      </w:r>
      <w:proofErr w:type="gramEnd"/>
      <w:r w:rsidR="0061544A">
        <w:rPr>
          <w:rFonts w:asciiTheme="majorHAnsi" w:eastAsia="Times New Roman" w:hAnsiTheme="majorHAnsi" w:cs="Helvetica"/>
          <w:color w:val="333333"/>
          <w:sz w:val="28"/>
          <w:szCs w:val="28"/>
          <w:lang w:val="en" w:eastAsia="fr-CH"/>
        </w:rPr>
        <w:t xml:space="preserve"> relevant information in those input contributions dealing with accountability. It is therefore suggested that this issue be addressed at out next virtual meeting on 16 December 2014.</w:t>
      </w:r>
    </w:p>
    <w:p w:rsidR="0061544A" w:rsidRDefault="0061544A" w:rsidP="0061544A">
      <w:pPr>
        <w:pStyle w:val="ListParagraph"/>
        <w:numPr>
          <w:ilvl w:val="0"/>
          <w:numId w:val="1"/>
        </w:numPr>
        <w:tabs>
          <w:tab w:val="left" w:pos="1134"/>
          <w:tab w:val="left" w:pos="1701"/>
        </w:tabs>
        <w:spacing w:before="100" w:beforeAutospacing="1" w:after="100" w:afterAutospacing="1" w:line="240" w:lineRule="auto"/>
        <w:ind w:left="1134" w:hanging="1134"/>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Core issues related to accountability</w:t>
      </w:r>
    </w:p>
    <w:p w:rsidR="0061544A" w:rsidRDefault="0061544A"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3.1</w:t>
      </w:r>
      <w:r>
        <w:rPr>
          <w:rFonts w:asciiTheme="majorHAnsi" w:eastAsia="Times New Roman" w:hAnsiTheme="majorHAnsi" w:cs="Helvetica"/>
          <w:color w:val="333333"/>
          <w:sz w:val="28"/>
          <w:szCs w:val="28"/>
          <w:lang w:val="en" w:eastAsia="fr-CH"/>
        </w:rPr>
        <w:tab/>
        <w:t xml:space="preserve">Current Accountability </w:t>
      </w:r>
    </w:p>
    <w:p w:rsidR="008F7EF2" w:rsidRDefault="0061544A"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Under the terms and conditions and scope of works, currently ICANN is accountable to NTIA.</w:t>
      </w:r>
      <w:r w:rsidR="008F7EF2">
        <w:rPr>
          <w:rFonts w:asciiTheme="majorHAnsi" w:eastAsia="Times New Roman" w:hAnsiTheme="majorHAnsi" w:cs="Helvetica"/>
          <w:color w:val="333333"/>
          <w:sz w:val="28"/>
          <w:szCs w:val="28"/>
          <w:lang w:val="en" w:eastAsia="fr-CH"/>
        </w:rPr>
        <w:t xml:space="preserve"> If and only if the transition of the stewardship of IANA functions take place the Global </w:t>
      </w:r>
      <w:proofErr w:type="spellStart"/>
      <w:r w:rsidR="008F7EF2">
        <w:rPr>
          <w:rFonts w:asciiTheme="majorHAnsi" w:eastAsia="Times New Roman" w:hAnsiTheme="majorHAnsi" w:cs="Helvetica"/>
          <w:color w:val="333333"/>
          <w:sz w:val="28"/>
          <w:szCs w:val="28"/>
          <w:lang w:val="en" w:eastAsia="fr-CH"/>
        </w:rPr>
        <w:t>Multistakeholder</w:t>
      </w:r>
      <w:proofErr w:type="spellEnd"/>
      <w:r w:rsidR="008F7EF2">
        <w:rPr>
          <w:rFonts w:asciiTheme="majorHAnsi" w:eastAsia="Times New Roman" w:hAnsiTheme="majorHAnsi" w:cs="Helvetica"/>
          <w:color w:val="333333"/>
          <w:sz w:val="28"/>
          <w:szCs w:val="28"/>
          <w:lang w:val="en" w:eastAsia="fr-CH"/>
        </w:rPr>
        <w:t xml:space="preserve"> Community would replace NTIA and thus ICANN in its current or revised structure would be accountable to that </w:t>
      </w:r>
      <w:r w:rsidR="008F7EF2">
        <w:rPr>
          <w:rFonts w:asciiTheme="majorHAnsi" w:eastAsia="Times New Roman" w:hAnsiTheme="majorHAnsi" w:cs="Helvetica"/>
          <w:color w:val="333333"/>
          <w:sz w:val="28"/>
          <w:szCs w:val="28"/>
          <w:lang w:val="en" w:eastAsia="fr-CH"/>
        </w:rPr>
        <w:t xml:space="preserve">Global </w:t>
      </w:r>
      <w:proofErr w:type="spellStart"/>
      <w:r w:rsidR="008F7EF2">
        <w:rPr>
          <w:rFonts w:asciiTheme="majorHAnsi" w:eastAsia="Times New Roman" w:hAnsiTheme="majorHAnsi" w:cs="Helvetica"/>
          <w:color w:val="333333"/>
          <w:sz w:val="28"/>
          <w:szCs w:val="28"/>
          <w:lang w:val="en" w:eastAsia="fr-CH"/>
        </w:rPr>
        <w:t>Multistakeholder</w:t>
      </w:r>
      <w:proofErr w:type="spellEnd"/>
      <w:r w:rsidR="008F7EF2">
        <w:rPr>
          <w:rFonts w:asciiTheme="majorHAnsi" w:eastAsia="Times New Roman" w:hAnsiTheme="majorHAnsi" w:cs="Helvetica"/>
          <w:color w:val="333333"/>
          <w:sz w:val="28"/>
          <w:szCs w:val="28"/>
          <w:lang w:val="en" w:eastAsia="fr-CH"/>
        </w:rPr>
        <w:t xml:space="preserve"> </w:t>
      </w:r>
      <w:r w:rsidR="008F7EF2">
        <w:rPr>
          <w:rFonts w:asciiTheme="majorHAnsi" w:eastAsia="Times New Roman" w:hAnsiTheme="majorHAnsi" w:cs="Helvetica"/>
          <w:color w:val="333333"/>
          <w:sz w:val="28"/>
          <w:szCs w:val="28"/>
          <w:lang w:val="en" w:eastAsia="fr-CH"/>
        </w:rPr>
        <w:t xml:space="preserve">Community. The question arises </w:t>
      </w:r>
      <w:proofErr w:type="gramStart"/>
      <w:r w:rsidR="008F7EF2">
        <w:rPr>
          <w:rFonts w:asciiTheme="majorHAnsi" w:eastAsia="Times New Roman" w:hAnsiTheme="majorHAnsi" w:cs="Helvetica"/>
          <w:color w:val="333333"/>
          <w:sz w:val="28"/>
          <w:szCs w:val="28"/>
          <w:lang w:val="en" w:eastAsia="fr-CH"/>
        </w:rPr>
        <w:t>is  how</w:t>
      </w:r>
      <w:proofErr w:type="gramEnd"/>
      <w:r w:rsidR="008F7EF2">
        <w:rPr>
          <w:rFonts w:asciiTheme="majorHAnsi" w:eastAsia="Times New Roman" w:hAnsiTheme="majorHAnsi" w:cs="Helvetica"/>
          <w:color w:val="333333"/>
          <w:sz w:val="28"/>
          <w:szCs w:val="28"/>
          <w:lang w:val="en" w:eastAsia="fr-CH"/>
        </w:rPr>
        <w:t xml:space="preserve"> that function would be performed since there is no mechanism by which the above-mentioned</w:t>
      </w:r>
      <w:r w:rsidR="008F7EF2" w:rsidRPr="008F7EF2">
        <w:rPr>
          <w:rFonts w:asciiTheme="majorHAnsi" w:eastAsia="Times New Roman" w:hAnsiTheme="majorHAnsi" w:cs="Helvetica"/>
          <w:color w:val="333333"/>
          <w:sz w:val="28"/>
          <w:szCs w:val="28"/>
          <w:lang w:val="en" w:eastAsia="fr-CH"/>
        </w:rPr>
        <w:t xml:space="preserve"> </w:t>
      </w:r>
      <w:r w:rsidR="008F7EF2">
        <w:rPr>
          <w:rFonts w:asciiTheme="majorHAnsi" w:eastAsia="Times New Roman" w:hAnsiTheme="majorHAnsi" w:cs="Helvetica"/>
          <w:color w:val="333333"/>
          <w:sz w:val="28"/>
          <w:szCs w:val="28"/>
          <w:lang w:val="en" w:eastAsia="fr-CH"/>
        </w:rPr>
        <w:t xml:space="preserve">Global </w:t>
      </w:r>
      <w:proofErr w:type="spellStart"/>
      <w:r w:rsidR="008F7EF2">
        <w:rPr>
          <w:rFonts w:asciiTheme="majorHAnsi" w:eastAsia="Times New Roman" w:hAnsiTheme="majorHAnsi" w:cs="Helvetica"/>
          <w:color w:val="333333"/>
          <w:sz w:val="28"/>
          <w:szCs w:val="28"/>
          <w:lang w:val="en" w:eastAsia="fr-CH"/>
        </w:rPr>
        <w:t>Multistakeholder</w:t>
      </w:r>
      <w:proofErr w:type="spellEnd"/>
      <w:r w:rsidR="008F7EF2">
        <w:rPr>
          <w:rFonts w:asciiTheme="majorHAnsi" w:eastAsia="Times New Roman" w:hAnsiTheme="majorHAnsi" w:cs="Helvetica"/>
          <w:color w:val="333333"/>
          <w:sz w:val="28"/>
          <w:szCs w:val="28"/>
          <w:lang w:val="en" w:eastAsia="fr-CH"/>
        </w:rPr>
        <w:t xml:space="preserve"> Community</w:t>
      </w:r>
      <w:r w:rsidR="008F7EF2">
        <w:rPr>
          <w:rFonts w:asciiTheme="majorHAnsi" w:eastAsia="Times New Roman" w:hAnsiTheme="majorHAnsi" w:cs="Helvetica"/>
          <w:color w:val="333333"/>
          <w:sz w:val="28"/>
          <w:szCs w:val="28"/>
          <w:lang w:val="en" w:eastAsia="fr-CH"/>
        </w:rPr>
        <w:t xml:space="preserve"> could be represented.</w:t>
      </w:r>
    </w:p>
    <w:p w:rsidR="00D22CAE"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As an example the </w:t>
      </w:r>
      <w:r w:rsidR="00D22CAE">
        <w:rPr>
          <w:rFonts w:asciiTheme="majorHAnsi" w:eastAsia="Times New Roman" w:hAnsiTheme="majorHAnsi" w:cs="Helvetica"/>
          <w:color w:val="333333"/>
          <w:sz w:val="28"/>
          <w:szCs w:val="28"/>
          <w:lang w:val="en" w:eastAsia="fr-CH"/>
        </w:rPr>
        <w:t>executive</w:t>
      </w:r>
      <w:r>
        <w:rPr>
          <w:rFonts w:asciiTheme="majorHAnsi" w:eastAsia="Times New Roman" w:hAnsiTheme="majorHAnsi" w:cs="Helvetica"/>
          <w:color w:val="333333"/>
          <w:sz w:val="28"/>
          <w:szCs w:val="28"/>
          <w:lang w:val="en" w:eastAsia="fr-CH"/>
        </w:rPr>
        <w:t xml:space="preserve"> power in each democratic country is accountable to the public in that country. However, to actualize such function, the legislative power in that country as the formal representation of the public performs such accountability.</w:t>
      </w:r>
    </w:p>
    <w:p w:rsidR="0061544A" w:rsidRDefault="00D22CA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Another example is </w:t>
      </w:r>
      <w:proofErr w:type="spellStart"/>
      <w:proofErr w:type="gramStart"/>
      <w:r>
        <w:rPr>
          <w:rFonts w:asciiTheme="majorHAnsi" w:eastAsia="Times New Roman" w:hAnsiTheme="majorHAnsi" w:cs="Helvetica"/>
          <w:color w:val="333333"/>
          <w:sz w:val="28"/>
          <w:szCs w:val="28"/>
          <w:lang w:val="en" w:eastAsia="fr-CH"/>
        </w:rPr>
        <w:t>te</w:t>
      </w:r>
      <w:proofErr w:type="spellEnd"/>
      <w:proofErr w:type="gramEnd"/>
      <w:r>
        <w:rPr>
          <w:rFonts w:asciiTheme="majorHAnsi" w:eastAsia="Times New Roman" w:hAnsiTheme="majorHAnsi" w:cs="Helvetica"/>
          <w:color w:val="333333"/>
          <w:sz w:val="28"/>
          <w:szCs w:val="28"/>
          <w:lang w:val="en" w:eastAsia="fr-CH"/>
        </w:rPr>
        <w:t xml:space="preserve"> way in which all enterprises and institution function. All, without exception have an accountability mechanism to ensure that the accountability in question is properly </w:t>
      </w:r>
      <w:r w:rsidR="00E774B0">
        <w:rPr>
          <w:rFonts w:asciiTheme="majorHAnsi" w:eastAsia="Times New Roman" w:hAnsiTheme="majorHAnsi" w:cs="Helvetica"/>
          <w:color w:val="333333"/>
          <w:sz w:val="28"/>
          <w:szCs w:val="28"/>
          <w:lang w:val="en" w:eastAsia="fr-CH"/>
        </w:rPr>
        <w:t xml:space="preserve">performed. </w:t>
      </w:r>
      <w:r>
        <w:rPr>
          <w:rFonts w:asciiTheme="majorHAnsi" w:eastAsia="Times New Roman" w:hAnsiTheme="majorHAnsi" w:cs="Helvetica"/>
          <w:color w:val="333333"/>
          <w:sz w:val="28"/>
          <w:szCs w:val="28"/>
          <w:lang w:val="en" w:eastAsia="fr-CH"/>
        </w:rPr>
        <w:t xml:space="preserve">E.G most of these enterprises and institution </w:t>
      </w:r>
      <w:r w:rsidR="00E774B0">
        <w:rPr>
          <w:rFonts w:asciiTheme="majorHAnsi" w:eastAsia="Times New Roman" w:hAnsiTheme="majorHAnsi" w:cs="Helvetica"/>
          <w:color w:val="333333"/>
          <w:sz w:val="28"/>
          <w:szCs w:val="28"/>
          <w:lang w:val="en" w:eastAsia="fr-CH"/>
        </w:rPr>
        <w:t>(national</w:t>
      </w:r>
      <w:r>
        <w:rPr>
          <w:rFonts w:asciiTheme="majorHAnsi" w:eastAsia="Times New Roman" w:hAnsiTheme="majorHAnsi" w:cs="Helvetica"/>
          <w:color w:val="333333"/>
          <w:sz w:val="28"/>
          <w:szCs w:val="28"/>
          <w:lang w:val="en" w:eastAsia="fr-CH"/>
        </w:rPr>
        <w:t xml:space="preserve"> or </w:t>
      </w:r>
      <w:r w:rsidR="00E774B0">
        <w:rPr>
          <w:rFonts w:asciiTheme="majorHAnsi" w:eastAsia="Times New Roman" w:hAnsiTheme="majorHAnsi" w:cs="Helvetica"/>
          <w:color w:val="333333"/>
          <w:sz w:val="28"/>
          <w:szCs w:val="28"/>
          <w:lang w:val="en" w:eastAsia="fr-CH"/>
        </w:rPr>
        <w:t>international)</w:t>
      </w:r>
      <w:r>
        <w:rPr>
          <w:rFonts w:asciiTheme="majorHAnsi" w:eastAsia="Times New Roman" w:hAnsiTheme="majorHAnsi" w:cs="Helvetica"/>
          <w:color w:val="333333"/>
          <w:sz w:val="28"/>
          <w:szCs w:val="28"/>
          <w:lang w:val="en" w:eastAsia="fr-CH"/>
        </w:rPr>
        <w:t xml:space="preserve"> have a mechanism such as “Administrative Council” or </w:t>
      </w:r>
      <w:r w:rsidR="00E774B0">
        <w:rPr>
          <w:rFonts w:asciiTheme="majorHAnsi" w:eastAsia="Times New Roman" w:hAnsiTheme="majorHAnsi" w:cs="Helvetica"/>
          <w:color w:val="333333"/>
          <w:sz w:val="28"/>
          <w:szCs w:val="28"/>
          <w:lang w:val="en" w:eastAsia="fr-CH"/>
        </w:rPr>
        <w:t>“Council</w:t>
      </w:r>
      <w:r>
        <w:rPr>
          <w:rFonts w:asciiTheme="majorHAnsi" w:eastAsia="Times New Roman" w:hAnsiTheme="majorHAnsi" w:cs="Helvetica"/>
          <w:color w:val="333333"/>
          <w:sz w:val="28"/>
          <w:szCs w:val="28"/>
          <w:lang w:val="en" w:eastAsia="fr-CH"/>
        </w:rPr>
        <w:t xml:space="preserve">” or the like  </w:t>
      </w:r>
    </w:p>
    <w:p w:rsidR="008F7EF2"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3.1.1</w:t>
      </w:r>
      <w:r>
        <w:rPr>
          <w:rFonts w:asciiTheme="majorHAnsi" w:eastAsia="Times New Roman" w:hAnsiTheme="majorHAnsi" w:cs="Helvetica"/>
          <w:color w:val="333333"/>
          <w:sz w:val="28"/>
          <w:szCs w:val="28"/>
          <w:lang w:val="en" w:eastAsia="fr-CH"/>
        </w:rPr>
        <w:tab/>
        <w:t>How the matter would be implemented after the transition?</w:t>
      </w:r>
    </w:p>
    <w:p w:rsidR="008F7EF2"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3.1.2</w:t>
      </w:r>
      <w:r>
        <w:rPr>
          <w:rFonts w:asciiTheme="majorHAnsi" w:eastAsia="Times New Roman" w:hAnsiTheme="majorHAnsi" w:cs="Helvetica"/>
          <w:color w:val="333333"/>
          <w:sz w:val="28"/>
          <w:szCs w:val="28"/>
          <w:lang w:val="en" w:eastAsia="fr-CH"/>
        </w:rPr>
        <w:tab/>
        <w:t>What mechanism is required to be put in place to perform that accountability action?</w:t>
      </w:r>
    </w:p>
    <w:p w:rsidR="008F7EF2"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3.1.3</w:t>
      </w:r>
      <w:r>
        <w:rPr>
          <w:rFonts w:asciiTheme="majorHAnsi" w:eastAsia="Times New Roman" w:hAnsiTheme="majorHAnsi" w:cs="Helvetica"/>
          <w:color w:val="333333"/>
          <w:sz w:val="28"/>
          <w:szCs w:val="28"/>
          <w:lang w:val="en" w:eastAsia="fr-CH"/>
        </w:rPr>
        <w:tab/>
        <w:t xml:space="preserve">Which entity represents the </w:t>
      </w:r>
      <w:proofErr w:type="spellStart"/>
      <w:r>
        <w:rPr>
          <w:rFonts w:asciiTheme="majorHAnsi" w:eastAsia="Times New Roman" w:hAnsiTheme="majorHAnsi" w:cs="Helvetica"/>
          <w:color w:val="333333"/>
          <w:sz w:val="28"/>
          <w:szCs w:val="28"/>
          <w:lang w:val="en" w:eastAsia="fr-CH"/>
        </w:rPr>
        <w:t>multistakeholder</w:t>
      </w:r>
      <w:proofErr w:type="spellEnd"/>
      <w:r>
        <w:rPr>
          <w:rFonts w:asciiTheme="majorHAnsi" w:eastAsia="Times New Roman" w:hAnsiTheme="majorHAnsi" w:cs="Helvetica"/>
          <w:color w:val="333333"/>
          <w:sz w:val="28"/>
          <w:szCs w:val="28"/>
          <w:lang w:val="en" w:eastAsia="fr-CH"/>
        </w:rPr>
        <w:t xml:space="preserve"> in that mechanism?</w:t>
      </w:r>
    </w:p>
    <w:p w:rsidR="008F7EF2"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3.1.4</w:t>
      </w:r>
      <w:r>
        <w:rPr>
          <w:rFonts w:asciiTheme="majorHAnsi" w:eastAsia="Times New Roman" w:hAnsiTheme="majorHAnsi" w:cs="Helvetica"/>
          <w:color w:val="333333"/>
          <w:sz w:val="28"/>
          <w:szCs w:val="28"/>
          <w:lang w:val="en" w:eastAsia="fr-CH"/>
        </w:rPr>
        <w:tab/>
        <w:t xml:space="preserve">What procedure </w:t>
      </w:r>
      <w:proofErr w:type="gramStart"/>
      <w:r>
        <w:rPr>
          <w:rFonts w:asciiTheme="majorHAnsi" w:eastAsia="Times New Roman" w:hAnsiTheme="majorHAnsi" w:cs="Helvetica"/>
          <w:color w:val="333333"/>
          <w:sz w:val="28"/>
          <w:szCs w:val="28"/>
          <w:lang w:val="en" w:eastAsia="fr-CH"/>
        </w:rPr>
        <w:t>are</w:t>
      </w:r>
      <w:proofErr w:type="gramEnd"/>
      <w:r>
        <w:rPr>
          <w:rFonts w:asciiTheme="majorHAnsi" w:eastAsia="Times New Roman" w:hAnsiTheme="majorHAnsi" w:cs="Helvetica"/>
          <w:color w:val="333333"/>
          <w:sz w:val="28"/>
          <w:szCs w:val="28"/>
          <w:lang w:val="en" w:eastAsia="fr-CH"/>
        </w:rPr>
        <w:t xml:space="preserve"> needed to designate7 elect such representation</w:t>
      </w:r>
    </w:p>
    <w:p w:rsidR="008F7EF2"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The above-mentioned issue was raised at three ICANN meeting and the </w:t>
      </w:r>
      <w:r w:rsidR="001D7D3C">
        <w:rPr>
          <w:rFonts w:asciiTheme="majorHAnsi" w:eastAsia="Times New Roman" w:hAnsiTheme="majorHAnsi" w:cs="Helvetica"/>
          <w:color w:val="333333"/>
          <w:sz w:val="28"/>
          <w:szCs w:val="28"/>
          <w:lang w:val="en" w:eastAsia="fr-CH"/>
        </w:rPr>
        <w:t>answer</w:t>
      </w:r>
      <w:r>
        <w:rPr>
          <w:rFonts w:asciiTheme="majorHAnsi" w:eastAsia="Times New Roman" w:hAnsiTheme="majorHAnsi" w:cs="Helvetica"/>
          <w:color w:val="333333"/>
          <w:sz w:val="28"/>
          <w:szCs w:val="28"/>
          <w:lang w:val="en" w:eastAsia="fr-CH"/>
        </w:rPr>
        <w:t xml:space="preserve"> was ICANN will represent the </w:t>
      </w:r>
      <w:r>
        <w:rPr>
          <w:rFonts w:asciiTheme="majorHAnsi" w:eastAsia="Times New Roman" w:hAnsiTheme="majorHAnsi" w:cs="Helvetica"/>
          <w:color w:val="333333"/>
          <w:sz w:val="28"/>
          <w:szCs w:val="28"/>
          <w:lang w:val="en" w:eastAsia="fr-CH"/>
        </w:rPr>
        <w:t xml:space="preserve">Global </w:t>
      </w:r>
      <w:proofErr w:type="spellStart"/>
      <w:r>
        <w:rPr>
          <w:rFonts w:asciiTheme="majorHAnsi" w:eastAsia="Times New Roman" w:hAnsiTheme="majorHAnsi" w:cs="Helvetica"/>
          <w:color w:val="333333"/>
          <w:sz w:val="28"/>
          <w:szCs w:val="28"/>
          <w:lang w:val="en" w:eastAsia="fr-CH"/>
        </w:rPr>
        <w:t>Multistakeholder</w:t>
      </w:r>
      <w:proofErr w:type="spellEnd"/>
      <w:r>
        <w:rPr>
          <w:rFonts w:asciiTheme="majorHAnsi" w:eastAsia="Times New Roman" w:hAnsiTheme="majorHAnsi" w:cs="Helvetica"/>
          <w:color w:val="333333"/>
          <w:sz w:val="28"/>
          <w:szCs w:val="28"/>
          <w:lang w:val="en" w:eastAsia="fr-CH"/>
        </w:rPr>
        <w:t xml:space="preserve"> Community</w:t>
      </w:r>
      <w:r w:rsidR="001D7D3C">
        <w:rPr>
          <w:rFonts w:asciiTheme="majorHAnsi" w:eastAsia="Times New Roman" w:hAnsiTheme="majorHAnsi" w:cs="Helvetica"/>
          <w:color w:val="333333"/>
          <w:sz w:val="28"/>
          <w:szCs w:val="28"/>
          <w:lang w:val="en" w:eastAsia="fr-CH"/>
        </w:rPr>
        <w:t>.</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This is unconstitutional since ICANN could not be accountable to itself.</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3.2</w:t>
      </w:r>
      <w:r>
        <w:rPr>
          <w:rFonts w:asciiTheme="majorHAnsi" w:eastAsia="Times New Roman" w:hAnsiTheme="majorHAnsi" w:cs="Helvetica"/>
          <w:color w:val="333333"/>
          <w:sz w:val="28"/>
          <w:szCs w:val="28"/>
          <w:lang w:val="en" w:eastAsia="fr-CH"/>
        </w:rPr>
        <w:tab/>
        <w:t>What are the options?</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There is a need to seriously embark on this </w:t>
      </w:r>
      <w:r>
        <w:rPr>
          <w:rFonts w:asciiTheme="majorHAnsi" w:eastAsia="Times New Roman" w:hAnsiTheme="majorHAnsi" w:cs="Helvetica"/>
          <w:color w:val="333333"/>
          <w:sz w:val="28"/>
          <w:szCs w:val="28"/>
          <w:lang w:val="en" w:eastAsia="fr-CH"/>
        </w:rPr>
        <w:t xml:space="preserve">issue. And deeply </w:t>
      </w:r>
      <w:r w:rsidR="00D22CAE">
        <w:rPr>
          <w:rFonts w:asciiTheme="majorHAnsi" w:eastAsia="Times New Roman" w:hAnsiTheme="majorHAnsi" w:cs="Helvetica"/>
          <w:color w:val="333333"/>
          <w:sz w:val="28"/>
          <w:szCs w:val="28"/>
          <w:lang w:val="en" w:eastAsia="fr-CH"/>
        </w:rPr>
        <w:t>study the matter .There is</w:t>
      </w:r>
      <w:r>
        <w:rPr>
          <w:rFonts w:asciiTheme="majorHAnsi" w:eastAsia="Times New Roman" w:hAnsiTheme="majorHAnsi" w:cs="Helvetica"/>
          <w:color w:val="333333"/>
          <w:sz w:val="28"/>
          <w:szCs w:val="28"/>
          <w:lang w:val="en" w:eastAsia="fr-CH"/>
        </w:rPr>
        <w:t xml:space="preserve"> some solutions</w:t>
      </w:r>
      <w:r w:rsidR="009D0D6E">
        <w:rPr>
          <w:rFonts w:asciiTheme="majorHAnsi" w:eastAsia="Times New Roman" w:hAnsiTheme="majorHAnsi" w:cs="Helvetica"/>
          <w:color w:val="333333"/>
          <w:sz w:val="28"/>
          <w:szCs w:val="28"/>
          <w:lang w:val="en" w:eastAsia="fr-CH"/>
        </w:rPr>
        <w:t>:</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3.2.1</w:t>
      </w:r>
      <w:r>
        <w:rPr>
          <w:rFonts w:asciiTheme="majorHAnsi" w:eastAsia="Times New Roman" w:hAnsiTheme="majorHAnsi" w:cs="Helvetica"/>
          <w:color w:val="333333"/>
          <w:sz w:val="28"/>
          <w:szCs w:val="28"/>
          <w:lang w:val="en" w:eastAsia="fr-CH"/>
        </w:rPr>
        <w:tab/>
        <w:t xml:space="preserve">The mechanism used in </w:t>
      </w:r>
      <w:proofErr w:type="spellStart"/>
      <w:r>
        <w:rPr>
          <w:rFonts w:asciiTheme="majorHAnsi" w:eastAsia="Times New Roman" w:hAnsiTheme="majorHAnsi" w:cs="Helvetica"/>
          <w:color w:val="333333"/>
          <w:sz w:val="28"/>
          <w:szCs w:val="28"/>
          <w:lang w:val="en" w:eastAsia="fr-CH"/>
        </w:rPr>
        <w:t>NetMundial</w:t>
      </w:r>
      <w:proofErr w:type="spellEnd"/>
      <w:r>
        <w:rPr>
          <w:rFonts w:asciiTheme="majorHAnsi" w:eastAsia="Times New Roman" w:hAnsiTheme="majorHAnsi" w:cs="Helvetica"/>
          <w:color w:val="333333"/>
          <w:sz w:val="28"/>
          <w:szCs w:val="28"/>
          <w:lang w:val="en" w:eastAsia="fr-CH"/>
        </w:rPr>
        <w:t xml:space="preserve"> could be taken and further explored .In that example the four </w:t>
      </w:r>
      <w:r w:rsidR="009D0D6E">
        <w:rPr>
          <w:rFonts w:asciiTheme="majorHAnsi" w:eastAsia="Times New Roman" w:hAnsiTheme="majorHAnsi" w:cs="Helvetica"/>
          <w:color w:val="333333"/>
          <w:sz w:val="28"/>
          <w:szCs w:val="28"/>
          <w:lang w:val="en" w:eastAsia="fr-CH"/>
        </w:rPr>
        <w:t>categories</w:t>
      </w:r>
      <w:r>
        <w:rPr>
          <w:rFonts w:asciiTheme="majorHAnsi" w:eastAsia="Times New Roman" w:hAnsiTheme="majorHAnsi" w:cs="Helvetica"/>
          <w:color w:val="333333"/>
          <w:sz w:val="28"/>
          <w:szCs w:val="28"/>
          <w:lang w:val="en" w:eastAsia="fr-CH"/>
        </w:rPr>
        <w:t xml:space="preserve"> of </w:t>
      </w:r>
      <w:proofErr w:type="spellStart"/>
      <w:r>
        <w:rPr>
          <w:rFonts w:asciiTheme="majorHAnsi" w:eastAsia="Times New Roman" w:hAnsiTheme="majorHAnsi" w:cs="Helvetica"/>
          <w:color w:val="333333"/>
          <w:sz w:val="28"/>
          <w:szCs w:val="28"/>
          <w:lang w:val="en" w:eastAsia="fr-CH"/>
        </w:rPr>
        <w:t>Multistakeholders</w:t>
      </w:r>
      <w:proofErr w:type="spellEnd"/>
      <w:r>
        <w:rPr>
          <w:rFonts w:asciiTheme="majorHAnsi" w:eastAsia="Times New Roman" w:hAnsiTheme="majorHAnsi" w:cs="Helvetica"/>
          <w:color w:val="333333"/>
          <w:sz w:val="28"/>
          <w:szCs w:val="28"/>
          <w:lang w:val="en" w:eastAsia="fr-CH"/>
        </w:rPr>
        <w:t xml:space="preserve"> were identified as follows</w:t>
      </w:r>
      <w:proofErr w:type="gramStart"/>
      <w:r>
        <w:rPr>
          <w:rFonts w:asciiTheme="majorHAnsi" w:eastAsia="Times New Roman" w:hAnsiTheme="majorHAnsi" w:cs="Helvetica"/>
          <w:color w:val="333333"/>
          <w:sz w:val="28"/>
          <w:szCs w:val="28"/>
          <w:lang w:val="en" w:eastAsia="fr-CH"/>
        </w:rPr>
        <w:t>:</w:t>
      </w:r>
      <w:proofErr w:type="gramEnd"/>
      <w:r>
        <w:rPr>
          <w:rFonts w:asciiTheme="majorHAnsi" w:eastAsia="Times New Roman" w:hAnsiTheme="majorHAnsi" w:cs="Helvetica"/>
          <w:color w:val="333333"/>
          <w:sz w:val="28"/>
          <w:szCs w:val="28"/>
          <w:lang w:val="en" w:eastAsia="fr-CH"/>
        </w:rPr>
        <w:br/>
        <w:t>Governments</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Civil Society</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Private Sector</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Technical Community and Academic</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At </w:t>
      </w:r>
      <w:proofErr w:type="spellStart"/>
      <w:r>
        <w:rPr>
          <w:rFonts w:asciiTheme="majorHAnsi" w:eastAsia="Times New Roman" w:hAnsiTheme="majorHAnsi" w:cs="Helvetica"/>
          <w:color w:val="333333"/>
          <w:sz w:val="28"/>
          <w:szCs w:val="28"/>
          <w:lang w:val="en" w:eastAsia="fr-CH"/>
        </w:rPr>
        <w:t>NetMundial</w:t>
      </w:r>
      <w:proofErr w:type="spellEnd"/>
      <w:r>
        <w:rPr>
          <w:rFonts w:asciiTheme="majorHAnsi" w:eastAsia="Times New Roman" w:hAnsiTheme="majorHAnsi" w:cs="Helvetica"/>
          <w:color w:val="333333"/>
          <w:sz w:val="28"/>
          <w:szCs w:val="28"/>
          <w:lang w:val="en" w:eastAsia="fr-CH"/>
        </w:rPr>
        <w:t xml:space="preserve"> a committee of 24 members </w:t>
      </w:r>
      <w:proofErr w:type="gramStart"/>
      <w:r>
        <w:rPr>
          <w:rFonts w:asciiTheme="majorHAnsi" w:eastAsia="Times New Roman" w:hAnsiTheme="majorHAnsi" w:cs="Helvetica"/>
          <w:color w:val="333333"/>
          <w:sz w:val="28"/>
          <w:szCs w:val="28"/>
          <w:lang w:val="en" w:eastAsia="fr-CH"/>
        </w:rPr>
        <w:t>( 12</w:t>
      </w:r>
      <w:proofErr w:type="gramEnd"/>
      <w:r>
        <w:rPr>
          <w:rFonts w:asciiTheme="majorHAnsi" w:eastAsia="Times New Roman" w:hAnsiTheme="majorHAnsi" w:cs="Helvetica"/>
          <w:color w:val="333333"/>
          <w:sz w:val="28"/>
          <w:szCs w:val="28"/>
          <w:lang w:val="en" w:eastAsia="fr-CH"/>
        </w:rPr>
        <w:t xml:space="preserve"> from governments, 3 from Civil Society, 3 from Private Sector and 6 from Technical Community and Academic ) was established and formed Global </w:t>
      </w:r>
      <w:proofErr w:type="spellStart"/>
      <w:r>
        <w:rPr>
          <w:rFonts w:asciiTheme="majorHAnsi" w:eastAsia="Times New Roman" w:hAnsiTheme="majorHAnsi" w:cs="Helvetica"/>
          <w:color w:val="333333"/>
          <w:sz w:val="28"/>
          <w:szCs w:val="28"/>
          <w:lang w:val="en" w:eastAsia="fr-CH"/>
        </w:rPr>
        <w:t>Multistakeholder</w:t>
      </w:r>
      <w:proofErr w:type="spellEnd"/>
      <w:r>
        <w:rPr>
          <w:rFonts w:asciiTheme="majorHAnsi" w:eastAsia="Times New Roman" w:hAnsiTheme="majorHAnsi" w:cs="Helvetica"/>
          <w:color w:val="333333"/>
          <w:sz w:val="28"/>
          <w:szCs w:val="28"/>
          <w:lang w:val="en" w:eastAsia="fr-CH"/>
        </w:rPr>
        <w:t xml:space="preserve"> Executive Committee. This is an example. The composition of the above-mentioned Committee could be further studied and </w:t>
      </w:r>
      <w:proofErr w:type="gramStart"/>
      <w:r>
        <w:rPr>
          <w:rFonts w:asciiTheme="majorHAnsi" w:eastAsia="Times New Roman" w:hAnsiTheme="majorHAnsi" w:cs="Helvetica"/>
          <w:color w:val="333333"/>
          <w:sz w:val="28"/>
          <w:szCs w:val="28"/>
          <w:lang w:val="en" w:eastAsia="fr-CH"/>
        </w:rPr>
        <w:t>explored  There</w:t>
      </w:r>
      <w:proofErr w:type="gramEnd"/>
      <w:r>
        <w:rPr>
          <w:rFonts w:asciiTheme="majorHAnsi" w:eastAsia="Times New Roman" w:hAnsiTheme="majorHAnsi" w:cs="Helvetica"/>
          <w:color w:val="333333"/>
          <w:sz w:val="28"/>
          <w:szCs w:val="28"/>
          <w:lang w:val="en" w:eastAsia="fr-CH"/>
        </w:rPr>
        <w:t xml:space="preserve"> might be other examples  </w:t>
      </w:r>
    </w:p>
    <w:p w:rsidR="001D7D3C" w:rsidRDefault="009D0D6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3.2.2</w:t>
      </w:r>
      <w:r>
        <w:rPr>
          <w:rFonts w:asciiTheme="majorHAnsi" w:eastAsia="Times New Roman" w:hAnsiTheme="majorHAnsi" w:cs="Helvetica"/>
          <w:color w:val="333333"/>
          <w:sz w:val="28"/>
          <w:szCs w:val="28"/>
          <w:lang w:val="en" w:eastAsia="fr-CH"/>
        </w:rPr>
        <w:tab/>
      </w:r>
      <w:r w:rsidR="001D7D3C">
        <w:rPr>
          <w:rFonts w:asciiTheme="majorHAnsi" w:eastAsia="Times New Roman" w:hAnsiTheme="majorHAnsi" w:cs="Helvetica"/>
          <w:color w:val="333333"/>
          <w:sz w:val="28"/>
          <w:szCs w:val="28"/>
          <w:lang w:val="en" w:eastAsia="fr-CH"/>
        </w:rPr>
        <w:t>The important issue is that there must be a mechanism to which the existing or revised ICANN should be accountable</w:t>
      </w:r>
    </w:p>
    <w:p w:rsidR="001D7D3C" w:rsidRDefault="009D0D6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3.3</w:t>
      </w:r>
      <w:r>
        <w:rPr>
          <w:rFonts w:asciiTheme="majorHAnsi" w:eastAsia="Times New Roman" w:hAnsiTheme="majorHAnsi" w:cs="Helvetica"/>
          <w:color w:val="333333"/>
          <w:sz w:val="28"/>
          <w:szCs w:val="28"/>
          <w:lang w:val="en" w:eastAsia="fr-CH"/>
        </w:rPr>
        <w:tab/>
        <w:t>New Accountability Framework</w:t>
      </w:r>
    </w:p>
    <w:p w:rsidR="009D0D6E" w:rsidRDefault="009D0D6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3.3.1</w:t>
      </w:r>
      <w:r>
        <w:rPr>
          <w:rFonts w:asciiTheme="majorHAnsi" w:eastAsia="Times New Roman" w:hAnsiTheme="majorHAnsi" w:cs="Helvetica"/>
          <w:color w:val="333333"/>
          <w:sz w:val="28"/>
          <w:szCs w:val="28"/>
          <w:lang w:val="en" w:eastAsia="fr-CH"/>
        </w:rPr>
        <w:tab/>
        <w:t xml:space="preserve">Legal </w:t>
      </w:r>
    </w:p>
    <w:p w:rsidR="009D0D6E" w:rsidRDefault="009D0D6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Currently, the only legal framework applicable to the </w:t>
      </w:r>
      <w:proofErr w:type="spellStart"/>
      <w:r>
        <w:rPr>
          <w:rFonts w:asciiTheme="majorHAnsi" w:eastAsia="Times New Roman" w:hAnsiTheme="majorHAnsi" w:cs="Helvetica"/>
          <w:color w:val="333333"/>
          <w:sz w:val="28"/>
          <w:szCs w:val="28"/>
          <w:lang w:val="en" w:eastAsia="fr-CH"/>
        </w:rPr>
        <w:t>accountabilty</w:t>
      </w:r>
      <w:proofErr w:type="spellEnd"/>
      <w:r>
        <w:rPr>
          <w:rFonts w:asciiTheme="majorHAnsi" w:eastAsia="Times New Roman" w:hAnsiTheme="majorHAnsi" w:cs="Helvetica"/>
          <w:color w:val="333333"/>
          <w:sz w:val="28"/>
          <w:szCs w:val="28"/>
          <w:lang w:val="en" w:eastAsia="fr-CH"/>
        </w:rPr>
        <w:t xml:space="preserve"> is the Californium law. Once the transition of stewardship is </w:t>
      </w:r>
      <w:proofErr w:type="spellStart"/>
      <w:proofErr w:type="gramStart"/>
      <w:r>
        <w:rPr>
          <w:rFonts w:asciiTheme="majorHAnsi" w:eastAsia="Times New Roman" w:hAnsiTheme="majorHAnsi" w:cs="Helvetica"/>
          <w:color w:val="333333"/>
          <w:sz w:val="28"/>
          <w:szCs w:val="28"/>
          <w:lang w:val="en" w:eastAsia="fr-CH"/>
        </w:rPr>
        <w:t>happended</w:t>
      </w:r>
      <w:proofErr w:type="spellEnd"/>
      <w:r>
        <w:rPr>
          <w:rFonts w:asciiTheme="majorHAnsi" w:eastAsia="Times New Roman" w:hAnsiTheme="majorHAnsi" w:cs="Helvetica"/>
          <w:color w:val="333333"/>
          <w:sz w:val="28"/>
          <w:szCs w:val="28"/>
          <w:lang w:val="en" w:eastAsia="fr-CH"/>
        </w:rPr>
        <w:t xml:space="preserve"> ,which</w:t>
      </w:r>
      <w:proofErr w:type="gramEnd"/>
      <w:r>
        <w:rPr>
          <w:rFonts w:asciiTheme="majorHAnsi" w:eastAsia="Times New Roman" w:hAnsiTheme="majorHAnsi" w:cs="Helvetica"/>
          <w:color w:val="333333"/>
          <w:sz w:val="28"/>
          <w:szCs w:val="28"/>
          <w:lang w:val="en" w:eastAsia="fr-CH"/>
        </w:rPr>
        <w:t xml:space="preserve"> legal framework could govern the process. If the concept of </w:t>
      </w:r>
      <w:proofErr w:type="spellStart"/>
      <w:r>
        <w:rPr>
          <w:rFonts w:asciiTheme="majorHAnsi" w:eastAsia="Times New Roman" w:hAnsiTheme="majorHAnsi" w:cs="Helvetica"/>
          <w:color w:val="333333"/>
          <w:sz w:val="28"/>
          <w:szCs w:val="28"/>
          <w:lang w:val="en" w:eastAsia="fr-CH"/>
        </w:rPr>
        <w:t>Multistakeholder</w:t>
      </w:r>
      <w:proofErr w:type="spellEnd"/>
      <w:r>
        <w:rPr>
          <w:rFonts w:asciiTheme="majorHAnsi" w:eastAsia="Times New Roman" w:hAnsiTheme="majorHAnsi" w:cs="Helvetica"/>
          <w:color w:val="333333"/>
          <w:sz w:val="28"/>
          <w:szCs w:val="28"/>
          <w:lang w:val="en" w:eastAsia="fr-CH"/>
        </w:rPr>
        <w:t xml:space="preserve"> is followed, one possible option would be to establish an international legal framework to act in a specific country independent manner</w:t>
      </w:r>
    </w:p>
    <w:p w:rsidR="00E34CDA" w:rsidRDefault="00E34CDA"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3.3.2</w:t>
      </w:r>
      <w:r>
        <w:rPr>
          <w:rFonts w:asciiTheme="majorHAnsi" w:eastAsia="Times New Roman" w:hAnsiTheme="majorHAnsi" w:cs="Helvetica"/>
          <w:color w:val="333333"/>
          <w:sz w:val="28"/>
          <w:szCs w:val="28"/>
          <w:lang w:val="en" w:eastAsia="fr-CH"/>
        </w:rPr>
        <w:tab/>
        <w:t>Separation of entities and their sphere of activities</w:t>
      </w:r>
    </w:p>
    <w:p w:rsidR="009D0D6E" w:rsidRDefault="009D0D6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It is important that activities performed by </w:t>
      </w:r>
      <w:r w:rsidRPr="009D0D6E">
        <w:rPr>
          <w:rFonts w:asciiTheme="majorHAnsi" w:eastAsia="Times New Roman" w:hAnsiTheme="majorHAnsi" w:cs="Helvetica"/>
          <w:b/>
          <w:color w:val="333333"/>
          <w:sz w:val="28"/>
          <w:szCs w:val="28"/>
          <w:lang w:val="en" w:eastAsia="fr-CH"/>
        </w:rPr>
        <w:t>“policy mak</w:t>
      </w:r>
      <w:r>
        <w:rPr>
          <w:rFonts w:asciiTheme="majorHAnsi" w:eastAsia="Times New Roman" w:hAnsiTheme="majorHAnsi" w:cs="Helvetica"/>
          <w:b/>
          <w:color w:val="333333"/>
          <w:sz w:val="28"/>
          <w:szCs w:val="28"/>
          <w:lang w:val="en" w:eastAsia="fr-CH"/>
        </w:rPr>
        <w:t>ing entity</w:t>
      </w:r>
      <w:r w:rsidRPr="009D0D6E">
        <w:rPr>
          <w:rFonts w:asciiTheme="majorHAnsi" w:eastAsia="Times New Roman" w:hAnsiTheme="majorHAnsi" w:cs="Helvetica"/>
          <w:b/>
          <w:color w:val="333333"/>
          <w:sz w:val="28"/>
          <w:szCs w:val="28"/>
          <w:lang w:val="en" w:eastAsia="fr-CH"/>
        </w:rPr>
        <w:t xml:space="preserve"> “</w:t>
      </w:r>
      <w:r>
        <w:rPr>
          <w:rFonts w:asciiTheme="majorHAnsi" w:eastAsia="Times New Roman" w:hAnsiTheme="majorHAnsi" w:cs="Helvetica"/>
          <w:color w:val="333333"/>
          <w:sz w:val="28"/>
          <w:szCs w:val="28"/>
          <w:lang w:val="en" w:eastAsia="fr-CH"/>
        </w:rPr>
        <w:t xml:space="preserve">and </w:t>
      </w:r>
      <w:r w:rsidRPr="009D0D6E">
        <w:rPr>
          <w:rFonts w:asciiTheme="majorHAnsi" w:eastAsia="Times New Roman" w:hAnsiTheme="majorHAnsi" w:cs="Helvetica"/>
          <w:b/>
          <w:color w:val="333333"/>
          <w:sz w:val="28"/>
          <w:szCs w:val="28"/>
          <w:lang w:val="en" w:eastAsia="fr-CH"/>
        </w:rPr>
        <w:t>“policy implementing entity”</w:t>
      </w:r>
      <w:r>
        <w:rPr>
          <w:rFonts w:asciiTheme="majorHAnsi" w:eastAsia="Times New Roman" w:hAnsiTheme="majorHAnsi" w:cs="Helvetica"/>
          <w:color w:val="333333"/>
          <w:sz w:val="28"/>
          <w:szCs w:val="28"/>
          <w:lang w:val="en" w:eastAsia="fr-CH"/>
        </w:rPr>
        <w:t xml:space="preserve"> as well as </w:t>
      </w:r>
      <w:r w:rsidRPr="009D0D6E">
        <w:rPr>
          <w:rFonts w:asciiTheme="majorHAnsi" w:eastAsia="Times New Roman" w:hAnsiTheme="majorHAnsi" w:cs="Helvetica"/>
          <w:b/>
          <w:color w:val="333333"/>
          <w:sz w:val="28"/>
          <w:szCs w:val="28"/>
          <w:lang w:val="en" w:eastAsia="fr-CH"/>
        </w:rPr>
        <w:t xml:space="preserve">“the policy itself” </w:t>
      </w:r>
      <w:r>
        <w:rPr>
          <w:rFonts w:asciiTheme="majorHAnsi" w:eastAsia="Times New Roman" w:hAnsiTheme="majorHAnsi" w:cs="Helvetica"/>
          <w:color w:val="333333"/>
          <w:sz w:val="28"/>
          <w:szCs w:val="28"/>
          <w:lang w:val="en" w:eastAsia="fr-CH"/>
        </w:rPr>
        <w:t xml:space="preserve">be totally separated from each other </w:t>
      </w:r>
      <w:r w:rsidR="00D22CAE">
        <w:rPr>
          <w:rFonts w:asciiTheme="majorHAnsi" w:eastAsia="Times New Roman" w:hAnsiTheme="majorHAnsi" w:cs="Helvetica"/>
          <w:color w:val="333333"/>
          <w:sz w:val="28"/>
          <w:szCs w:val="28"/>
          <w:lang w:val="en" w:eastAsia="fr-CH"/>
        </w:rPr>
        <w:t>Currently some of these issues are mixed up</w:t>
      </w:r>
    </w:p>
    <w:p w:rsidR="00D22CAE" w:rsidRDefault="00D22CA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Currently NTIA is performing  the accountability function thus should something done incorrectly, there is an entity to verify and redress that After the transition that function will be done by nobody unless it is entrusted to ICANN which seems unconstitutional and incompatible with the basic principle of accountability.</w:t>
      </w:r>
    </w:p>
    <w:p w:rsidR="00D22CAE" w:rsidRDefault="00D22CA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3.4</w:t>
      </w:r>
      <w:r>
        <w:rPr>
          <w:rFonts w:asciiTheme="majorHAnsi" w:eastAsia="Times New Roman" w:hAnsiTheme="majorHAnsi" w:cs="Helvetica"/>
          <w:color w:val="333333"/>
          <w:sz w:val="28"/>
          <w:szCs w:val="28"/>
          <w:lang w:val="en" w:eastAsia="fr-CH"/>
        </w:rPr>
        <w:tab/>
        <w:t xml:space="preserve">CCWG is thus required to seriously study the above and proposed a long term solution for the matter </w:t>
      </w:r>
    </w:p>
    <w:p w:rsidR="00D22CAE" w:rsidRDefault="00D22CA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  </w:t>
      </w:r>
    </w:p>
    <w:p w:rsidR="009D0D6E" w:rsidRDefault="009D0D6E"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Pr>
          <w:rFonts w:asciiTheme="majorHAnsi" w:eastAsia="Times New Roman" w:hAnsiTheme="majorHAnsi" w:cs="Helvetica"/>
          <w:color w:val="333333"/>
          <w:sz w:val="28"/>
          <w:szCs w:val="28"/>
          <w:lang w:val="en" w:eastAsia="fr-CH"/>
        </w:rPr>
        <w:t xml:space="preserve"> </w:t>
      </w:r>
    </w:p>
    <w:p w:rsidR="001D7D3C" w:rsidRDefault="001D7D3C"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p>
    <w:p w:rsidR="008F7EF2"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p>
    <w:p w:rsidR="008F7EF2" w:rsidRPr="0061544A" w:rsidRDefault="008F7EF2" w:rsidP="0061544A">
      <w:pPr>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p>
    <w:p w:rsidR="00EF67E0" w:rsidRPr="0061544A" w:rsidRDefault="0061544A" w:rsidP="0061544A">
      <w:pPr>
        <w:pStyle w:val="ListParagraph"/>
        <w:tabs>
          <w:tab w:val="left" w:pos="1134"/>
          <w:tab w:val="left" w:pos="1701"/>
        </w:tabs>
        <w:spacing w:before="100" w:beforeAutospacing="1" w:after="100" w:afterAutospacing="1" w:line="240" w:lineRule="auto"/>
        <w:rPr>
          <w:rFonts w:asciiTheme="majorHAnsi" w:eastAsia="Times New Roman" w:hAnsiTheme="majorHAnsi" w:cs="Helvetica"/>
          <w:color w:val="333333"/>
          <w:sz w:val="28"/>
          <w:szCs w:val="28"/>
          <w:lang w:val="en" w:eastAsia="fr-CH"/>
        </w:rPr>
      </w:pPr>
      <w:r w:rsidRPr="0061544A">
        <w:rPr>
          <w:rFonts w:asciiTheme="majorHAnsi" w:eastAsia="Times New Roman" w:hAnsiTheme="majorHAnsi" w:cs="Helvetica"/>
          <w:color w:val="333333"/>
          <w:sz w:val="28"/>
          <w:szCs w:val="28"/>
          <w:lang w:val="en" w:eastAsia="fr-CH"/>
        </w:rPr>
        <w:t xml:space="preserve">  </w:t>
      </w:r>
    </w:p>
    <w:p w:rsidR="00AE53CA" w:rsidRDefault="00AE53C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p>
    <w:p w:rsidR="00847B0E" w:rsidRDefault="00847B0E"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p>
    <w:p w:rsidR="0060365A" w:rsidRPr="00FA4DA5" w:rsidRDefault="0060365A" w:rsidP="00DF3691">
      <w:pPr>
        <w:spacing w:before="100" w:beforeAutospacing="1" w:after="100" w:afterAutospacing="1" w:line="240" w:lineRule="auto"/>
        <w:rPr>
          <w:rFonts w:asciiTheme="majorHAnsi" w:eastAsia="Times New Roman" w:hAnsiTheme="majorHAnsi" w:cs="Helvetica"/>
          <w:color w:val="333333"/>
          <w:sz w:val="28"/>
          <w:szCs w:val="28"/>
          <w:lang w:val="en" w:eastAsia="fr-CH"/>
        </w:rPr>
      </w:pPr>
    </w:p>
    <w:sectPr w:rsidR="0060365A" w:rsidRPr="00FA4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B2550"/>
    <w:multiLevelType w:val="multilevel"/>
    <w:tmpl w:val="686691D8"/>
    <w:lvl w:ilvl="0">
      <w:start w:val="1"/>
      <w:numFmt w:val="decimal"/>
      <w:lvlText w:val="%1."/>
      <w:lvlJc w:val="left"/>
      <w:pPr>
        <w:ind w:left="720" w:hanging="360"/>
      </w:pPr>
      <w:rPr>
        <w:rFonts w:hint="default"/>
      </w:rPr>
    </w:lvl>
    <w:lvl w:ilvl="1">
      <w:start w:val="3"/>
      <w:numFmt w:val="decimal"/>
      <w:isLgl/>
      <w:lvlText w:val="%1.%2"/>
      <w:lvlJc w:val="left"/>
      <w:pPr>
        <w:ind w:left="1125" w:hanging="765"/>
      </w:pPr>
      <w:rPr>
        <w:rFonts w:hint="default"/>
      </w:rPr>
    </w:lvl>
    <w:lvl w:ilvl="2">
      <w:start w:val="1"/>
      <w:numFmt w:val="decimal"/>
      <w:isLgl/>
      <w:lvlText w:val="%1.%2.%3"/>
      <w:lvlJc w:val="left"/>
      <w:pPr>
        <w:ind w:left="1125" w:hanging="76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BD35AE"/>
    <w:multiLevelType w:val="multilevel"/>
    <w:tmpl w:val="256AE0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CC70F3"/>
    <w:multiLevelType w:val="multilevel"/>
    <w:tmpl w:val="E20C9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840471"/>
    <w:multiLevelType w:val="multilevel"/>
    <w:tmpl w:val="137C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11B6E7D"/>
    <w:multiLevelType w:val="multilevel"/>
    <w:tmpl w:val="E53E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F8775A"/>
    <w:multiLevelType w:val="hybridMultilevel"/>
    <w:tmpl w:val="32B4807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56937B6D"/>
    <w:multiLevelType w:val="multilevel"/>
    <w:tmpl w:val="7AEE60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7872D8B"/>
    <w:multiLevelType w:val="multilevel"/>
    <w:tmpl w:val="E5B6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A72180"/>
    <w:multiLevelType w:val="hybridMultilevel"/>
    <w:tmpl w:val="8ABA78A2"/>
    <w:lvl w:ilvl="0" w:tplc="EEDE6106">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7"/>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571"/>
    <w:rsid w:val="00015154"/>
    <w:rsid w:val="0003114B"/>
    <w:rsid w:val="00032AF0"/>
    <w:rsid w:val="000331F1"/>
    <w:rsid w:val="00041B9F"/>
    <w:rsid w:val="00041E91"/>
    <w:rsid w:val="000453BB"/>
    <w:rsid w:val="00054A28"/>
    <w:rsid w:val="00067869"/>
    <w:rsid w:val="0008203B"/>
    <w:rsid w:val="00083D45"/>
    <w:rsid w:val="00086E90"/>
    <w:rsid w:val="000A0012"/>
    <w:rsid w:val="000C4444"/>
    <w:rsid w:val="000D766A"/>
    <w:rsid w:val="000F56D5"/>
    <w:rsid w:val="001320E8"/>
    <w:rsid w:val="00142CB8"/>
    <w:rsid w:val="00151031"/>
    <w:rsid w:val="0015620A"/>
    <w:rsid w:val="00167E2A"/>
    <w:rsid w:val="00170A53"/>
    <w:rsid w:val="00183BD1"/>
    <w:rsid w:val="00190227"/>
    <w:rsid w:val="00195FB0"/>
    <w:rsid w:val="001A17D8"/>
    <w:rsid w:val="001D6B42"/>
    <w:rsid w:val="001D7D3C"/>
    <w:rsid w:val="001E0D2C"/>
    <w:rsid w:val="001E0FB1"/>
    <w:rsid w:val="001E6605"/>
    <w:rsid w:val="001E662B"/>
    <w:rsid w:val="001F4347"/>
    <w:rsid w:val="002128E9"/>
    <w:rsid w:val="002140B7"/>
    <w:rsid w:val="00217F24"/>
    <w:rsid w:val="0022204B"/>
    <w:rsid w:val="002323CC"/>
    <w:rsid w:val="00237368"/>
    <w:rsid w:val="0024144F"/>
    <w:rsid w:val="00247EEE"/>
    <w:rsid w:val="002A0772"/>
    <w:rsid w:val="002A7B21"/>
    <w:rsid w:val="002B6571"/>
    <w:rsid w:val="002C536E"/>
    <w:rsid w:val="002C76D0"/>
    <w:rsid w:val="002D2458"/>
    <w:rsid w:val="002E233E"/>
    <w:rsid w:val="002E2506"/>
    <w:rsid w:val="00313093"/>
    <w:rsid w:val="00316A32"/>
    <w:rsid w:val="00341517"/>
    <w:rsid w:val="00350143"/>
    <w:rsid w:val="003820CD"/>
    <w:rsid w:val="00393008"/>
    <w:rsid w:val="003A7851"/>
    <w:rsid w:val="003B2713"/>
    <w:rsid w:val="003F13F8"/>
    <w:rsid w:val="004002F0"/>
    <w:rsid w:val="00402F96"/>
    <w:rsid w:val="00433EFC"/>
    <w:rsid w:val="004448E6"/>
    <w:rsid w:val="004522AC"/>
    <w:rsid w:val="004550D3"/>
    <w:rsid w:val="004853D6"/>
    <w:rsid w:val="004C22BA"/>
    <w:rsid w:val="004C4E22"/>
    <w:rsid w:val="004C6A39"/>
    <w:rsid w:val="004E6ED5"/>
    <w:rsid w:val="004E7A8F"/>
    <w:rsid w:val="005266C4"/>
    <w:rsid w:val="00551CCD"/>
    <w:rsid w:val="00573D00"/>
    <w:rsid w:val="00591AED"/>
    <w:rsid w:val="005A7659"/>
    <w:rsid w:val="005A7900"/>
    <w:rsid w:val="005B6F8D"/>
    <w:rsid w:val="005C57A5"/>
    <w:rsid w:val="005C613F"/>
    <w:rsid w:val="005E0118"/>
    <w:rsid w:val="005E3211"/>
    <w:rsid w:val="005E33C1"/>
    <w:rsid w:val="0060365A"/>
    <w:rsid w:val="0061544A"/>
    <w:rsid w:val="00622648"/>
    <w:rsid w:val="006337C3"/>
    <w:rsid w:val="00633B36"/>
    <w:rsid w:val="006362EB"/>
    <w:rsid w:val="00643D06"/>
    <w:rsid w:val="0065275F"/>
    <w:rsid w:val="00687F7B"/>
    <w:rsid w:val="00695E82"/>
    <w:rsid w:val="0069659C"/>
    <w:rsid w:val="006A5C03"/>
    <w:rsid w:val="006B7AFC"/>
    <w:rsid w:val="006D14D4"/>
    <w:rsid w:val="006E31FC"/>
    <w:rsid w:val="006F72C0"/>
    <w:rsid w:val="00706EFB"/>
    <w:rsid w:val="00710EE4"/>
    <w:rsid w:val="00711F68"/>
    <w:rsid w:val="007408FF"/>
    <w:rsid w:val="00745607"/>
    <w:rsid w:val="00753A91"/>
    <w:rsid w:val="007A19FC"/>
    <w:rsid w:val="007A29FE"/>
    <w:rsid w:val="007A408C"/>
    <w:rsid w:val="007A7E3E"/>
    <w:rsid w:val="007B7772"/>
    <w:rsid w:val="007C40F0"/>
    <w:rsid w:val="007C7984"/>
    <w:rsid w:val="007D08A3"/>
    <w:rsid w:val="007D28D1"/>
    <w:rsid w:val="00816E21"/>
    <w:rsid w:val="008402E5"/>
    <w:rsid w:val="008435A0"/>
    <w:rsid w:val="00847B0E"/>
    <w:rsid w:val="00852E97"/>
    <w:rsid w:val="008655B2"/>
    <w:rsid w:val="00865EB0"/>
    <w:rsid w:val="00867C88"/>
    <w:rsid w:val="00887692"/>
    <w:rsid w:val="00896DDF"/>
    <w:rsid w:val="008A74C8"/>
    <w:rsid w:val="008C48FE"/>
    <w:rsid w:val="008C59DE"/>
    <w:rsid w:val="008F3B72"/>
    <w:rsid w:val="008F7EF2"/>
    <w:rsid w:val="009025D7"/>
    <w:rsid w:val="00917165"/>
    <w:rsid w:val="009201D3"/>
    <w:rsid w:val="00932659"/>
    <w:rsid w:val="00937D89"/>
    <w:rsid w:val="009505C6"/>
    <w:rsid w:val="00953B9D"/>
    <w:rsid w:val="00955317"/>
    <w:rsid w:val="00975BC6"/>
    <w:rsid w:val="009A1E0F"/>
    <w:rsid w:val="009A65A6"/>
    <w:rsid w:val="009A7F45"/>
    <w:rsid w:val="009B52A3"/>
    <w:rsid w:val="009C1419"/>
    <w:rsid w:val="009D0D6E"/>
    <w:rsid w:val="009E3DF6"/>
    <w:rsid w:val="009E5B90"/>
    <w:rsid w:val="009E7FA4"/>
    <w:rsid w:val="009F08C8"/>
    <w:rsid w:val="00A00D57"/>
    <w:rsid w:val="00A20579"/>
    <w:rsid w:val="00A42816"/>
    <w:rsid w:val="00A60845"/>
    <w:rsid w:val="00A622B0"/>
    <w:rsid w:val="00A62924"/>
    <w:rsid w:val="00A95E0C"/>
    <w:rsid w:val="00AC5E51"/>
    <w:rsid w:val="00AD58B8"/>
    <w:rsid w:val="00AE53CA"/>
    <w:rsid w:val="00AF20CF"/>
    <w:rsid w:val="00B0662A"/>
    <w:rsid w:val="00B06D77"/>
    <w:rsid w:val="00B146E6"/>
    <w:rsid w:val="00B14A69"/>
    <w:rsid w:val="00B33A7B"/>
    <w:rsid w:val="00B458E6"/>
    <w:rsid w:val="00B45CBA"/>
    <w:rsid w:val="00B46302"/>
    <w:rsid w:val="00B57CEE"/>
    <w:rsid w:val="00B72D79"/>
    <w:rsid w:val="00BC5C8D"/>
    <w:rsid w:val="00BD7175"/>
    <w:rsid w:val="00C55285"/>
    <w:rsid w:val="00C6345B"/>
    <w:rsid w:val="00C83958"/>
    <w:rsid w:val="00C922DD"/>
    <w:rsid w:val="00CC7A71"/>
    <w:rsid w:val="00CD21D8"/>
    <w:rsid w:val="00CE3C47"/>
    <w:rsid w:val="00CE4AFC"/>
    <w:rsid w:val="00CF21D7"/>
    <w:rsid w:val="00D0129C"/>
    <w:rsid w:val="00D166C2"/>
    <w:rsid w:val="00D22CAE"/>
    <w:rsid w:val="00D32843"/>
    <w:rsid w:val="00D35FB4"/>
    <w:rsid w:val="00D46308"/>
    <w:rsid w:val="00D54D9C"/>
    <w:rsid w:val="00D6180F"/>
    <w:rsid w:val="00D679BC"/>
    <w:rsid w:val="00D879D6"/>
    <w:rsid w:val="00DD47FE"/>
    <w:rsid w:val="00DD4955"/>
    <w:rsid w:val="00DE2FE3"/>
    <w:rsid w:val="00DF2C6E"/>
    <w:rsid w:val="00DF3691"/>
    <w:rsid w:val="00E042A9"/>
    <w:rsid w:val="00E20E33"/>
    <w:rsid w:val="00E34CDA"/>
    <w:rsid w:val="00E420D4"/>
    <w:rsid w:val="00E603D5"/>
    <w:rsid w:val="00E65E82"/>
    <w:rsid w:val="00E774B0"/>
    <w:rsid w:val="00E86D23"/>
    <w:rsid w:val="00E92D83"/>
    <w:rsid w:val="00E942A1"/>
    <w:rsid w:val="00EB356E"/>
    <w:rsid w:val="00EC4558"/>
    <w:rsid w:val="00EF67E0"/>
    <w:rsid w:val="00F1111A"/>
    <w:rsid w:val="00F2596B"/>
    <w:rsid w:val="00F276E2"/>
    <w:rsid w:val="00F41522"/>
    <w:rsid w:val="00F81393"/>
    <w:rsid w:val="00F8174E"/>
    <w:rsid w:val="00FA4DA5"/>
    <w:rsid w:val="00FA6CBC"/>
    <w:rsid w:val="00FB0D40"/>
    <w:rsid w:val="00FC54E2"/>
    <w:rsid w:val="00FF01A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5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1761</Words>
  <Characters>9687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Arasteh</dc:creator>
  <cp:lastModifiedBy>Arasteh</cp:lastModifiedBy>
  <cp:revision>2</cp:revision>
  <cp:lastPrinted>2014-12-15T03:43:00Z</cp:lastPrinted>
  <dcterms:created xsi:type="dcterms:W3CDTF">2014-12-15T05:05:00Z</dcterms:created>
  <dcterms:modified xsi:type="dcterms:W3CDTF">2014-12-15T05:05:00Z</dcterms:modified>
</cp:coreProperties>
</file>