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9B" w:rsidRPr="004039D3" w:rsidRDefault="00540B9B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Enhancing ICANN’s Accountability</w:t>
      </w:r>
    </w:p>
    <w:p w:rsidR="00540B9B" w:rsidRPr="004039D3" w:rsidRDefault="00540B9B" w:rsidP="00174760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Cross Community Working Group on Enhancing ICANN’s Accountability (CCWG-Accountability)</w:t>
      </w:r>
    </w:p>
    <w:p w:rsidR="00A27695" w:rsidRPr="004039D3" w:rsidRDefault="00A27695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:rsidR="00A27695" w:rsidRPr="004039D3" w:rsidRDefault="00A27695" w:rsidP="00174760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21 January 2015</w:t>
      </w:r>
    </w:p>
    <w:p w:rsidR="00540B9B" w:rsidRPr="004039D3" w:rsidRDefault="00540B9B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8" w:history="1">
        <w:r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Cross Community Working Group on Enhancing ICANN Accountability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 (CCWG-Accountability) held its first face-to-face meeting in Frankfurt, Germany on 19-20 January</w:t>
      </w:r>
      <w:r w:rsidR="004039D3">
        <w:rPr>
          <w:rFonts w:asciiTheme="majorHAnsi" w:eastAsia="Times New Roman" w:hAnsiTheme="majorHAnsi" w:cs="Arial"/>
          <w:sz w:val="28"/>
          <w:szCs w:val="28"/>
        </w:rPr>
        <w:t xml:space="preserve"> 2015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</w:p>
    <w:p w:rsidR="006D4D3E" w:rsidRPr="004039D3" w:rsidRDefault="00B44258" w:rsidP="00AB2A8E">
      <w:pPr>
        <w:rPr>
          <w:rFonts w:asciiTheme="majorHAnsi" w:eastAsia="Times New Roman" w:hAnsiTheme="majorHAnsi" w:cs="Arial"/>
          <w:sz w:val="28"/>
          <w:szCs w:val="28"/>
        </w:rPr>
      </w:pPr>
      <w:proofErr w:type="gramStart"/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9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Frankfurt meeting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was attended by more than fifty members and participants with an additional 40-50 remote participants joining each session</w:t>
      </w:r>
      <w:proofErr w:type="gramEnd"/>
      <w:r w:rsidRPr="004039D3">
        <w:rPr>
          <w:rFonts w:asciiTheme="majorHAnsi" w:eastAsia="Times New Roman" w:hAnsiTheme="majorHAnsi" w:cs="Arial"/>
          <w:sz w:val="28"/>
          <w:szCs w:val="28"/>
        </w:rPr>
        <w:t>. The meeting led to significant progress, including agreement on a problem statement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>, a list of “stress tests”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and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requirements for </w:t>
      </w:r>
      <w:r w:rsidRPr="004039D3">
        <w:rPr>
          <w:rFonts w:asciiTheme="majorHAnsi" w:eastAsia="Times New Roman" w:hAnsiTheme="majorHAnsi" w:cs="Arial"/>
          <w:sz w:val="28"/>
          <w:szCs w:val="28"/>
        </w:rPr>
        <w:t>Work Stream 1. The basic themes were identified in a mind map, which will be a roadmap for the next phase of the group's work.  Participants’ comments at the end of the meeting indicated that the outcomes exceeded expectations.</w:t>
      </w:r>
    </w:p>
    <w:p w:rsidR="00B44258" w:rsidRPr="004039D3" w:rsidRDefault="00B44258" w:rsidP="00AB2A8E">
      <w:pPr>
        <w:rPr>
          <w:rFonts w:asciiTheme="majorHAnsi" w:eastAsia="Times New Roman" w:hAnsiTheme="majorHAnsi" w:cs="Arial"/>
          <w:b/>
          <w:sz w:val="28"/>
          <w:szCs w:val="28"/>
        </w:rPr>
      </w:pPr>
    </w:p>
    <w:p w:rsidR="00AB2A8E" w:rsidRPr="004039D3" w:rsidRDefault="00AB2A8E" w:rsidP="00AB2A8E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Background</w:t>
      </w:r>
    </w:p>
    <w:p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:rsidR="00AB2A8E" w:rsidRPr="004039D3" w:rsidRDefault="0045137A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scope of the Enhancing ICANN Accountability process is defined as ensuring that ICANN remains accountable in the absence of its historical contractual relationship with the U.S. Government</w:t>
      </w:r>
      <w:r w:rsidR="00462B18" w:rsidRPr="004039D3">
        <w:rPr>
          <w:rFonts w:asciiTheme="majorHAnsi" w:eastAsia="Times New Roman" w:hAnsiTheme="majorHAnsi" w:cs="Arial"/>
          <w:sz w:val="28"/>
          <w:szCs w:val="28"/>
        </w:rPr>
        <w:t>,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and the perceived backstop with regard to ICANN's organization-wide accountability provided by that role.</w:t>
      </w:r>
    </w:p>
    <w:p w:rsidR="0045137A" w:rsidRPr="004039D3" w:rsidRDefault="0045137A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6D4D3E" w:rsidRPr="004039D3">
        <w:rPr>
          <w:rFonts w:asciiTheme="majorHAnsi" w:eastAsia="Times New Roman" w:hAnsiTheme="majorHAnsi" w:cs="Arial"/>
          <w:sz w:val="28"/>
          <w:szCs w:val="28"/>
        </w:rPr>
        <w:t>group’s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work is divided into two work streams: </w:t>
      </w:r>
    </w:p>
    <w:p w:rsidR="00AB2A8E" w:rsidRPr="004039D3" w:rsidRDefault="00AB2A8E" w:rsidP="00AB2A8E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WS1 is focused on identifying mechanisms enhancing ICANN accountability that must be in place or committed to within the timeframe of the IANA stewardship transition. </w:t>
      </w:r>
    </w:p>
    <w:p w:rsidR="00AB2A8E" w:rsidRPr="004039D3" w:rsidRDefault="00AB2A8E" w:rsidP="00AB2A8E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WS2 is focused on addressing accountability topics for which a timeline for developing solutions and full implementation may extend beyond the IANA stewardship transition.</w:t>
      </w:r>
    </w:p>
    <w:p w:rsidR="00AB2A8E" w:rsidRPr="004039D3" w:rsidRDefault="00AB2A8E" w:rsidP="00AB2A8E">
      <w:pPr>
        <w:ind w:left="360"/>
        <w:rPr>
          <w:rFonts w:asciiTheme="majorHAnsi" w:eastAsia="Times New Roman" w:hAnsiTheme="majorHAnsi" w:cs="Arial"/>
          <w:sz w:val="28"/>
          <w:szCs w:val="28"/>
        </w:rPr>
      </w:pPr>
    </w:p>
    <w:p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462B18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expects to complete its work</w:t>
      </w:r>
      <w:r w:rsidR="00C56630" w:rsidRPr="004039D3">
        <w:rPr>
          <w:rFonts w:asciiTheme="majorHAnsi" w:eastAsia="Times New Roman" w:hAnsiTheme="majorHAnsi" w:cs="Arial"/>
          <w:sz w:val="28"/>
          <w:szCs w:val="28"/>
        </w:rPr>
        <w:t xml:space="preserve"> on Work Stream 1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within the same timeframe as the parallel, interrelated IANA Functions Stewardship Transition process.</w:t>
      </w:r>
    </w:p>
    <w:p w:rsidR="00AB2A8E" w:rsidRPr="004039D3" w:rsidRDefault="00AB2A8E" w:rsidP="00AB2A8E">
      <w:pPr>
        <w:rPr>
          <w:rFonts w:asciiTheme="majorHAnsi" w:eastAsia="Times New Roman" w:hAnsiTheme="majorHAnsi" w:cs="Arial"/>
          <w:sz w:val="28"/>
          <w:szCs w:val="28"/>
        </w:rPr>
      </w:pPr>
    </w:p>
    <w:p w:rsidR="006D4D3E" w:rsidRPr="004039D3" w:rsidRDefault="006D4D3E" w:rsidP="006D4D3E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CCWG-Accountability held its first online meeting on 9 December 2014 and has since held weekly virtual meetings. </w:t>
      </w:r>
      <w:r w:rsidR="00A11465" w:rsidRPr="004039D3">
        <w:rPr>
          <w:rFonts w:asciiTheme="majorHAnsi" w:eastAsia="Times New Roman" w:hAnsiTheme="majorHAnsi" w:cs="Arial"/>
          <w:sz w:val="28"/>
          <w:szCs w:val="28"/>
        </w:rPr>
        <w:t xml:space="preserve">Transcripts and documents from all CCWG meetings are available </w:t>
      </w:r>
      <w:hyperlink r:id="rId10" w:history="1">
        <w:r w:rsidR="00A11465"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online</w:t>
        </w:r>
      </w:hyperlink>
      <w:r w:rsidR="00A11465" w:rsidRPr="004039D3">
        <w:rPr>
          <w:rFonts w:asciiTheme="majorHAnsi" w:eastAsia="Times New Roman" w:hAnsiTheme="majorHAnsi" w:cs="Arial"/>
          <w:sz w:val="28"/>
          <w:szCs w:val="28"/>
        </w:rPr>
        <w:t>.</w:t>
      </w:r>
    </w:p>
    <w:p w:rsidR="00794A53" w:rsidRPr="004039D3" w:rsidRDefault="00794A53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:rsidR="00794A53" w:rsidRPr="004039D3" w:rsidRDefault="00794A53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Progress</w:t>
      </w:r>
    </w:p>
    <w:p w:rsidR="00D15D79" w:rsidRPr="004039D3" w:rsidRDefault="00D15D79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</w:p>
    <w:p w:rsidR="00D15D79" w:rsidRPr="004039D3" w:rsidRDefault="0029508B" w:rsidP="00174760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During its Frankfurt meeting, the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CCWG advanced a document including </w:t>
      </w:r>
      <w:r w:rsidR="0024421A">
        <w:rPr>
          <w:rFonts w:asciiTheme="majorHAnsi" w:eastAsia="Times New Roman" w:hAnsiTheme="majorHAnsi" w:cs="Arial"/>
          <w:sz w:val="28"/>
          <w:szCs w:val="28"/>
        </w:rPr>
        <w:t xml:space="preserve">a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problem statement and a set of definitions relevant to the scope of the work to a level of maturity so that it can now be shared with </w:t>
      </w:r>
      <w:hyperlink r:id="rId11" w:history="1">
        <w:r w:rsidR="00390466"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appointed external advisors</w:t>
        </w:r>
      </w:hyperlink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 for their review and comment.</w:t>
      </w:r>
      <w:r w:rsidR="00D15D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These definitions clarify the purposes of </w:t>
      </w:r>
      <w:r w:rsidR="00390466" w:rsidRPr="004039D3">
        <w:rPr>
          <w:rFonts w:asciiTheme="majorHAnsi" w:eastAsia="Times New Roman" w:hAnsiTheme="majorHAnsi" w:cs="Arial"/>
          <w:sz w:val="28"/>
          <w:szCs w:val="28"/>
        </w:rPr>
        <w:t xml:space="preserve">ICANN’s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accountability, </w:t>
      </w:r>
      <w:r w:rsidR="005E6DBC" w:rsidRPr="004039D3">
        <w:rPr>
          <w:rFonts w:asciiTheme="majorHAnsi" w:eastAsia="Times New Roman" w:hAnsiTheme="majorHAnsi" w:cs="Arial"/>
          <w:sz w:val="28"/>
          <w:szCs w:val="28"/>
        </w:rPr>
        <w:t>which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 include 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>compliance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 to processes and applicable laws</w:t>
      </w:r>
      <w:r w:rsidR="00EB453F" w:rsidRPr="004039D3">
        <w:rPr>
          <w:rFonts w:asciiTheme="majorHAnsi" w:eastAsia="Times New Roman" w:hAnsiTheme="majorHAnsi" w:cs="Arial"/>
          <w:sz w:val="28"/>
          <w:szCs w:val="28"/>
        </w:rPr>
        <w:t xml:space="preserve">, achieving certain levels of performance and security, and ensuring that its decisions are for the benefit of the public, not just in the interests of a particular set of stakeholders. </w:t>
      </w:r>
    </w:p>
    <w:p w:rsidR="00F842D1" w:rsidRPr="004039D3" w:rsidRDefault="00F842D1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:rsidR="00713901" w:rsidRPr="004039D3" w:rsidRDefault="006032B5" w:rsidP="00713901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</w:t>
      </w:r>
      <w:r w:rsidR="006F682B" w:rsidRPr="004039D3">
        <w:rPr>
          <w:rFonts w:asciiTheme="majorHAnsi" w:eastAsia="Times New Roman" w:hAnsiTheme="majorHAnsi" w:cs="Arial"/>
          <w:sz w:val="28"/>
          <w:szCs w:val="28"/>
        </w:rPr>
        <w:t>he CCWG</w:t>
      </w:r>
      <w:r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6F682B" w:rsidRPr="004039D3">
        <w:rPr>
          <w:rFonts w:asciiTheme="majorHAnsi" w:eastAsia="Times New Roman" w:hAnsiTheme="majorHAnsi" w:cs="Arial"/>
          <w:sz w:val="28"/>
          <w:szCs w:val="28"/>
        </w:rPr>
        <w:t xml:space="preserve"> reached initial agreement on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29508B" w:rsidRPr="004039D3">
        <w:rPr>
          <w:rFonts w:asciiTheme="majorHAnsi" w:eastAsia="Times New Roman" w:hAnsiTheme="majorHAnsi" w:cs="Arial"/>
          <w:sz w:val="28"/>
          <w:szCs w:val="28"/>
        </w:rPr>
        <w:t>requirements to empower the community, which have been identified as necessary for accountabili</w:t>
      </w:r>
      <w:r w:rsidR="006B27A2">
        <w:rPr>
          <w:rFonts w:asciiTheme="majorHAnsi" w:eastAsia="Times New Roman" w:hAnsiTheme="majorHAnsi" w:cs="Arial"/>
          <w:sz w:val="28"/>
          <w:szCs w:val="28"/>
        </w:rPr>
        <w:t>ty mechanisms considered for Work Stream 1</w:t>
      </w:r>
      <w:r w:rsidR="0029508B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:rsidR="00713901" w:rsidRPr="004039D3" w:rsidRDefault="00713901" w:rsidP="00713901">
      <w:pPr>
        <w:rPr>
          <w:rFonts w:asciiTheme="majorHAnsi" w:eastAsia="Times New Roman" w:hAnsiTheme="majorHAnsi" w:cs="Arial"/>
          <w:sz w:val="28"/>
          <w:szCs w:val="28"/>
        </w:rPr>
      </w:pPr>
    </w:p>
    <w:p w:rsidR="00432A01" w:rsidRPr="004039D3" w:rsidRDefault="00432A01" w:rsidP="00432A01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The requirements were grouped into two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categories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:</w:t>
      </w:r>
    </w:p>
    <w:p w:rsidR="00432A01" w:rsidRPr="004039D3" w:rsidRDefault="00C44F0F" w:rsidP="0029508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Enabling community empowerment </w:t>
      </w:r>
      <w:r w:rsidR="00995048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over Board decisions 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with limited, strictly</w:t>
      </w:r>
      <w:r w:rsidR="0024421A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enumerated, last resort powers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;</w:t>
      </w:r>
    </w:p>
    <w:p w:rsidR="00C44F0F" w:rsidRPr="004039D3" w:rsidRDefault="00C44F0F" w:rsidP="0029508B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Enhancing review and redress processes. </w:t>
      </w:r>
    </w:p>
    <w:p w:rsidR="00C44F0F" w:rsidRPr="004039D3" w:rsidRDefault="00C44F0F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:rsidR="00995048" w:rsidRPr="004039D3" w:rsidRDefault="00995048" w:rsidP="00995048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identification of these high-level requirements will guide the next phase of the group’s work. These mechanisms will inform feasibility assessments and the development of solutions for consideration by the CWG-Stewardship. </w:t>
      </w:r>
    </w:p>
    <w:p w:rsidR="00995048" w:rsidRPr="004039D3" w:rsidRDefault="00995048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:rsidR="00C44F0F" w:rsidRPr="004039D3" w:rsidRDefault="00C44F0F" w:rsidP="00C44F0F">
      <w:pP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While obviously focusing on accountability mechanisms, such as review and redress, the CCWG</w:t>
      </w:r>
      <w:r w:rsidR="0029508B"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-</w:t>
      </w:r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Accountability reaffirmed its commitment that these mechanisms do not undermine the bottom-up, </w:t>
      </w:r>
      <w:proofErr w:type="spellStart"/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multistakeholder</w:t>
      </w:r>
      <w:proofErr w:type="spellEnd"/>
      <w:r w:rsidRPr="004039D3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model. </w:t>
      </w:r>
    </w:p>
    <w:p w:rsidR="00432A01" w:rsidRPr="004039D3" w:rsidRDefault="00432A01" w:rsidP="00D42BA9">
      <w:pPr>
        <w:rPr>
          <w:rFonts w:asciiTheme="majorHAnsi" w:eastAsia="Times New Roman" w:hAnsiTheme="majorHAnsi" w:cs="Arial"/>
          <w:sz w:val="28"/>
          <w:szCs w:val="28"/>
        </w:rPr>
      </w:pPr>
    </w:p>
    <w:p w:rsidR="003557E6" w:rsidRPr="004039D3" w:rsidRDefault="009D5916" w:rsidP="00D42BA9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CCWG</w:t>
      </w:r>
      <w:r w:rsidR="00326189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also continued its work </w:t>
      </w:r>
      <w:r w:rsidR="004F64ED" w:rsidRPr="004039D3">
        <w:rPr>
          <w:rFonts w:asciiTheme="majorHAnsi" w:eastAsia="Times New Roman" w:hAnsiTheme="majorHAnsi" w:cs="Arial"/>
          <w:sz w:val="28"/>
          <w:szCs w:val="28"/>
        </w:rPr>
        <w:t>identifying</w:t>
      </w:r>
      <w:r w:rsidR="009A3A76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Pr="004039D3">
        <w:rPr>
          <w:rFonts w:asciiTheme="majorHAnsi" w:eastAsia="Times New Roman" w:hAnsiTheme="majorHAnsi" w:cs="Arial"/>
          <w:sz w:val="28"/>
          <w:szCs w:val="28"/>
        </w:rPr>
        <w:t>contingencies</w:t>
      </w:r>
      <w:r w:rsidR="00326189" w:rsidRPr="004039D3">
        <w:rPr>
          <w:rFonts w:asciiTheme="majorHAnsi" w:eastAsia="Times New Roman" w:hAnsiTheme="majorHAnsi" w:cs="Arial"/>
          <w:sz w:val="28"/>
          <w:szCs w:val="28"/>
        </w:rPr>
        <w:t xml:space="preserve"> – stress tests –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against which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it will assess</w:t>
      </w:r>
      <w:r w:rsidR="00AB4640" w:rsidRPr="004039D3">
        <w:rPr>
          <w:rFonts w:asciiTheme="majorHAnsi" w:eastAsia="Times New Roman" w:hAnsiTheme="majorHAnsi" w:cs="Arial"/>
          <w:sz w:val="28"/>
          <w:szCs w:val="28"/>
        </w:rPr>
        <w:t xml:space="preserve"> and validate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its recommendations</w:t>
      </w:r>
      <w:r w:rsidR="00C44F0F" w:rsidRPr="004039D3">
        <w:rPr>
          <w:rFonts w:asciiTheme="majorHAnsi" w:eastAsia="Times New Roman" w:hAnsiTheme="majorHAnsi" w:cs="Arial"/>
          <w:sz w:val="28"/>
          <w:szCs w:val="28"/>
        </w:rPr>
        <w:t xml:space="preserve">, as requested by its </w:t>
      </w:r>
      <w:hyperlink r:id="rId12" w:history="1">
        <w:r w:rsidR="00C44F0F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Charter</w:t>
        </w:r>
      </w:hyperlink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D42BA9" w:rsidRPr="004039D3" w:rsidDel="00D42BA9">
        <w:rPr>
          <w:rFonts w:asciiTheme="majorHAnsi" w:eastAsia="Times New Roman" w:hAnsiTheme="majorHAnsi" w:cs="Arial"/>
          <w:sz w:val="28"/>
          <w:szCs w:val="28"/>
        </w:rPr>
        <w:t xml:space="preserve"> </w:t>
      </w:r>
    </w:p>
    <w:p w:rsidR="003557E6" w:rsidRPr="004039D3" w:rsidRDefault="003557E6" w:rsidP="00D42BA9">
      <w:pPr>
        <w:rPr>
          <w:rFonts w:asciiTheme="majorHAnsi" w:eastAsia="Times New Roman" w:hAnsiTheme="majorHAnsi" w:cs="Arial"/>
          <w:sz w:val="28"/>
          <w:szCs w:val="28"/>
        </w:rPr>
      </w:pPr>
    </w:p>
    <w:p w:rsidR="00D42BA9" w:rsidRPr="004039D3" w:rsidRDefault="0029508B" w:rsidP="00D42BA9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proofErr w:type="gramStart"/>
      <w:r w:rsidRPr="004039D3">
        <w:rPr>
          <w:rFonts w:asciiTheme="majorHAnsi" w:eastAsia="Times New Roman" w:hAnsiTheme="majorHAnsi" w:cs="Arial"/>
          <w:sz w:val="28"/>
          <w:szCs w:val="28"/>
        </w:rPr>
        <w:t>group agreed on the need to further specify</w:t>
      </w:r>
      <w:proofErr w:type="gramEnd"/>
      <w:r w:rsidRPr="004039D3">
        <w:rPr>
          <w:rFonts w:asciiTheme="majorHAnsi" w:eastAsia="Times New Roman" w:hAnsiTheme="majorHAnsi" w:cs="Arial"/>
          <w:sz w:val="28"/>
          <w:szCs w:val="28"/>
        </w:rPr>
        <w:t xml:space="preserve"> the existing work </w:t>
      </w:r>
      <w:r w:rsidR="00E24EB0">
        <w:rPr>
          <w:rFonts w:asciiTheme="majorHAnsi" w:eastAsia="Times New Roman" w:hAnsiTheme="majorHAnsi" w:cs="Arial"/>
          <w:sz w:val="28"/>
          <w:szCs w:val="28"/>
        </w:rPr>
        <w:t>plan to include an overall time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line, an outreach plan, and efforts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 xml:space="preserve">to ensure further </w:t>
      </w:r>
      <w:r w:rsidR="00024FC9" w:rsidRPr="004039D3">
        <w:rPr>
          <w:rFonts w:asciiTheme="majorHAnsi" w:eastAsia="Times New Roman" w:hAnsiTheme="majorHAnsi" w:cs="Arial"/>
          <w:sz w:val="28"/>
          <w:szCs w:val="28"/>
        </w:rPr>
        <w:t xml:space="preserve">substantive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 xml:space="preserve">contributions from the </w:t>
      </w:r>
      <w:r w:rsidR="001D04AE" w:rsidRPr="004039D3">
        <w:rPr>
          <w:rFonts w:asciiTheme="majorHAnsi" w:eastAsia="Times New Roman" w:hAnsiTheme="majorHAnsi" w:cs="Arial"/>
          <w:sz w:val="28"/>
          <w:szCs w:val="28"/>
        </w:rPr>
        <w:t xml:space="preserve">broader </w:t>
      </w:r>
      <w:r w:rsidR="003557E6" w:rsidRPr="004039D3">
        <w:rPr>
          <w:rFonts w:asciiTheme="majorHAnsi" w:eastAsia="Times New Roman" w:hAnsiTheme="majorHAnsi" w:cs="Arial"/>
          <w:sz w:val="28"/>
          <w:szCs w:val="28"/>
        </w:rPr>
        <w:t>global community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:rsidR="00D42BA9" w:rsidRPr="004039D3" w:rsidRDefault="00D42BA9" w:rsidP="0091634A">
      <w:pPr>
        <w:rPr>
          <w:rFonts w:asciiTheme="majorHAnsi" w:eastAsia="Times New Roman" w:hAnsiTheme="majorHAnsi" w:cs="Arial"/>
          <w:sz w:val="28"/>
          <w:szCs w:val="28"/>
        </w:rPr>
      </w:pPr>
    </w:p>
    <w:p w:rsidR="00147D8F" w:rsidRPr="004039D3" w:rsidRDefault="0091634A" w:rsidP="00147D8F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work of the </w:t>
      </w:r>
      <w:r w:rsidR="00E56D50" w:rsidRPr="004039D3">
        <w:rPr>
          <w:rFonts w:asciiTheme="majorHAnsi" w:eastAsia="Times New Roman" w:hAnsiTheme="majorHAnsi" w:cs="Arial"/>
          <w:sz w:val="28"/>
          <w:szCs w:val="28"/>
        </w:rPr>
        <w:t xml:space="preserve">CCWG-Accountability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>is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56D50" w:rsidRPr="004039D3">
        <w:rPr>
          <w:rFonts w:asciiTheme="majorHAnsi" w:eastAsia="Times New Roman" w:hAnsiTheme="majorHAnsi" w:cs="Arial"/>
          <w:sz w:val="28"/>
          <w:szCs w:val="28"/>
        </w:rPr>
        <w:t>just emerging from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its formative stages;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significant </w:t>
      </w:r>
      <w:r w:rsidR="00D42BA9" w:rsidRPr="004039D3">
        <w:rPr>
          <w:rFonts w:asciiTheme="majorHAnsi" w:eastAsia="Times New Roman" w:hAnsiTheme="majorHAnsi" w:cs="Arial"/>
          <w:sz w:val="28"/>
          <w:szCs w:val="28"/>
        </w:rPr>
        <w:t xml:space="preserve">community 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engagement 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>will come, including an engagement session in February</w:t>
      </w:r>
      <w:r w:rsidR="00293474" w:rsidRPr="004039D3">
        <w:rPr>
          <w:rFonts w:asciiTheme="majorHAnsi" w:eastAsia="Times New Roman" w:hAnsiTheme="majorHAnsi" w:cs="Arial"/>
          <w:sz w:val="28"/>
          <w:szCs w:val="28"/>
        </w:rPr>
        <w:t xml:space="preserve"> 2015</w:t>
      </w:r>
      <w:r w:rsidR="009D5916" w:rsidRPr="004039D3">
        <w:rPr>
          <w:rFonts w:asciiTheme="majorHAnsi" w:eastAsia="Times New Roman" w:hAnsiTheme="majorHAnsi" w:cs="Arial"/>
          <w:sz w:val="28"/>
          <w:szCs w:val="28"/>
        </w:rPr>
        <w:t xml:space="preserve"> at the ICANN52 meeting in Singapore. </w:t>
      </w:r>
    </w:p>
    <w:p w:rsidR="00147D8F" w:rsidRPr="004039D3" w:rsidRDefault="00147D8F" w:rsidP="00147D8F">
      <w:pPr>
        <w:rPr>
          <w:rFonts w:asciiTheme="majorHAnsi" w:eastAsia="Times New Roman" w:hAnsiTheme="majorHAnsi" w:cs="Arial"/>
          <w:sz w:val="28"/>
          <w:szCs w:val="28"/>
        </w:rPr>
      </w:pPr>
    </w:p>
    <w:p w:rsidR="0091634A" w:rsidRPr="004039D3" w:rsidRDefault="006A07EB" w:rsidP="0091634A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CCWG</w:t>
      </w:r>
      <w:r w:rsidR="00C61438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B76950" w:rsidRPr="004039D3">
        <w:rPr>
          <w:rFonts w:asciiTheme="majorHAnsi" w:eastAsia="Times New Roman" w:hAnsiTheme="majorHAnsi" w:cs="Arial"/>
          <w:sz w:val="28"/>
          <w:szCs w:val="28"/>
        </w:rPr>
        <w:t xml:space="preserve"> also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r</w:t>
      </w:r>
      <w:r w:rsidR="00F418B4" w:rsidRPr="004039D3">
        <w:rPr>
          <w:rFonts w:asciiTheme="majorHAnsi" w:eastAsia="Times New Roman" w:hAnsiTheme="majorHAnsi" w:cs="Arial"/>
          <w:sz w:val="28"/>
          <w:szCs w:val="28"/>
        </w:rPr>
        <w:t xml:space="preserve">eiterated its </w:t>
      </w:r>
      <w:r w:rsidR="00C44F0F" w:rsidRPr="004039D3">
        <w:rPr>
          <w:rFonts w:asciiTheme="majorHAnsi" w:eastAsia="Times New Roman" w:hAnsiTheme="majorHAnsi" w:cs="Arial"/>
          <w:sz w:val="28"/>
          <w:szCs w:val="28"/>
        </w:rPr>
        <w:t xml:space="preserve">commitment to synchronize its efforts </w:t>
      </w:r>
      <w:r w:rsidR="00147D8F" w:rsidRPr="004039D3">
        <w:rPr>
          <w:rFonts w:asciiTheme="majorHAnsi" w:eastAsia="Times New Roman" w:hAnsiTheme="majorHAnsi" w:cs="Arial"/>
          <w:sz w:val="28"/>
          <w:szCs w:val="28"/>
        </w:rPr>
        <w:t xml:space="preserve">with </w:t>
      </w:r>
      <w:r w:rsidRPr="004039D3">
        <w:rPr>
          <w:rFonts w:asciiTheme="majorHAnsi" w:eastAsia="Times New Roman" w:hAnsiTheme="majorHAnsi" w:cs="Arial"/>
          <w:sz w:val="28"/>
          <w:szCs w:val="28"/>
        </w:rPr>
        <w:t>the</w:t>
      </w:r>
      <w:r w:rsidR="00B76950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ongoing work of the naming community</w:t>
      </w:r>
      <w:r w:rsidR="006524A8" w:rsidRPr="004039D3">
        <w:rPr>
          <w:rFonts w:asciiTheme="majorHAnsi" w:eastAsia="Times New Roman" w:hAnsiTheme="majorHAnsi" w:cs="Arial"/>
          <w:sz w:val="28"/>
          <w:szCs w:val="28"/>
        </w:rPr>
        <w:t xml:space="preserve"> (CWG-Stewardship)</w:t>
      </w:r>
      <w:r w:rsidR="00995048" w:rsidRPr="004039D3">
        <w:rPr>
          <w:rFonts w:asciiTheme="majorHAnsi" w:eastAsia="Times New Roman" w:hAnsiTheme="majorHAnsi" w:cs="Arial"/>
          <w:sz w:val="28"/>
          <w:szCs w:val="28"/>
        </w:rPr>
        <w:t xml:space="preserve">. In addition to the already close coordination between the co-chairs of the two groups, further clarification of the inter-relations and interdependence between both groups was achieved during the meeting. </w:t>
      </w:r>
    </w:p>
    <w:p w:rsidR="00903A26" w:rsidRPr="004039D3" w:rsidRDefault="00903A26" w:rsidP="0091634A">
      <w:pPr>
        <w:rPr>
          <w:rFonts w:asciiTheme="majorHAnsi" w:eastAsia="Times New Roman" w:hAnsiTheme="majorHAnsi" w:cs="Arial"/>
          <w:sz w:val="28"/>
          <w:szCs w:val="28"/>
        </w:rPr>
      </w:pPr>
    </w:p>
    <w:p w:rsidR="00794A53" w:rsidRPr="004039D3" w:rsidRDefault="00794A53" w:rsidP="00174760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 xml:space="preserve">Next Steps </w:t>
      </w:r>
    </w:p>
    <w:p w:rsidR="00794A53" w:rsidRPr="004039D3" w:rsidRDefault="00794A53" w:rsidP="00174760">
      <w:pPr>
        <w:rPr>
          <w:rFonts w:asciiTheme="majorHAnsi" w:eastAsia="Times New Roman" w:hAnsiTheme="majorHAnsi" w:cs="Arial"/>
          <w:sz w:val="28"/>
          <w:szCs w:val="28"/>
        </w:rPr>
      </w:pPr>
    </w:p>
    <w:p w:rsidR="00071E79" w:rsidRPr="004039D3" w:rsidRDefault="00E1377C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CCWG 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>will continue to progress in all work paths identifi</w:t>
      </w:r>
      <w:r w:rsidR="00903A26" w:rsidRPr="004039D3">
        <w:rPr>
          <w:rFonts w:asciiTheme="majorHAnsi" w:eastAsia="Times New Roman" w:hAnsiTheme="majorHAnsi" w:cs="Arial"/>
          <w:sz w:val="28"/>
          <w:szCs w:val="28"/>
        </w:rPr>
        <w:t>ed during the Frankfurt meeting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8271BB" w:rsidRPr="004039D3">
        <w:rPr>
          <w:rFonts w:asciiTheme="majorHAnsi" w:eastAsia="Times New Roman" w:hAnsiTheme="majorHAnsi" w:cs="Arial"/>
          <w:sz w:val="28"/>
          <w:szCs w:val="28"/>
        </w:rPr>
        <w:t>A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series of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sessions </w:t>
      </w:r>
      <w:r w:rsidR="00D537CB" w:rsidRPr="004039D3">
        <w:rPr>
          <w:rFonts w:asciiTheme="majorHAnsi" w:eastAsia="Times New Roman" w:hAnsiTheme="majorHAnsi" w:cs="Arial"/>
          <w:sz w:val="28"/>
          <w:szCs w:val="28"/>
        </w:rPr>
        <w:t xml:space="preserve">will be held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>at the</w:t>
      </w:r>
      <w:r w:rsidR="00D537CB" w:rsidRPr="004039D3">
        <w:rPr>
          <w:rFonts w:asciiTheme="majorHAnsi" w:eastAsia="Times New Roman" w:hAnsiTheme="majorHAnsi" w:cs="Arial"/>
          <w:sz w:val="28"/>
          <w:szCs w:val="28"/>
        </w:rPr>
        <w:t xml:space="preserve"> upcoming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ICANN 52 meeting in Singapore, including a community engagement session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and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D32E69" w:rsidRPr="004039D3">
        <w:rPr>
          <w:rFonts w:asciiTheme="majorHAnsi" w:eastAsia="Times New Roman" w:hAnsiTheme="majorHAnsi" w:cs="Arial"/>
          <w:sz w:val="28"/>
          <w:szCs w:val="28"/>
        </w:rPr>
        <w:t xml:space="preserve">two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>working sessions,</w:t>
      </w:r>
      <w:r w:rsidR="00B82E84" w:rsidRPr="004039D3">
        <w:rPr>
          <w:rFonts w:asciiTheme="majorHAnsi" w:eastAsia="Times New Roman" w:hAnsiTheme="majorHAnsi" w:cs="Arial"/>
          <w:sz w:val="28"/>
          <w:szCs w:val="28"/>
        </w:rPr>
        <w:t xml:space="preserve"> with remote participation. In addition the group will </w:t>
      </w:r>
      <w:r w:rsidR="009A3A76">
        <w:rPr>
          <w:rFonts w:asciiTheme="majorHAnsi" w:eastAsia="Times New Roman" w:hAnsiTheme="majorHAnsi" w:cs="Arial"/>
          <w:sz w:val="28"/>
          <w:szCs w:val="28"/>
        </w:rPr>
        <w:t xml:space="preserve">meet 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with the ICANN </w:t>
      </w:r>
      <w:r w:rsidR="00D32E69" w:rsidRPr="004039D3">
        <w:rPr>
          <w:rFonts w:asciiTheme="majorHAnsi" w:eastAsia="Times New Roman" w:hAnsiTheme="majorHAnsi" w:cs="Arial"/>
          <w:sz w:val="28"/>
          <w:szCs w:val="28"/>
        </w:rPr>
        <w:t>Board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.  </w:t>
      </w:r>
    </w:p>
    <w:p w:rsidR="00071E79" w:rsidRPr="004039D3" w:rsidRDefault="00071E79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:rsidR="00C77388" w:rsidRPr="004039D3" w:rsidRDefault="00AB2A8E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Anyone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interested in participating in or following the work of the CCWG</w:t>
      </w:r>
      <w:r w:rsidR="006F35E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="00071E79" w:rsidRPr="004039D3">
        <w:rPr>
          <w:rFonts w:asciiTheme="majorHAnsi" w:eastAsia="Times New Roman" w:hAnsiTheme="majorHAnsi" w:cs="Arial"/>
          <w:sz w:val="28"/>
          <w:szCs w:val="28"/>
        </w:rPr>
        <w:t xml:space="preserve"> can find information </w:t>
      </w:r>
      <w:hyperlink r:id="rId13" w:history="1">
        <w:r w:rsidR="00071E79" w:rsidRPr="004039D3">
          <w:rPr>
            <w:rStyle w:val="Hyperlink"/>
            <w:rFonts w:asciiTheme="majorHAnsi" w:eastAsia="Times New Roman" w:hAnsiTheme="majorHAnsi" w:cs="Arial"/>
            <w:sz w:val="28"/>
            <w:szCs w:val="28"/>
          </w:rPr>
          <w:t>here</w:t>
        </w:r>
      </w:hyperlink>
      <w:r w:rsidR="00071E79" w:rsidRPr="004039D3">
        <w:rPr>
          <w:rFonts w:asciiTheme="majorHAnsi" w:eastAsia="Times New Roman" w:hAnsiTheme="majorHAnsi" w:cs="Arial"/>
          <w:sz w:val="28"/>
          <w:szCs w:val="28"/>
        </w:rPr>
        <w:t>.</w:t>
      </w:r>
      <w:r w:rsidR="005D49A3" w:rsidRPr="004039D3">
        <w:rPr>
          <w:rFonts w:asciiTheme="majorHAnsi" w:eastAsia="Times New Roman" w:hAnsiTheme="majorHAnsi" w:cs="Arial"/>
          <w:sz w:val="28"/>
          <w:szCs w:val="28"/>
        </w:rPr>
        <w:t xml:space="preserve"> </w:t>
      </w:r>
    </w:p>
    <w:p w:rsidR="007C098B" w:rsidRPr="004039D3" w:rsidRDefault="007C098B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:rsidR="006F35EC" w:rsidRPr="004039D3" w:rsidRDefault="006F35EC" w:rsidP="00A91174">
      <w:pPr>
        <w:rPr>
          <w:rFonts w:asciiTheme="majorHAnsi" w:eastAsia="Times New Roman" w:hAnsiTheme="majorHAnsi" w:cs="Arial"/>
          <w:b/>
          <w:sz w:val="28"/>
          <w:szCs w:val="28"/>
        </w:rPr>
      </w:pPr>
      <w:r w:rsidRPr="004039D3">
        <w:rPr>
          <w:rFonts w:asciiTheme="majorHAnsi" w:eastAsia="Times New Roman" w:hAnsiTheme="majorHAnsi" w:cs="Arial"/>
          <w:b/>
          <w:sz w:val="28"/>
          <w:szCs w:val="28"/>
        </w:rPr>
        <w:t>About the CCWG-Accountability</w:t>
      </w:r>
    </w:p>
    <w:p w:rsidR="004978C3" w:rsidRPr="004039D3" w:rsidRDefault="004978C3" w:rsidP="00A91174">
      <w:pPr>
        <w:rPr>
          <w:rFonts w:asciiTheme="majorHAnsi" w:eastAsia="Times New Roman" w:hAnsiTheme="majorHAnsi" w:cs="Arial"/>
          <w:b/>
          <w:sz w:val="28"/>
          <w:szCs w:val="28"/>
        </w:rPr>
      </w:pPr>
    </w:p>
    <w:p w:rsidR="00D3441C" w:rsidRDefault="004978C3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The CCWG-Accountability consists of </w:t>
      </w:r>
      <w:hyperlink r:id="rId14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161 people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organized as 25 </w:t>
      </w:r>
      <w:hyperlink r:id="rId15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members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appointed by and accountable to chartering organizations, 136 </w:t>
      </w:r>
      <w:hyperlink r:id="rId16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participants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, who participate as individuals, and 38 mailing list </w:t>
      </w:r>
      <w:hyperlink r:id="rId17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observers</w:t>
        </w:r>
      </w:hyperlink>
      <w:r w:rsidRPr="004039D3">
        <w:rPr>
          <w:rFonts w:asciiTheme="majorHAnsi" w:eastAsia="Times New Roman" w:hAnsiTheme="majorHAnsi" w:cs="Arial"/>
          <w:sz w:val="28"/>
          <w:szCs w:val="28"/>
        </w:rPr>
        <w:t xml:space="preserve">. 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The group also includes one ICANN Board liaison, one ICANN staff representative</w:t>
      </w:r>
      <w:r w:rsidR="00D86B59">
        <w:rPr>
          <w:rFonts w:asciiTheme="majorHAnsi" w:eastAsia="Times New Roman" w:hAnsiTheme="majorHAnsi" w:cs="Arial"/>
          <w:sz w:val="28"/>
          <w:szCs w:val="28"/>
        </w:rPr>
        <w:t xml:space="preserve"> and one </w:t>
      </w:r>
      <w:r w:rsidR="00D80AC3">
        <w:rPr>
          <w:rFonts w:asciiTheme="majorHAnsi" w:eastAsia="Times New Roman" w:hAnsiTheme="majorHAnsi" w:cs="Arial"/>
          <w:sz w:val="28"/>
          <w:szCs w:val="28"/>
        </w:rPr>
        <w:t xml:space="preserve">former </w:t>
      </w:r>
      <w:r w:rsidR="0024421A">
        <w:rPr>
          <w:rFonts w:asciiTheme="majorHAnsi" w:eastAsia="Times New Roman" w:hAnsiTheme="majorHAnsi" w:cs="Arial"/>
          <w:sz w:val="28"/>
          <w:szCs w:val="28"/>
        </w:rPr>
        <w:t xml:space="preserve">ATRT </w:t>
      </w:r>
      <w:r w:rsidR="00D80AC3">
        <w:rPr>
          <w:rFonts w:asciiTheme="majorHAnsi" w:eastAsia="Times New Roman" w:hAnsiTheme="majorHAnsi" w:cs="Arial"/>
          <w:sz w:val="28"/>
          <w:szCs w:val="28"/>
        </w:rPr>
        <w:t xml:space="preserve">member who </w:t>
      </w:r>
      <w:proofErr w:type="gramStart"/>
      <w:r w:rsidR="00D80AC3">
        <w:rPr>
          <w:rFonts w:asciiTheme="majorHAnsi" w:eastAsia="Times New Roman" w:hAnsiTheme="majorHAnsi" w:cs="Arial"/>
          <w:sz w:val="28"/>
          <w:szCs w:val="28"/>
        </w:rPr>
        <w:t>serves</w:t>
      </w:r>
      <w:proofErr w:type="gramEnd"/>
      <w:r w:rsidR="00D80AC3">
        <w:rPr>
          <w:rFonts w:asciiTheme="majorHAnsi" w:eastAsia="Times New Roman" w:hAnsiTheme="majorHAnsi" w:cs="Arial"/>
          <w:sz w:val="28"/>
          <w:szCs w:val="28"/>
        </w:rPr>
        <w:t xml:space="preserve"> as a liaison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. In addition, there are 4 ICG members who participate in the CCWG-Accountability, including two who serve as liaisons between the two groups.</w:t>
      </w:r>
    </w:p>
    <w:p w:rsidR="00DA3BE0" w:rsidRDefault="00DA3BE0" w:rsidP="00D3441C">
      <w:pPr>
        <w:rPr>
          <w:rFonts w:asciiTheme="majorHAnsi" w:eastAsia="Times New Roman" w:hAnsiTheme="majorHAnsi" w:cs="Arial"/>
          <w:sz w:val="28"/>
          <w:szCs w:val="28"/>
        </w:rPr>
      </w:pPr>
    </w:p>
    <w:p w:rsidR="00677B68" w:rsidRPr="00677B68" w:rsidRDefault="00677B68" w:rsidP="00677B68">
      <w:p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 xml:space="preserve">Six </w:t>
      </w:r>
      <w:hyperlink r:id="rId18" w:history="1">
        <w:r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advisors</w:t>
        </w:r>
      </w:hyperlink>
      <w:r>
        <w:rPr>
          <w:rFonts w:asciiTheme="majorHAnsi" w:eastAsia="Times New Roman" w:hAnsiTheme="majorHAnsi" w:cs="Arial"/>
          <w:sz w:val="28"/>
          <w:szCs w:val="28"/>
        </w:rPr>
        <w:t xml:space="preserve"> have also been appointed to </w:t>
      </w:r>
      <w:r w:rsidRPr="00677B68">
        <w:rPr>
          <w:rFonts w:asciiTheme="majorHAnsi" w:eastAsia="Times New Roman" w:hAnsiTheme="majorHAnsi" w:cs="Arial"/>
          <w:sz w:val="28"/>
          <w:szCs w:val="28"/>
        </w:rPr>
        <w:t xml:space="preserve">contribute research and advice, and to bring perspectives on global best practices to enrich the </w:t>
      </w:r>
      <w:r>
        <w:rPr>
          <w:rFonts w:asciiTheme="majorHAnsi" w:eastAsia="Times New Roman" w:hAnsiTheme="majorHAnsi" w:cs="Arial"/>
          <w:sz w:val="28"/>
          <w:szCs w:val="28"/>
        </w:rPr>
        <w:t xml:space="preserve">CCWG-Accountability </w:t>
      </w:r>
      <w:r w:rsidRPr="00677B68">
        <w:rPr>
          <w:rFonts w:asciiTheme="majorHAnsi" w:eastAsia="Times New Roman" w:hAnsiTheme="majorHAnsi" w:cs="Arial"/>
          <w:sz w:val="28"/>
          <w:szCs w:val="28"/>
        </w:rPr>
        <w:t>discussion</w:t>
      </w:r>
      <w:r>
        <w:rPr>
          <w:rFonts w:asciiTheme="majorHAnsi" w:eastAsia="Times New Roman" w:hAnsiTheme="majorHAnsi" w:cs="Arial"/>
          <w:sz w:val="28"/>
          <w:szCs w:val="28"/>
        </w:rPr>
        <w:t>.</w:t>
      </w:r>
      <w:r w:rsidR="00E24EB0">
        <w:rPr>
          <w:rFonts w:asciiTheme="majorHAnsi" w:eastAsia="Times New Roman" w:hAnsiTheme="majorHAnsi" w:cs="Arial"/>
          <w:sz w:val="28"/>
          <w:szCs w:val="28"/>
        </w:rPr>
        <w:t xml:space="preserve"> </w:t>
      </w:r>
      <w:r w:rsidR="00E24EB0" w:rsidRPr="00E24EB0">
        <w:rPr>
          <w:rFonts w:asciiTheme="majorHAnsi" w:eastAsia="Times New Roman" w:hAnsiTheme="majorHAnsi" w:cs="Arial"/>
          <w:sz w:val="28"/>
          <w:szCs w:val="28"/>
        </w:rPr>
        <w:t xml:space="preserve">The </w:t>
      </w:r>
      <w:hyperlink r:id="rId19" w:history="1">
        <w:r w:rsidR="004850E8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Public Experts Group (</w:t>
        </w:r>
        <w:r w:rsidR="00E24EB0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PEG</w:t>
        </w:r>
        <w:r w:rsidR="004850E8" w:rsidRPr="004850E8">
          <w:rPr>
            <w:rStyle w:val="Hyperlink"/>
            <w:rFonts w:asciiTheme="majorHAnsi" w:eastAsia="Times New Roman" w:hAnsiTheme="majorHAnsi" w:cs="Arial"/>
            <w:sz w:val="28"/>
            <w:szCs w:val="28"/>
          </w:rPr>
          <w:t>)</w:t>
        </w:r>
      </w:hyperlink>
      <w:r w:rsidR="00E24EB0" w:rsidRPr="00E24EB0">
        <w:rPr>
          <w:rFonts w:asciiTheme="majorHAnsi" w:eastAsia="Times New Roman" w:hAnsiTheme="majorHAnsi" w:cs="Arial"/>
          <w:sz w:val="28"/>
          <w:szCs w:val="28"/>
        </w:rPr>
        <w:t xml:space="preserve"> continues its search for an Advisor who will bring expertise in </w:t>
      </w:r>
      <w:r w:rsidR="00E24EB0" w:rsidRPr="004850E8">
        <w:rPr>
          <w:rFonts w:asciiTheme="majorHAnsi" w:eastAsia="Times New Roman" w:hAnsiTheme="majorHAnsi" w:cs="Arial"/>
          <w:bCs/>
          <w:sz w:val="28"/>
          <w:szCs w:val="28"/>
        </w:rPr>
        <w:t>International Law/Jurisprudence</w:t>
      </w:r>
      <w:r w:rsidR="00E24EB0" w:rsidRPr="00E24EB0">
        <w:rPr>
          <w:rFonts w:asciiTheme="majorHAnsi" w:eastAsia="Times New Roman" w:hAnsiTheme="majorHAnsi" w:cs="Arial"/>
          <w:sz w:val="28"/>
          <w:szCs w:val="28"/>
        </w:rPr>
        <w:t> and will strive to select this Advisor as soon as possible.</w:t>
      </w:r>
    </w:p>
    <w:p w:rsidR="00677B68" w:rsidRPr="004039D3" w:rsidRDefault="00677B68" w:rsidP="00D3441C">
      <w:pPr>
        <w:rPr>
          <w:rFonts w:asciiTheme="majorHAnsi" w:eastAsia="Times New Roman" w:hAnsiTheme="majorHAnsi" w:cs="Arial"/>
          <w:sz w:val="28"/>
          <w:szCs w:val="28"/>
        </w:rPr>
      </w:pPr>
    </w:p>
    <w:p w:rsidR="006F35EC" w:rsidRPr="004039D3" w:rsidRDefault="004978C3" w:rsidP="00A91174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is an open group: anyone interested in the work of 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>, can join as a participant. Participants may be from a chartering organization, from a stakeholder group or organization not represented in the C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C</w:t>
      </w:r>
      <w:r w:rsidRPr="004039D3">
        <w:rPr>
          <w:rFonts w:asciiTheme="majorHAnsi" w:eastAsia="Times New Roman" w:hAnsiTheme="majorHAnsi" w:cs="Arial"/>
          <w:sz w:val="28"/>
          <w:szCs w:val="28"/>
        </w:rPr>
        <w:t>WG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-Accountability</w:t>
      </w:r>
      <w:r w:rsidRPr="004039D3">
        <w:rPr>
          <w:rFonts w:asciiTheme="majorHAnsi" w:eastAsia="Times New Roman" w:hAnsiTheme="majorHAnsi" w:cs="Arial"/>
          <w:sz w:val="28"/>
          <w:szCs w:val="28"/>
        </w:rPr>
        <w:t xml:space="preserve"> or currently active within ICANN, or self-appointed.</w:t>
      </w:r>
    </w:p>
    <w:p w:rsidR="00D3441C" w:rsidRPr="004039D3" w:rsidRDefault="00D3441C" w:rsidP="00A91174">
      <w:pPr>
        <w:rPr>
          <w:rFonts w:asciiTheme="majorHAnsi" w:eastAsia="Times New Roman" w:hAnsiTheme="majorHAnsi" w:cs="Arial"/>
          <w:sz w:val="28"/>
          <w:szCs w:val="28"/>
        </w:rPr>
      </w:pPr>
    </w:p>
    <w:p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Of the 161 CCWG-Accountability members and participants, the regional representation is as follows:</w:t>
      </w:r>
    </w:p>
    <w:p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39 North America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36 Europe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32 Asia/Asia Pacific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29 (not specified)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16 Africa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3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9 Latin America</w:t>
      </w:r>
      <w:r w:rsidR="004850E8">
        <w:rPr>
          <w:rFonts w:asciiTheme="majorHAnsi" w:eastAsia="Times New Roman" w:hAnsiTheme="majorHAnsi" w:cs="Arial"/>
          <w:sz w:val="28"/>
          <w:szCs w:val="28"/>
        </w:rPr>
        <w:t>.</w:t>
      </w:r>
    </w:p>
    <w:p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 </w:t>
      </w:r>
    </w:p>
    <w:p w:rsidR="00D3441C" w:rsidRPr="004039D3" w:rsidRDefault="00D3441C" w:rsidP="00D3441C">
      <w:p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Of the 161 CCWG-Accountability members and participants, the stakeholder group representation is as follows:</w:t>
      </w:r>
    </w:p>
    <w:p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62 (no affiliation)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40 GNSO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25 GAC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E16C42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>
        <w:rPr>
          <w:rFonts w:asciiTheme="majorHAnsi" w:eastAsia="Times New Roman" w:hAnsiTheme="majorHAnsi" w:cs="Arial"/>
          <w:sz w:val="28"/>
          <w:szCs w:val="28"/>
        </w:rPr>
        <w:t>19</w:t>
      </w:r>
      <w:r w:rsidR="00D3441C" w:rsidRPr="004039D3">
        <w:rPr>
          <w:rFonts w:asciiTheme="majorHAnsi" w:eastAsia="Times New Roman" w:hAnsiTheme="majorHAnsi" w:cs="Arial"/>
          <w:sz w:val="28"/>
          <w:szCs w:val="28"/>
        </w:rPr>
        <w:t> At-Large</w:t>
      </w:r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 xml:space="preserve">11 </w:t>
      </w:r>
      <w:proofErr w:type="spellStart"/>
      <w:r w:rsidRPr="004039D3">
        <w:rPr>
          <w:rFonts w:asciiTheme="majorHAnsi" w:eastAsia="Times New Roman" w:hAnsiTheme="majorHAnsi" w:cs="Arial"/>
          <w:sz w:val="28"/>
          <w:szCs w:val="28"/>
        </w:rPr>
        <w:t>ccNSO</w:t>
      </w:r>
      <w:proofErr w:type="spellEnd"/>
      <w:r w:rsidRPr="004039D3">
        <w:rPr>
          <w:rFonts w:asciiTheme="majorHAnsi" w:eastAsia="Times New Roman" w:hAnsiTheme="majorHAnsi" w:cs="Arial"/>
          <w:sz w:val="28"/>
          <w:szCs w:val="28"/>
        </w:rPr>
        <w:t>/</w:t>
      </w:r>
      <w:proofErr w:type="spellStart"/>
      <w:r w:rsidRPr="004039D3">
        <w:rPr>
          <w:rFonts w:asciiTheme="majorHAnsi" w:eastAsia="Times New Roman" w:hAnsiTheme="majorHAnsi" w:cs="Arial"/>
          <w:sz w:val="28"/>
          <w:szCs w:val="28"/>
        </w:rPr>
        <w:t>ccTLD</w:t>
      </w:r>
      <w:proofErr w:type="spellEnd"/>
      <w:r w:rsidR="004850E8">
        <w:rPr>
          <w:rFonts w:asciiTheme="majorHAnsi" w:eastAsia="Times New Roman" w:hAnsiTheme="majorHAnsi" w:cs="Arial"/>
          <w:sz w:val="28"/>
          <w:szCs w:val="28"/>
        </w:rPr>
        <w:t>;</w:t>
      </w:r>
    </w:p>
    <w:p w:rsidR="00D3441C" w:rsidRPr="004039D3" w:rsidRDefault="00D3441C" w:rsidP="00D3441C">
      <w:pPr>
        <w:numPr>
          <w:ilvl w:val="0"/>
          <w:numId w:val="4"/>
        </w:numPr>
        <w:rPr>
          <w:rFonts w:asciiTheme="majorHAnsi" w:eastAsia="Times New Roman" w:hAnsiTheme="majorHAnsi" w:cs="Arial"/>
          <w:sz w:val="28"/>
          <w:szCs w:val="28"/>
        </w:rPr>
      </w:pPr>
      <w:r w:rsidRPr="004039D3">
        <w:rPr>
          <w:rFonts w:asciiTheme="majorHAnsi" w:eastAsia="Times New Roman" w:hAnsiTheme="majorHAnsi" w:cs="Arial"/>
          <w:sz w:val="28"/>
          <w:szCs w:val="28"/>
        </w:rPr>
        <w:t>4 ASO</w:t>
      </w:r>
      <w:r w:rsidR="004850E8">
        <w:rPr>
          <w:rFonts w:asciiTheme="majorHAnsi" w:eastAsia="Times New Roman" w:hAnsiTheme="majorHAnsi" w:cs="Arial"/>
          <w:sz w:val="28"/>
          <w:szCs w:val="28"/>
        </w:rPr>
        <w:t>.</w:t>
      </w:r>
    </w:p>
    <w:p w:rsidR="00D3441C" w:rsidRPr="004039D3" w:rsidRDefault="00D3441C" w:rsidP="00A91174">
      <w:pPr>
        <w:rPr>
          <w:rFonts w:asciiTheme="majorHAnsi" w:eastAsia="Times New Roman" w:hAnsiTheme="majorHAnsi" w:cs="Arial"/>
          <w:sz w:val="28"/>
          <w:szCs w:val="28"/>
        </w:rPr>
      </w:pPr>
    </w:p>
    <w:sectPr w:rsidR="00D3441C" w:rsidRPr="004039D3" w:rsidSect="00206393">
      <w:headerReference w:type="default" r:id="rId20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84" w:rsidRDefault="00707884" w:rsidP="00B44258">
      <w:r>
        <w:separator/>
      </w:r>
    </w:p>
  </w:endnote>
  <w:endnote w:type="continuationSeparator" w:id="0">
    <w:p w:rsidR="00707884" w:rsidRDefault="00707884" w:rsidP="00B4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84" w:rsidRDefault="00707884" w:rsidP="00B44258">
      <w:r>
        <w:separator/>
      </w:r>
    </w:p>
  </w:footnote>
  <w:footnote w:type="continuationSeparator" w:id="0">
    <w:p w:rsidR="00707884" w:rsidRDefault="00707884" w:rsidP="00B442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EB0" w:rsidRDefault="00E24EB0">
    <w:pPr>
      <w:pStyle w:val="Header"/>
    </w:pPr>
    <w:r>
      <w:t>DRAFT STATEMENT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3752"/>
    <w:multiLevelType w:val="multilevel"/>
    <w:tmpl w:val="131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0205AD"/>
    <w:multiLevelType w:val="hybridMultilevel"/>
    <w:tmpl w:val="643CD6AC"/>
    <w:lvl w:ilvl="0" w:tplc="B846F73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61BD7"/>
    <w:multiLevelType w:val="hybridMultilevel"/>
    <w:tmpl w:val="DF46215A"/>
    <w:lvl w:ilvl="0" w:tplc="F1421EB2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A29FE"/>
    <w:multiLevelType w:val="multilevel"/>
    <w:tmpl w:val="60A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60"/>
    <w:rsid w:val="00005BC2"/>
    <w:rsid w:val="00020AF9"/>
    <w:rsid w:val="000228FF"/>
    <w:rsid w:val="00022CAB"/>
    <w:rsid w:val="00024FC9"/>
    <w:rsid w:val="000308B2"/>
    <w:rsid w:val="00047842"/>
    <w:rsid w:val="00057E9A"/>
    <w:rsid w:val="00064E49"/>
    <w:rsid w:val="00071E79"/>
    <w:rsid w:val="000E7466"/>
    <w:rsid w:val="000F70D2"/>
    <w:rsid w:val="001065D6"/>
    <w:rsid w:val="0013346A"/>
    <w:rsid w:val="00147D8F"/>
    <w:rsid w:val="001529DB"/>
    <w:rsid w:val="0015677D"/>
    <w:rsid w:val="001653C8"/>
    <w:rsid w:val="00174760"/>
    <w:rsid w:val="00190DBF"/>
    <w:rsid w:val="001B1A9F"/>
    <w:rsid w:val="001C6ED3"/>
    <w:rsid w:val="001D04AE"/>
    <w:rsid w:val="001D2978"/>
    <w:rsid w:val="001E7AB7"/>
    <w:rsid w:val="00206393"/>
    <w:rsid w:val="00210A4C"/>
    <w:rsid w:val="00214F85"/>
    <w:rsid w:val="0022025A"/>
    <w:rsid w:val="00226223"/>
    <w:rsid w:val="0024421A"/>
    <w:rsid w:val="00293474"/>
    <w:rsid w:val="0029508B"/>
    <w:rsid w:val="002B40B4"/>
    <w:rsid w:val="002D213B"/>
    <w:rsid w:val="003074C8"/>
    <w:rsid w:val="003136A1"/>
    <w:rsid w:val="00326189"/>
    <w:rsid w:val="00334B74"/>
    <w:rsid w:val="003557E6"/>
    <w:rsid w:val="003849DD"/>
    <w:rsid w:val="00387C3F"/>
    <w:rsid w:val="00390466"/>
    <w:rsid w:val="003978AB"/>
    <w:rsid w:val="003D1891"/>
    <w:rsid w:val="004039D3"/>
    <w:rsid w:val="00414E49"/>
    <w:rsid w:val="00432A01"/>
    <w:rsid w:val="00435B94"/>
    <w:rsid w:val="00436960"/>
    <w:rsid w:val="00443801"/>
    <w:rsid w:val="0045137A"/>
    <w:rsid w:val="00462B18"/>
    <w:rsid w:val="00471ABF"/>
    <w:rsid w:val="0047489A"/>
    <w:rsid w:val="004850E8"/>
    <w:rsid w:val="004978C3"/>
    <w:rsid w:val="004B6589"/>
    <w:rsid w:val="004F64ED"/>
    <w:rsid w:val="005116C4"/>
    <w:rsid w:val="00533C0A"/>
    <w:rsid w:val="00540B9B"/>
    <w:rsid w:val="00547411"/>
    <w:rsid w:val="00552F8C"/>
    <w:rsid w:val="00564AB3"/>
    <w:rsid w:val="00573DB1"/>
    <w:rsid w:val="00584515"/>
    <w:rsid w:val="005B2F21"/>
    <w:rsid w:val="005B352F"/>
    <w:rsid w:val="005B712B"/>
    <w:rsid w:val="005D49A3"/>
    <w:rsid w:val="005D5973"/>
    <w:rsid w:val="005E6DBC"/>
    <w:rsid w:val="006032B5"/>
    <w:rsid w:val="00603756"/>
    <w:rsid w:val="006118B4"/>
    <w:rsid w:val="00616075"/>
    <w:rsid w:val="00616A32"/>
    <w:rsid w:val="0062211B"/>
    <w:rsid w:val="006275E2"/>
    <w:rsid w:val="006524A8"/>
    <w:rsid w:val="00677B68"/>
    <w:rsid w:val="006A07EB"/>
    <w:rsid w:val="006B27A2"/>
    <w:rsid w:val="006C6AD6"/>
    <w:rsid w:val="006D4D3E"/>
    <w:rsid w:val="006D69FB"/>
    <w:rsid w:val="006F35EC"/>
    <w:rsid w:val="006F682B"/>
    <w:rsid w:val="006F7B94"/>
    <w:rsid w:val="00707884"/>
    <w:rsid w:val="007079AD"/>
    <w:rsid w:val="00713901"/>
    <w:rsid w:val="007306ED"/>
    <w:rsid w:val="00732805"/>
    <w:rsid w:val="0073412E"/>
    <w:rsid w:val="00740A40"/>
    <w:rsid w:val="007668E8"/>
    <w:rsid w:val="0078178D"/>
    <w:rsid w:val="00790A60"/>
    <w:rsid w:val="00794A53"/>
    <w:rsid w:val="007C098B"/>
    <w:rsid w:val="007C414E"/>
    <w:rsid w:val="007C4834"/>
    <w:rsid w:val="007E0EAE"/>
    <w:rsid w:val="007E7DF9"/>
    <w:rsid w:val="008009F3"/>
    <w:rsid w:val="00811B69"/>
    <w:rsid w:val="008142C2"/>
    <w:rsid w:val="008271BB"/>
    <w:rsid w:val="00864538"/>
    <w:rsid w:val="00894A51"/>
    <w:rsid w:val="008A3B0F"/>
    <w:rsid w:val="00903A26"/>
    <w:rsid w:val="0091634A"/>
    <w:rsid w:val="00921213"/>
    <w:rsid w:val="00921297"/>
    <w:rsid w:val="009340D7"/>
    <w:rsid w:val="0095511F"/>
    <w:rsid w:val="00995048"/>
    <w:rsid w:val="009A3A76"/>
    <w:rsid w:val="009D1F9A"/>
    <w:rsid w:val="009D5916"/>
    <w:rsid w:val="009E44EF"/>
    <w:rsid w:val="009F3C2B"/>
    <w:rsid w:val="00A11465"/>
    <w:rsid w:val="00A12BCA"/>
    <w:rsid w:val="00A169A2"/>
    <w:rsid w:val="00A27695"/>
    <w:rsid w:val="00A357A6"/>
    <w:rsid w:val="00A557AD"/>
    <w:rsid w:val="00A87EF0"/>
    <w:rsid w:val="00A91174"/>
    <w:rsid w:val="00AA64BB"/>
    <w:rsid w:val="00AB2A8E"/>
    <w:rsid w:val="00AB4640"/>
    <w:rsid w:val="00AC35DA"/>
    <w:rsid w:val="00B07411"/>
    <w:rsid w:val="00B24E4F"/>
    <w:rsid w:val="00B35B63"/>
    <w:rsid w:val="00B40E16"/>
    <w:rsid w:val="00B44258"/>
    <w:rsid w:val="00B5385F"/>
    <w:rsid w:val="00B5406E"/>
    <w:rsid w:val="00B55F5C"/>
    <w:rsid w:val="00B739D0"/>
    <w:rsid w:val="00B76950"/>
    <w:rsid w:val="00B82E84"/>
    <w:rsid w:val="00BA107A"/>
    <w:rsid w:val="00BA778B"/>
    <w:rsid w:val="00C44F0F"/>
    <w:rsid w:val="00C51879"/>
    <w:rsid w:val="00C5396F"/>
    <w:rsid w:val="00C56630"/>
    <w:rsid w:val="00C61438"/>
    <w:rsid w:val="00C73A9B"/>
    <w:rsid w:val="00C7475B"/>
    <w:rsid w:val="00C76074"/>
    <w:rsid w:val="00C77388"/>
    <w:rsid w:val="00C925A5"/>
    <w:rsid w:val="00C95361"/>
    <w:rsid w:val="00CA3F91"/>
    <w:rsid w:val="00CD0EE9"/>
    <w:rsid w:val="00CE13EA"/>
    <w:rsid w:val="00CE22C0"/>
    <w:rsid w:val="00CF0AFC"/>
    <w:rsid w:val="00D03C06"/>
    <w:rsid w:val="00D15D79"/>
    <w:rsid w:val="00D26C00"/>
    <w:rsid w:val="00D32E69"/>
    <w:rsid w:val="00D3441C"/>
    <w:rsid w:val="00D42BA9"/>
    <w:rsid w:val="00D537CB"/>
    <w:rsid w:val="00D60247"/>
    <w:rsid w:val="00D80AC3"/>
    <w:rsid w:val="00D86B59"/>
    <w:rsid w:val="00DA3BE0"/>
    <w:rsid w:val="00DB262F"/>
    <w:rsid w:val="00DB48C1"/>
    <w:rsid w:val="00E015B0"/>
    <w:rsid w:val="00E1377C"/>
    <w:rsid w:val="00E16C42"/>
    <w:rsid w:val="00E17CB2"/>
    <w:rsid w:val="00E21729"/>
    <w:rsid w:val="00E24EB0"/>
    <w:rsid w:val="00E31F7C"/>
    <w:rsid w:val="00E545CF"/>
    <w:rsid w:val="00E56D50"/>
    <w:rsid w:val="00EB453F"/>
    <w:rsid w:val="00F03694"/>
    <w:rsid w:val="00F25EB7"/>
    <w:rsid w:val="00F315DC"/>
    <w:rsid w:val="00F418B4"/>
    <w:rsid w:val="00F7191C"/>
    <w:rsid w:val="00F842D1"/>
    <w:rsid w:val="00FB74DB"/>
    <w:rsid w:val="00FF2C1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5E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6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9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9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9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75B"/>
    <w:pPr>
      <w:ind w:left="720"/>
      <w:contextualSpacing/>
    </w:pPr>
  </w:style>
  <w:style w:type="paragraph" w:styleId="Revision">
    <w:name w:val="Revision"/>
    <w:hidden/>
    <w:uiPriority w:val="99"/>
    <w:semiHidden/>
    <w:rsid w:val="006F682B"/>
  </w:style>
  <w:style w:type="paragraph" w:styleId="Header">
    <w:name w:val="header"/>
    <w:basedOn w:val="Normal"/>
    <w:link w:val="Head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58"/>
  </w:style>
  <w:style w:type="paragraph" w:styleId="Footer">
    <w:name w:val="footer"/>
    <w:basedOn w:val="Normal"/>
    <w:link w:val="Foot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58"/>
  </w:style>
  <w:style w:type="paragraph" w:styleId="NormalWeb">
    <w:name w:val="Normal (Web)"/>
    <w:basedOn w:val="Normal"/>
    <w:uiPriority w:val="99"/>
    <w:semiHidden/>
    <w:unhideWhenUsed/>
    <w:rsid w:val="00D3441C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96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39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9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9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9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75B"/>
    <w:pPr>
      <w:ind w:left="720"/>
      <w:contextualSpacing/>
    </w:pPr>
  </w:style>
  <w:style w:type="paragraph" w:styleId="Revision">
    <w:name w:val="Revision"/>
    <w:hidden/>
    <w:uiPriority w:val="99"/>
    <w:semiHidden/>
    <w:rsid w:val="006F682B"/>
  </w:style>
  <w:style w:type="paragraph" w:styleId="Header">
    <w:name w:val="header"/>
    <w:basedOn w:val="Normal"/>
    <w:link w:val="Head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258"/>
  </w:style>
  <w:style w:type="paragraph" w:styleId="Footer">
    <w:name w:val="footer"/>
    <w:basedOn w:val="Normal"/>
    <w:link w:val="FooterChar"/>
    <w:uiPriority w:val="99"/>
    <w:unhideWhenUsed/>
    <w:rsid w:val="00B44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258"/>
  </w:style>
  <w:style w:type="paragraph" w:styleId="NormalWeb">
    <w:name w:val="Normal (Web)"/>
    <w:basedOn w:val="Normal"/>
    <w:uiPriority w:val="99"/>
    <w:semiHidden/>
    <w:unhideWhenUsed/>
    <w:rsid w:val="00D344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pages/viewpage.action?pageId=51414991" TargetMode="External"/><Relationship Id="rId20" Type="http://schemas.openxmlformats.org/officeDocument/2006/relationships/header" Target="head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community.icann.org/display/acctcrosscomm/Meetings" TargetMode="External"/><Relationship Id="rId11" Type="http://schemas.openxmlformats.org/officeDocument/2006/relationships/hyperlink" Target="https://www.icann.org/news/announcement-2014-12-17-en" TargetMode="External"/><Relationship Id="rId12" Type="http://schemas.openxmlformats.org/officeDocument/2006/relationships/hyperlink" Target="https://community.icann.org/display/acctcrosscomm/Charter" TargetMode="External"/><Relationship Id="rId13" Type="http://schemas.openxmlformats.org/officeDocument/2006/relationships/hyperlink" Target="https://community.icann.org/category/accountability" TargetMode="External"/><Relationship Id="rId14" Type="http://schemas.openxmlformats.org/officeDocument/2006/relationships/hyperlink" Target="https://community.icann.org/pages/viewpage.action?pageId=50823970" TargetMode="External"/><Relationship Id="rId15" Type="http://schemas.openxmlformats.org/officeDocument/2006/relationships/hyperlink" Target="https://community.icann.org/pages/viewpage.action?pageId=50823968" TargetMode="External"/><Relationship Id="rId16" Type="http://schemas.openxmlformats.org/officeDocument/2006/relationships/hyperlink" Target="https://community.icann.org/pages/viewpage.action?pageId=50823968" TargetMode="External"/><Relationship Id="rId17" Type="http://schemas.openxmlformats.org/officeDocument/2006/relationships/hyperlink" Target="https://community.icann.org/display/acctcrosscomm/Mailing+List+Observers" TargetMode="External"/><Relationship Id="rId18" Type="http://schemas.openxmlformats.org/officeDocument/2006/relationships/hyperlink" Target="https://www.icann.org/news/announcement-2014-12-17-en" TargetMode="External"/><Relationship Id="rId19" Type="http://schemas.openxmlformats.org/officeDocument/2006/relationships/hyperlink" Target="https://community.icann.org/display/acctcrosscomm/Public+Experts+Group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display/acctcrosscomm/CCWG+on+Enhancing+ICANN+Account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Trengrove</dc:creator>
  <cp:lastModifiedBy>Alice Jansen</cp:lastModifiedBy>
  <cp:revision>3</cp:revision>
  <cp:lastPrinted>2015-01-21T17:53:00Z</cp:lastPrinted>
  <dcterms:created xsi:type="dcterms:W3CDTF">2015-01-22T12:57:00Z</dcterms:created>
  <dcterms:modified xsi:type="dcterms:W3CDTF">2015-01-22T12:57:00Z</dcterms:modified>
</cp:coreProperties>
</file>