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after="120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>January 28, 2016</w:t>
      </w:r>
    </w:p>
    <w:p>
      <w:pPr>
        <w:pStyle w:val="BodyText"/>
        <w:spacing w:after="120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>Comments on Review of CCWG-Accountability Draft Annexes 8, 9, 10 and 11</w:t>
      </w:r>
    </w:p>
    <w:tbl>
      <w:tblPr>
        <w:tblStyle w:val="TableGrid"/>
        <w:tblW w:w="0" w:type="auto"/>
        <w:tblLook w:val="04A0"/>
      </w:tblPr>
      <w:tblGrid>
        <w:gridCol w:w="2358"/>
        <w:gridCol w:w="11160"/>
      </w:tblGrid>
      <w:tr>
        <w:trPr>
          <w:tblHeader/>
        </w:trPr>
        <w:tc>
          <w:tcPr>
            <w:tcW w:w="2358" w:type="dxa"/>
            <w:shd w:val="clear" w:color="auto" w:fill="8DB3E2" w:themeFill="text2" w:themeFillTint="66"/>
          </w:tcPr>
          <w:p>
            <w:pPr>
              <w:pStyle w:val="BodyText"/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Draft Annexes</w:t>
            </w:r>
          </w:p>
        </w:tc>
        <w:tc>
          <w:tcPr>
            <w:tcW w:w="11160" w:type="dxa"/>
            <w:shd w:val="clear" w:color="auto" w:fill="8DB3E2" w:themeFill="text2" w:themeFillTint="66"/>
          </w:tcPr>
          <w:p>
            <w:pPr>
              <w:pStyle w:val="BodyText"/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Suggested Edits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Global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“Icann” with “ICANN”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Global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Consider replacing and/or supplementing the sections discussing “Changes from the Second Draft Proposal on Work Stream 1 Recommendations” with sections discussing changes from the Third Draft Proposal (where appropriate)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Global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Consider conforming references to “CWG-Stewardship proposal” and “IANA Stewardship Transition proposal” where appropriate; terms are currently used interchangeably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Global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references to “SOs and ACs” and “SOs/ACs” with “Decisional Participants” as appropriate; “Decisional Participants” (as opposed to “SOs and ACs” or “SOs/ACs”) should be used when referring to the following subset of SOs and ACs that will participate in the Empowered Community:  ASO, GNSO, ccNSO, ALAC and GAC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Global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After a name has been selected for the sole designator unincorporated association, references to “Sole Designator,” “Empowered Community” and “community” will need to be updated as appropriate; the name selected should be the only term used to refer to the sole designator unincorporated association</w:t>
            </w:r>
          </w:p>
        </w:tc>
      </w:tr>
      <w:tr>
        <w:tc>
          <w:tcPr>
            <w:tcW w:w="13518" w:type="dxa"/>
            <w:gridSpan w:val="2"/>
            <w:shd w:val="clear" w:color="auto" w:fill="C6D9F1" w:themeFill="text2" w:themeFillTint="33"/>
          </w:tcPr>
          <w:p>
            <w:pPr>
              <w:pStyle w:val="BodyText"/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Annex 8: Recommendation #8:  Fortifying ICANN’s Request for Reconsideration Process </w:t>
            </w:r>
          </w:p>
          <w:p>
            <w:pPr>
              <w:pStyle w:val="BodyText"/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i/>
                <w:sz w:val="20"/>
                <w:szCs w:val="20"/>
              </w:rPr>
              <w:t>Paragraph numbers refer to the 1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i/>
                <w:sz w:val="20"/>
                <w:szCs w:val="20"/>
              </w:rPr>
              <w:t xml:space="preserve"> reading conclusions draft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Generally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 page numbers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Title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“Recommendation #8: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 xml:space="preserve">Fortifying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Improving </w:t>
            </w:r>
            <w:r>
              <w:rPr>
                <w:rFonts w:cs="Arial"/>
                <w:sz w:val="20"/>
                <w:szCs w:val="20"/>
              </w:rPr>
              <w:t>ICANN’s Request for Reconsideration Process”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sz w:val="20"/>
                <w:szCs w:val="20"/>
              </w:rPr>
              <w:t xml:space="preserve"> reading conclusions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“ii.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•</w:t>
            </w:r>
            <w:r>
              <w:rPr>
                <w:rFonts w:cs="Arial"/>
                <w:sz w:val="20"/>
                <w:szCs w:val="20"/>
              </w:rPr>
              <w:t xml:space="preserve">Concern was raised that the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O</w:t>
            </w:r>
            <w:r>
              <w:rPr>
                <w:rFonts w:cs="Arial"/>
                <w:sz w:val="20"/>
                <w:szCs w:val="20"/>
              </w:rPr>
              <w:t xml:space="preserve">mbudsman…” 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“iii.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•</w:t>
            </w:r>
            <w:r>
              <w:rPr>
                <w:rFonts w:cs="Arial"/>
                <w:sz w:val="20"/>
                <w:szCs w:val="20"/>
              </w:rPr>
              <w:t xml:space="preserve"> There…”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ListParagraph"/>
              <w:tabs>
                <w:tab w:val="left" w:pos="1680"/>
              </w:tabs>
              <w:spacing w:before="120" w:after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“Making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ICANN Board of Directors responsible…”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3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ListParagraph"/>
              <w:tabs>
                <w:tab w:val="left" w:pos="1680"/>
              </w:tabs>
              <w:spacing w:before="120" w:after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“Recordings/transcripts of Board discussion should be posted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at the option of the requestor</w:t>
            </w:r>
            <w:r>
              <w:rPr>
                <w:rFonts w:cs="Arial"/>
                <w:sz w:val="20"/>
                <w:szCs w:val="20"/>
              </w:rPr>
              <w:t>”</w:t>
            </w:r>
          </w:p>
          <w:p>
            <w:pPr>
              <w:pStyle w:val="ListParagraph"/>
              <w:tabs>
                <w:tab w:val="left" w:pos="1680"/>
              </w:tabs>
              <w:spacing w:before="120" w:after="120"/>
              <w:ind w:left="0" w:right="-14"/>
              <w:rPr>
                <w:rFonts w:cs="Arial"/>
                <w:sz w:val="20"/>
                <w:szCs w:val="20"/>
              </w:rPr>
            </w:pPr>
          </w:p>
          <w:p>
            <w:pPr>
              <w:pStyle w:val="ListParagraph"/>
              <w:tabs>
                <w:tab w:val="left" w:pos="1680"/>
              </w:tabs>
              <w:spacing w:before="120" w:after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“A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Provision of 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rebuttal opportunity to the Board Governance Committee’s final recommendation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 before a final decision by the ICANN Board should be provided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Paragraph 5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Narrowing the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The</w:t>
            </w:r>
            <w:r>
              <w:rPr>
                <w:rFonts w:cs="Arial"/>
                <w:sz w:val="20"/>
                <w:szCs w:val="20"/>
              </w:rPr>
              <w:t xml:space="preserve"> grounds for summary dismissal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have been narrowed</w:t>
            </w:r>
            <w:r>
              <w:rPr>
                <w:rFonts w:cs="Arial"/>
                <w:sz w:val="20"/>
                <w:szCs w:val="20"/>
              </w:rPr>
              <w:t>”</w:t>
            </w: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Requiring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The ICANN Board of Directors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 xml:space="preserve">must make </w:t>
            </w:r>
            <w:r>
              <w:rPr>
                <w:rFonts w:cs="Arial"/>
                <w:sz w:val="20"/>
                <w:szCs w:val="20"/>
              </w:rPr>
              <w:t xml:space="preserve">determinations on all requests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to be made by the ICANN Board of Directors </w:t>
            </w:r>
            <w:r>
              <w:rPr>
                <w:rFonts w:cs="Arial"/>
                <w:sz w:val="20"/>
                <w:szCs w:val="20"/>
              </w:rPr>
              <w:t>(rather than a committee handling staff issues)”</w:t>
            </w: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Requiring </w:t>
            </w:r>
            <w:r>
              <w:rPr>
                <w:rFonts w:cs="Arial"/>
                <w:sz w:val="20"/>
                <w:szCs w:val="20"/>
              </w:rPr>
              <w:t xml:space="preserve">ICANN’s Ombudsman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to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should</w:t>
            </w:r>
            <w:r>
              <w:rPr>
                <w:rFonts w:cs="Arial"/>
                <w:sz w:val="20"/>
                <w:szCs w:val="20"/>
              </w:rPr>
              <w:t xml:space="preserve"> make the initial substantive evaluation…”</w:t>
            </w: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Requiring r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 xml:space="preserve">ecordings/transcripts of Board discussion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to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should</w:t>
            </w:r>
            <w:r>
              <w:rPr>
                <w:rFonts w:cs="Arial"/>
                <w:sz w:val="20"/>
                <w:szCs w:val="20"/>
              </w:rPr>
              <w:t xml:space="preserve"> be posted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at the option of the requestor</w:t>
            </w:r>
            <w:r>
              <w:rPr>
                <w:rFonts w:cs="Arial"/>
                <w:sz w:val="20"/>
                <w:szCs w:val="20"/>
              </w:rPr>
              <w:t>”</w:t>
            </w: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Providing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 xml:space="preserve">Provision of </w:t>
            </w:r>
            <w:r>
              <w:rPr>
                <w:rFonts w:cs="Arial"/>
                <w:sz w:val="20"/>
                <w:szCs w:val="20"/>
              </w:rPr>
              <w:t>a rebuttal opportunity to the Board Governance Committee’s final recommendation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 before a final decision by the ICANN Board</w:t>
            </w:r>
            <w:r>
              <w:rPr>
                <w:rFonts w:cs="Arial"/>
                <w:sz w:val="20"/>
                <w:szCs w:val="20"/>
              </w:rPr>
              <w:t>”</w:t>
            </w: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</w:p>
          <w:p>
            <w:pPr>
              <w:pStyle w:val="ListParagraph"/>
              <w:tabs>
                <w:tab w:val="left" w:pos="1680"/>
              </w:tabs>
              <w:spacing w:before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Adding h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 xml:space="preserve">ard deadlines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should be added</w:t>
            </w:r>
            <w:r>
              <w:rPr>
                <w:rFonts w:cs="Arial"/>
                <w:sz w:val="20"/>
                <w:szCs w:val="20"/>
              </w:rPr>
              <w:t xml:space="preserve"> to the process…”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7, Diagram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“BGC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 xml:space="preserve">Determination or </w:t>
            </w:r>
            <w:r>
              <w:rPr>
                <w:rFonts w:cs="Arial"/>
                <w:sz w:val="20"/>
                <w:szCs w:val="20"/>
              </w:rPr>
              <w:t>Recommendation”</w:t>
            </w:r>
          </w:p>
          <w:p>
            <w:pPr>
              <w:pStyle w:val="ListParagraph"/>
              <w:tabs>
                <w:tab w:val="left" w:pos="1680"/>
              </w:tabs>
              <w:spacing w:after="120"/>
              <w:ind w:left="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Consider adding “Rebuttal opportunity” between “BGC Recommendation” and “ICANN Board Action on Recommendation”</w:t>
            </w:r>
          </w:p>
        </w:tc>
      </w:tr>
      <w:tr>
        <w:trPr>
          <w:trHeight w:val="989"/>
        </w:trP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10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Add at the bottom of the paragraph: </w:t>
            </w:r>
          </w:p>
          <w:p>
            <w:pPr>
              <w:pStyle w:val="BodyText"/>
              <w:spacing w:before="120" w:after="120"/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Note: The language proposed in recommendations for ICANN Bylaw revisions are conceptual in nature at this stage. The CCWG-Accountability’s external legal counsel and the ICANN legal team will draft final language for these revisions to the Bylaws.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11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Consider using “re-delegation” instead of “revocation” if those terms refer to the same thing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14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“Broaden the types of decisions that can be re-examined to include Board/staff action/inaction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that contradicts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against</w:t>
            </w:r>
            <w:r>
              <w:rPr>
                <w:rFonts w:cs="Arial"/>
                <w:sz w:val="20"/>
                <w:szCs w:val="20"/>
              </w:rPr>
              <w:t xml:space="preserve"> ICANN’s Mission, Commitments, and/or Core Values…”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“Provide more transparency in the dismissal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and reconsideration </w:t>
            </w:r>
            <w:r>
              <w:rPr>
                <w:rFonts w:cs="Arial"/>
                <w:sz w:val="20"/>
                <w:szCs w:val="20"/>
              </w:rPr>
              <w:t>process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es</w:t>
            </w:r>
            <w:r>
              <w:rPr>
                <w:rFonts w:cs="Arial"/>
                <w:sz w:val="20"/>
                <w:szCs w:val="20"/>
              </w:rPr>
              <w:t>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“Provide the Board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Governance Committee</w:t>
            </w:r>
            <w:r>
              <w:rPr>
                <w:rFonts w:cs="Arial"/>
                <w:sz w:val="20"/>
                <w:szCs w:val="20"/>
              </w:rPr>
              <w:t xml:space="preserve"> with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reasonable right to dismiss frivolous requests…”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“Propose to amend paragraph nine on BGC summary dismissal as follows:</w:t>
            </w:r>
          </w:p>
          <w:p>
            <w:pPr>
              <w:pStyle w:val="BodyText"/>
              <w:numPr>
                <w:ilvl w:val="0"/>
                <w:numId w:val="21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Board Governance Committee … if: (i) the requestor fails to meet the requirements for bringing a Reconsideration Request;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 or </w:t>
            </w:r>
            <w:r>
              <w:rPr>
                <w:rFonts w:cs="Arial"/>
                <w:sz w:val="20"/>
                <w:szCs w:val="20"/>
              </w:rPr>
              <w:t xml:space="preserve"> (ii) it is frivolous </w:t>
            </w:r>
            <w:r>
              <w:rPr>
                <w:rFonts w:cs="Arial"/>
                <w:strike/>
                <w:sz w:val="20"/>
                <w:szCs w:val="20"/>
              </w:rPr>
              <w:t>querulous or vexatious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.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: or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Paragraph 16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“…need to rely less on the ICANN legal department (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which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who</w:t>
            </w:r>
            <w:r>
              <w:rPr>
                <w:rFonts w:cs="Arial"/>
                <w:sz w:val="20"/>
                <w:szCs w:val="20"/>
              </w:rPr>
              <w:t xml:space="preserve"> holds a strong legal obligation…”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17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“Requests should no longer go to ICANN’s lawyers (in-house or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external legal counsel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out-house</w:t>
            </w:r>
            <w:r>
              <w:rPr>
                <w:rFonts w:cs="Arial"/>
                <w:sz w:val="20"/>
                <w:szCs w:val="20"/>
              </w:rPr>
              <w:t>)…”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“…current practice of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using </w:t>
            </w:r>
            <w:r>
              <w:rPr>
                <w:rFonts w:cs="Arial"/>
                <w:sz w:val="20"/>
                <w:szCs w:val="20"/>
              </w:rPr>
              <w:t>ICANN’s lawyers to aid the BGC…”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18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“All final determinations of Requests for Reconsideration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(other than requests that have been summarily dismissed by the BGC as discussed above)</w:t>
            </w:r>
            <w:r>
              <w:rPr>
                <w:rFonts w:cs="Arial"/>
                <w:sz w:val="20"/>
                <w:szCs w:val="20"/>
              </w:rPr>
              <w:t xml:space="preserve"> are to be made by the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entire</w:t>
            </w:r>
            <w:r>
              <w:rPr>
                <w:rFonts w:cs="Arial"/>
                <w:sz w:val="20"/>
                <w:szCs w:val="20"/>
              </w:rPr>
              <w:t xml:space="preserve"> ICANN Board (not only requests about Board actions as is the current practice)”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22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“Recordings and transcripts should be posted of the substantive Board discussions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at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on</w:t>
            </w:r>
            <w:r>
              <w:rPr>
                <w:rFonts w:cs="Arial"/>
                <w:sz w:val="20"/>
                <w:szCs w:val="20"/>
              </w:rPr>
              <w:t xml:space="preserve"> the option of the requestor.”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23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“A rebuttal opportunity to the BGC’s final recommendation (although request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o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rs…”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25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“…</w:t>
            </w:r>
            <w:r>
              <w:rPr>
                <w:rFonts w:cs="Arial"/>
                <w:i/>
                <w:sz w:val="20"/>
                <w:szCs w:val="20"/>
              </w:rPr>
              <w:t>The Board Governance Committee (BGC) shall make a final</w:t>
            </w:r>
            <w:r>
              <w:rPr>
                <w:rFonts w:cs="Arial"/>
                <w:i/>
                <w:strike/>
                <w:color w:val="FF0000"/>
                <w:sz w:val="20"/>
                <w:szCs w:val="20"/>
              </w:rPr>
              <w:t xml:space="preserve"> determination or a</w:t>
            </w:r>
            <w:r>
              <w:rPr>
                <w:rFonts w:cs="Arial"/>
                <w:i/>
                <w:sz w:val="20"/>
                <w:szCs w:val="20"/>
              </w:rPr>
              <w:t xml:space="preserve"> recommendation…and its best estimate of the time required to produce such a final</w:t>
            </w:r>
            <w:r>
              <w:rPr>
                <w:rFonts w:cs="Arial"/>
                <w:i/>
                <w:strike/>
                <w:color w:val="FF0000"/>
                <w:sz w:val="20"/>
                <w:szCs w:val="20"/>
              </w:rPr>
              <w:t xml:space="preserve"> determination or</w:t>
            </w:r>
            <w:r>
              <w:rPr>
                <w:rFonts w:cs="Arial"/>
                <w:i/>
                <w:sz w:val="20"/>
                <w:szCs w:val="20"/>
              </w:rPr>
              <w:t xml:space="preserve"> recommendation… The final decision of the Board and its rational</w:t>
            </w:r>
            <w:r>
              <w:rPr>
                <w:rFonts w:asciiTheme="minorHAnsi" w:hAnsiTheme="minorHAnsi" w:cstheme="minorHAnsi"/>
                <w:i/>
                <w:color w:val="0070C0"/>
                <w:sz w:val="20"/>
                <w:szCs w:val="20"/>
                <w:u w:val="double" w:color="0000FF"/>
              </w:rPr>
              <w:t>e</w:t>
            </w:r>
            <w:r>
              <w:rPr>
                <w:rFonts w:cs="Arial"/>
                <w:i/>
                <w:sz w:val="20"/>
                <w:szCs w:val="20"/>
              </w:rPr>
              <w:t xml:space="preserve"> shall</w:t>
            </w:r>
            <w:r>
              <w:rPr>
                <w:rFonts w:cs="Arial"/>
                <w:sz w:val="20"/>
                <w:szCs w:val="20"/>
              </w:rPr>
              <w:t>…”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“…</w:t>
            </w:r>
            <w:r>
              <w:rPr>
                <w:rFonts w:cs="Arial"/>
                <w:i/>
                <w:sz w:val="20"/>
                <w:szCs w:val="20"/>
              </w:rPr>
              <w:t xml:space="preserve">In any event, the Board’s final decision shall be made within 120 days of receipt of the request. The final </w:t>
            </w:r>
            <w:r>
              <w:rPr>
                <w:rFonts w:asciiTheme="minorHAnsi" w:hAnsiTheme="minorHAnsi" w:cstheme="minorHAnsi"/>
                <w:i/>
                <w:color w:val="0070C0"/>
                <w:sz w:val="20"/>
                <w:szCs w:val="20"/>
                <w:u w:val="double" w:color="0000FF"/>
              </w:rPr>
              <w:t>decision</w:t>
            </w:r>
            <w:r>
              <w:rPr>
                <w:rFonts w:cs="Arial"/>
                <w:i/>
                <w:strike/>
                <w:color w:val="FF0000"/>
                <w:sz w:val="20"/>
                <w:szCs w:val="20"/>
              </w:rPr>
              <w:t>recommendation</w:t>
            </w:r>
            <w:r>
              <w:rPr>
                <w:rFonts w:cs="Arial"/>
                <w:i/>
                <w:sz w:val="20"/>
                <w:szCs w:val="20"/>
              </w:rPr>
              <w:t xml:space="preserve"> shall be promptly posted on ICANN's website. </w:t>
            </w:r>
            <w:r>
              <w:rPr>
                <w:rFonts w:cs="Arial"/>
                <w:i/>
                <w:strike/>
                <w:color w:val="FF0000"/>
                <w:sz w:val="20"/>
                <w:szCs w:val="20"/>
              </w:rPr>
              <w:t>In any event, the Board’s final decision shall be made within 120 days of decision on the recommendation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trike/>
                <w:color w:val="FF0000"/>
                <w:sz w:val="20"/>
                <w:szCs w:val="20"/>
              </w:rPr>
              <w:t>is final</w:t>
            </w:r>
            <w:r>
              <w:rPr>
                <w:rFonts w:cs="Arial"/>
                <w:i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27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“…extended from 15 to 30 days from when the requestor learns of the decision/inaction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, except as otherwise described below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28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“Amend paragraph five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so that it reads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as follows</w:t>
            </w:r>
            <w:r>
              <w:rPr>
                <w:rFonts w:cs="Arial"/>
                <w:sz w:val="20"/>
                <w:szCs w:val="20"/>
              </w:rPr>
              <w:t>…”; alternatively, revise to indicate the changes that are being made to paragraph five of Article IV, Section 2 of the Bylaws (similar to how amendments are presented in Paragraphs 10 and 19)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Paragraphs 39, 40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“…the operational functioning of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organization.”</w:t>
            </w:r>
          </w:p>
        </w:tc>
      </w:tr>
      <w:tr>
        <w:tc>
          <w:tcPr>
            <w:tcW w:w="13518" w:type="dxa"/>
            <w:gridSpan w:val="2"/>
            <w:shd w:val="clear" w:color="auto" w:fill="C6D9F1" w:themeFill="text2" w:themeFillTint="33"/>
          </w:tcPr>
          <w:p>
            <w:pPr>
              <w:pStyle w:val="BodyText"/>
              <w:keepNext/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Annex 9: Recommendation #9:  Incorporation of the Affirmation of Commitments </w:t>
            </w:r>
          </w:p>
          <w:p>
            <w:pPr>
              <w:pStyle w:val="BodyText"/>
              <w:keepNext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i/>
                <w:sz w:val="20"/>
                <w:szCs w:val="20"/>
              </w:rPr>
              <w:t>Paragraph numbers refer to the 1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i/>
                <w:sz w:val="20"/>
                <w:szCs w:val="20"/>
              </w:rPr>
              <w:t xml:space="preserve"> reading conclusions draft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keepNext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Generally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>
            <w:pPr>
              <w:pStyle w:val="BodyText"/>
              <w:keepNext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 page numbers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Generally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ind w:left="720" w:hanging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“Review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</w:t>
            </w:r>
            <w:r>
              <w:rPr>
                <w:rFonts w:cs="Arial"/>
                <w:sz w:val="20"/>
                <w:szCs w:val="20"/>
              </w:rPr>
              <w:t>eam”</w:t>
            </w:r>
          </w:p>
          <w:p>
            <w:pPr>
              <w:pStyle w:val="BodyText"/>
              <w:spacing w:before="120" w:after="120"/>
              <w:ind w:left="720" w:hanging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R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 xml:space="preserve">eview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</w:t>
            </w:r>
            <w:r>
              <w:rPr>
                <w:rFonts w:cs="Arial"/>
                <w:sz w:val="20"/>
                <w:szCs w:val="20"/>
              </w:rPr>
              <w:t>eam”</w:t>
            </w:r>
          </w:p>
          <w:p>
            <w:pPr>
              <w:pStyle w:val="BodyText"/>
              <w:spacing w:before="120" w:after="120"/>
              <w:ind w:left="720" w:hanging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“periodic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r</w:t>
            </w:r>
            <w:r>
              <w:rPr>
                <w:rFonts w:cs="Arial"/>
                <w:sz w:val="20"/>
                <w:szCs w:val="20"/>
              </w:rPr>
              <w:t xml:space="preserve">eview” </w:t>
            </w:r>
          </w:p>
          <w:p>
            <w:pPr>
              <w:pStyle w:val="BodyText"/>
              <w:spacing w:before="120" w:after="120"/>
              <w:ind w:left="720" w:hanging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“a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r</w:t>
            </w:r>
            <w:r>
              <w:rPr>
                <w:rFonts w:cs="Arial"/>
                <w:sz w:val="20"/>
                <w:szCs w:val="20"/>
              </w:rPr>
              <w:t>eview of”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Generally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R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 xml:space="preserve">ecommendation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#</w:t>
            </w:r>
            <w:r>
              <w:rPr>
                <w:rFonts w:cs="Arial"/>
                <w:sz w:val="20"/>
                <w:szCs w:val="20"/>
              </w:rPr>
              <w:t>9”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Generally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</w:t>
            </w:r>
            <w:r>
              <w:rPr>
                <w:rFonts w:cs="Arial"/>
                <w:sz w:val="20"/>
                <w:szCs w:val="20"/>
              </w:rPr>
              <w:t xml:space="preserve"> ICANN Bylaws” 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Generally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“A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o</w:t>
            </w:r>
            <w:r>
              <w:rPr>
                <w:rFonts w:cs="Arial"/>
                <w:sz w:val="20"/>
                <w:szCs w:val="20"/>
              </w:rPr>
              <w:t>C”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Title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“Recommendation #9: Incorporati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ng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on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of</w:t>
            </w:r>
            <w:r>
              <w:rPr>
                <w:rFonts w:cs="Arial"/>
                <w:sz w:val="20"/>
                <w:szCs w:val="20"/>
              </w:rPr>
              <w:t xml:space="preserve"> the Affirmation of Commitments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in ICANN’s Bylaws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sz w:val="20"/>
                <w:szCs w:val="20"/>
              </w:rPr>
              <w:t xml:space="preserve"> reading conclusions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“The Compet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it</w:t>
            </w:r>
            <w:r>
              <w:rPr>
                <w:rFonts w:cs="Arial"/>
                <w:sz w:val="20"/>
                <w:szCs w:val="20"/>
              </w:rPr>
              <w:t>ion, Consumer Trust…”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“7. Article XVIII of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</w:t>
            </w:r>
            <w:r>
              <w:rPr>
                <w:rFonts w:cs="Arial"/>
                <w:sz w:val="20"/>
                <w:szCs w:val="20"/>
              </w:rPr>
              <w:t xml:space="preserve"> ICANN Bylaws should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be classified as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remain</w:t>
            </w:r>
            <w:r>
              <w:rPr>
                <w:rFonts w:cs="Arial"/>
                <w:sz w:val="20"/>
                <w:szCs w:val="20"/>
              </w:rPr>
              <w:t xml:space="preserve"> a Standard Bylaw (see paragraph 5)”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Paragraphs 3, 8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“…used as guidance by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 xml:space="preserve">community,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ICANN</w:t>
            </w:r>
            <w:r>
              <w:rPr>
                <w:rFonts w:cs="Arial"/>
                <w:sz w:val="20"/>
                <w:szCs w:val="20"/>
              </w:rPr>
              <w:t xml:space="preserve"> staff and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Board in conducting future reviews”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5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“ICANN Article XVIII is to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be classified as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remain</w:t>
            </w:r>
            <w:r>
              <w:rPr>
                <w:rFonts w:cs="Arial"/>
                <w:sz w:val="20"/>
                <w:szCs w:val="20"/>
              </w:rPr>
              <w:t xml:space="preserve"> a Standard Bylaw and not to be moved into the Core Values section with material derived from Affirmation of Commitments sections 8a and 8b.”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9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“A section related to the IANA Function Review and Special IANA Function Review will fit into these new sections of the Bylaws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 and will be classified as Fundamental Bylaws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10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“ICANN or NTIA choose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to terminate . . .”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17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“…empower the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Empowered Community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community</w:t>
            </w:r>
            <w:r>
              <w:rPr>
                <w:rFonts w:cs="Arial"/>
                <w:sz w:val="20"/>
                <w:szCs w:val="20"/>
              </w:rPr>
              <w:t xml:space="preserve"> to veto…”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18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“If any of the AoC commitments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or review processes </w:t>
            </w:r>
            <w:r>
              <w:rPr>
                <w:rFonts w:cs="Arial"/>
                <w:sz w:val="20"/>
                <w:szCs w:val="20"/>
              </w:rPr>
              <w:t xml:space="preserve">were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classified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 xml:space="preserve">designated </w:t>
            </w:r>
            <w:r>
              <w:rPr>
                <w:rFonts w:cs="Arial"/>
                <w:sz w:val="20"/>
                <w:szCs w:val="20"/>
              </w:rPr>
              <w:t>as Fundamental Bylaws…”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24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Delete footnote 2 (currently blank)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25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“…independent legal counsel advised that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</w:t>
            </w:r>
            <w:r>
              <w:rPr>
                <w:rFonts w:cs="Arial"/>
                <w:sz w:val="20"/>
                <w:szCs w:val="20"/>
              </w:rPr>
              <w:t xml:space="preserve"> ICANN Bylaws could not require…”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Should the sentence at the end of this paragraph (“In Bylaws Article IV...”) be moved up to paragraph 24 and added to the list of bullet points? 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26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Move the Note from Paragraph 132 to Paragraph 26 below the section title and before the chart, with the marked deletion:</w:t>
            </w:r>
          </w:p>
          <w:p>
            <w:pPr>
              <w:pStyle w:val="BodyText"/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“</w:t>
            </w:r>
            <w:r>
              <w:rPr>
                <w:rFonts w:cs="Arial"/>
                <w:b/>
                <w:sz w:val="20"/>
                <w:szCs w:val="20"/>
              </w:rPr>
              <w:t>Recommended Changes to ICANN Bylaws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0"/>
                <w:szCs w:val="20"/>
                <w:u w:val="double" w:color="0000FF"/>
              </w:rPr>
              <w:t>Note: Legal counsel has not reviewed the proposed Bylaw revisions at this stage. The proposed language for Bylaw revisions is conceptual in nature; once there is consensus about direction, legal counsel will need time to draft appropriate proposed language for revisions to the Articles of Incorporation and Bylaws</w:t>
            </w:r>
            <w:r>
              <w:rPr>
                <w:i/>
                <w:color w:val="0066FF"/>
                <w:sz w:val="20"/>
                <w:szCs w:val="20"/>
                <w:u w:val="single"/>
              </w:rPr>
              <w:t>.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Paragraph 45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period with colon: “Proposed requirement for annual report, to be included in Bylaws section on required reviews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: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49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“…technical M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ission…”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Lead-in before Paragraph 51 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</w:t>
            </w:r>
            <w:r>
              <w:rPr>
                <w:color w:val="0066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Bylaws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will</w:t>
            </w:r>
            <w:r>
              <w:rPr>
                <w:color w:val="0066FF"/>
                <w:sz w:val="20"/>
                <w:szCs w:val="20"/>
              </w:rPr>
              <w:t xml:space="preserve"> </w:t>
            </w:r>
            <w:r>
              <w:rPr>
                <w:strike/>
                <w:color w:val="FF0000"/>
                <w:sz w:val="20"/>
                <w:szCs w:val="20"/>
              </w:rPr>
              <w:t>to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provide a framework for all periodic reviews</w:t>
            </w:r>
            <w:r>
              <w:rPr>
                <w:strike/>
                <w:color w:val="FF0000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 left-hand column of the following chart shows proposed Bylaws language for periodic reviews (subject to revision by legal counsel during actual drafting), with comments on the right.</w:t>
            </w:r>
            <w:r>
              <w:rPr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57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period with comma:  “In this case</w:t>
            </w:r>
            <w:r>
              <w:rPr>
                <w:strike/>
                <w:color w:val="FF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,</w:t>
            </w:r>
            <w:r>
              <w:rPr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60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“This was not stated in the Affirmation of Commitments, but experts have been appointed to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advise </w:t>
            </w:r>
            <w:r>
              <w:rPr>
                <w:rFonts w:cs="Arial"/>
                <w:sz w:val="20"/>
                <w:szCs w:val="20"/>
              </w:rPr>
              <w:t>some Affirmation of Commitments Review Teams.”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62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“A recommendation to amend or terminate an existing review would be subject to public comment, and the community would have power to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 reject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block</w:t>
            </w:r>
            <w:r>
              <w:rPr>
                <w:rFonts w:cs="Arial"/>
                <w:sz w:val="20"/>
                <w:szCs w:val="20"/>
              </w:rPr>
              <w:t xml:space="preserve"> a change to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Standard </w:t>
            </w:r>
            <w:r>
              <w:rPr>
                <w:rFonts w:cs="Arial"/>
                <w:sz w:val="20"/>
                <w:szCs w:val="20"/>
              </w:rPr>
              <w:t xml:space="preserve">Bylaws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and approve a change to Fundamental Bylaws</w:t>
            </w:r>
            <w:r>
              <w:rPr>
                <w:rFonts w:cs="Arial"/>
                <w:sz w:val="20"/>
                <w:szCs w:val="20"/>
              </w:rPr>
              <w:t>.”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76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Within six months of receipt of a recommendation, the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color w:val="FF0000"/>
                <w:sz w:val="20"/>
                <w:szCs w:val="20"/>
              </w:rPr>
              <w:t>The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Board shall consider approval and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promptly either</w:t>
            </w:r>
            <w:r>
              <w:rPr>
                <w:color w:val="0066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begin implementation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or publish a written explanation for why the recommendation was not approved </w:t>
            </w:r>
            <w:r>
              <w:rPr>
                <w:strike/>
                <w:color w:val="FF0000"/>
                <w:sz w:val="20"/>
                <w:szCs w:val="20"/>
              </w:rPr>
              <w:t>within six months of receipt of the recommendations</w:t>
            </w:r>
            <w:r>
              <w:rPr>
                <w:sz w:val="20"/>
                <w:szCs w:val="20"/>
              </w:rPr>
              <w:t>.”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Paragraphs 87-89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“(d) assessing the extent to which ICANN’s decisions are embraced, supported, and accepted by the public and the Internet community;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and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(e) assessing the policy development process to facilitate enhanced cross community deliberations, and effective and timely policy development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 ; and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(f) assessing and improving the Independent Review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P</w:t>
            </w:r>
            <w:r>
              <w:rPr>
                <w:rFonts w:cs="Arial"/>
                <w:sz w:val="20"/>
                <w:szCs w:val="20"/>
              </w:rPr>
              <w:t>rocess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.</w:t>
            </w:r>
            <w:r>
              <w:rPr>
                <w:rFonts w:cs="Arial"/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94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“A recommendation to amend or terminate an existing review would be subject to public comment. And the subsequent Bylaws change would be subject to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 escalation and enforcement processes described in Recommendation #4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IRP challenge</w:t>
            </w:r>
            <w:r>
              <w:rPr>
                <w:rFonts w:cs="Arial"/>
                <w:sz w:val="20"/>
                <w:szCs w:val="20"/>
              </w:rPr>
              <w:t>.”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105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Consider clarifying the meaning of “maintaining clear processes”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Paragraphs 107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 the right-hand column of the chart, replace “Proposed revisions to ICANN Mission” with </w:t>
            </w:r>
            <w:r>
              <w:rPr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 new ICANN Mission Statement will include the following revision to reflect the incorporation of this AoC review into the Bylaws:</w:t>
            </w:r>
            <w:r>
              <w:rPr>
                <w:sz w:val="20"/>
                <w:szCs w:val="20"/>
              </w:rPr>
              <w:t>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132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“…once there is consensus about direction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developed through this comment process</w:t>
            </w:r>
            <w:r>
              <w:rPr>
                <w:rFonts w:cs="Arial"/>
                <w:sz w:val="20"/>
                <w:szCs w:val="20"/>
              </w:rPr>
              <w:t>…”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Move the “Note” to Paragraph 26 (below the section title) where the proposed bylaws begin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Paragraphs 133-169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 introductory text to provide context to this table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170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“Following community feedback received during the Second Public Comment Period, the CCWG-Accountability is recommending that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 location of ICANN’s principal office under</w:t>
            </w:r>
            <w:r>
              <w:rPr>
                <w:color w:val="0066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Section 8b of the Affirmation of Commitments, which is reflected in the existing content of ICANN Bylaws </w:t>
            </w:r>
            <w:r>
              <w:rPr>
                <w:rFonts w:cs="Arial"/>
                <w:sz w:val="20"/>
                <w:szCs w:val="20"/>
              </w:rPr>
              <w:t xml:space="preserve">Article XVIII, not be made a Fundamental Bylaw, but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be classified as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remains</w:t>
            </w:r>
            <w:r>
              <w:rPr>
                <w:rFonts w:cs="Arial"/>
                <w:sz w:val="20"/>
                <w:szCs w:val="20"/>
              </w:rPr>
              <w:t xml:space="preserve"> a Standard Bylaw”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173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“the Second Draft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Proposal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Report</w:t>
            </w:r>
            <w:r>
              <w:rPr>
                <w:rFonts w:cs="Arial"/>
                <w:sz w:val="20"/>
                <w:szCs w:val="20"/>
              </w:rPr>
              <w:t>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175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“…table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;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 ,</w:t>
            </w:r>
            <w:r>
              <w:rPr>
                <w:rFonts w:cs="Arial"/>
                <w:sz w:val="20"/>
                <w:szCs w:val="20"/>
              </w:rPr>
              <w:t xml:space="preserve"> however, to ensure that… in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contract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contrast</w:t>
            </w:r>
            <w:r>
              <w:rPr>
                <w:rFonts w:cs="Arial"/>
                <w:sz w:val="20"/>
                <w:szCs w:val="20"/>
              </w:rPr>
              <w:t>, the Board’s proposed text for that section could have resulted in six or seven years between reviews.”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177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“The CWG-Stewardship has proposed an IFR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and Special IFR</w:t>
            </w:r>
            <w:r>
              <w:rPr>
                <w:rFonts w:cs="Arial"/>
                <w:sz w:val="20"/>
                <w:szCs w:val="20"/>
              </w:rPr>
              <w:t xml:space="preserve"> that should be added to the ICANN Bylaws, as a Fundamental Bylaw.”</w:t>
            </w:r>
          </w:p>
        </w:tc>
      </w:tr>
      <w:tr>
        <w:tc>
          <w:tcPr>
            <w:tcW w:w="13518" w:type="dxa"/>
            <w:gridSpan w:val="2"/>
            <w:shd w:val="clear" w:color="auto" w:fill="C6D9F1" w:themeFill="text2" w:themeFillTint="33"/>
          </w:tcPr>
          <w:p>
            <w:pPr>
              <w:pStyle w:val="BodyText"/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Annex 10: Recommendation #10:  Enhancing the Accountability of  Supporting Organizations and Advisory Committees 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i/>
                <w:sz w:val="20"/>
                <w:szCs w:val="20"/>
              </w:rPr>
              <w:t>Paragraph numbers refer to the 1st reading conclusions draft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Generally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“with regard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to”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sz w:val="20"/>
                <w:szCs w:val="20"/>
              </w:rPr>
              <w:t xml:space="preserve"> reading conclusions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Delete the spaces before colons “:” 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 1.a.ii: “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ny structural…” 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 3.a.i-iv, delete bullets “•” 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Delete 3.a.iii (which is blank; unclear whether the text in the “Moved up” bubble is intended to form part of the text) and change 3.a.iv to 3.a.iii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 3.a.iv: “…and applying the Independent Review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P</w:t>
            </w:r>
            <w:r>
              <w:rPr>
                <w:rFonts w:cs="Arial"/>
                <w:sz w:val="20"/>
                <w:szCs w:val="20"/>
              </w:rPr>
              <w:t>rocess…”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3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“. . . include consideration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of</w:t>
            </w:r>
            <w:r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on</w:t>
            </w:r>
            <w:r>
              <w:rPr>
                <w:rFonts w:cs="Arial"/>
                <w:sz w:val="20"/>
                <w:szCs w:val="20"/>
              </w:rPr>
              <w:t xml:space="preserve"> the mechanisms . . ."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Paragraph 9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Delete space: “…the CCWG-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Accountability will discuss…”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10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“To avoid an infinite loop, it was suggested that the Supporting Organizations and Advisory Committees should be subject to an IRP when their actions/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inactions violate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go against</w:t>
            </w:r>
            <w:r>
              <w:rPr>
                <w:rFonts w:cs="Arial"/>
                <w:sz w:val="20"/>
                <w:szCs w:val="20"/>
              </w:rPr>
              <w:t xml:space="preserve"> the ICANN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Articles of Incorporation or </w:t>
            </w:r>
            <w:r>
              <w:rPr>
                <w:rFonts w:cs="Arial"/>
                <w:sz w:val="20"/>
                <w:szCs w:val="20"/>
              </w:rPr>
              <w:t>Bylaws.”</w:t>
            </w:r>
          </w:p>
        </w:tc>
      </w:tr>
      <w:tr>
        <w:tc>
          <w:tcPr>
            <w:tcW w:w="235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11</w:t>
            </w:r>
          </w:p>
        </w:tc>
        <w:tc>
          <w:tcPr>
            <w:tcW w:w="111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“…SO and AC accountability in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 Second Draft Proposal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Draft Two</w:t>
            </w:r>
            <w:r>
              <w:rPr>
                <w:rFonts w:cs="Arial"/>
                <w:sz w:val="20"/>
                <w:szCs w:val="20"/>
              </w:rPr>
              <w:t>…”</w:t>
            </w:r>
          </w:p>
        </w:tc>
      </w:tr>
      <w:tr>
        <w:tc>
          <w:tcPr>
            <w:tcW w:w="13518" w:type="dxa"/>
            <w:gridSpan w:val="2"/>
            <w:shd w:val="clear" w:color="auto" w:fill="C6D9F1" w:themeFill="text2" w:themeFillTint="33"/>
          </w:tcPr>
          <w:p>
            <w:pPr>
              <w:pStyle w:val="BodyText"/>
              <w:keepNext/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Annex 11: Recommendation #11: Board Obligations with Regard to Governmental Advisory Committee Advice</w:t>
            </w:r>
          </w:p>
          <w:p>
            <w:pPr>
              <w:pStyle w:val="BodyText"/>
              <w:keepNext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i/>
                <w:sz w:val="20"/>
                <w:szCs w:val="20"/>
              </w:rPr>
              <w:t>Paragraph numbers refer to the 1st reading conclusions draft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keepNext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Title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keepNext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“Board Obligations with Regard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to…”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sz w:val="20"/>
                <w:szCs w:val="20"/>
              </w:rPr>
              <w:t xml:space="preserve"> reading conclusions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note that the following part of conclusion #5 is not reflected in the content of the latest draft: “The Board should determine whether the rationale is adequate.”   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note that conclusion #6 is not reflected in the content of the latest draft.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1st reading conclusions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“Replace “board” with “Board”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“for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 xml:space="preserve">ICANN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B</w:t>
            </w:r>
            <w:r>
              <w:rPr>
                <w:rFonts w:cs="Arial"/>
                <w:sz w:val="20"/>
                <w:szCs w:val="20"/>
              </w:rPr>
              <w:t>oard”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“GAC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</w:t>
            </w:r>
            <w:r>
              <w:rPr>
                <w:rFonts w:cs="Arial"/>
                <w:sz w:val="20"/>
                <w:szCs w:val="20"/>
              </w:rPr>
              <w:t>dvice”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</w:t>
            </w:r>
            <w:r>
              <w:rPr>
                <w:color w:val="000000" w:themeColor="text1"/>
                <w:sz w:val="20"/>
                <w:szCs w:val="20"/>
              </w:rPr>
              <w:t>To address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>
              <w:rPr>
                <w:strike/>
                <w:color w:val="FF0000"/>
                <w:sz w:val="20"/>
                <w:szCs w:val="20"/>
              </w:rPr>
              <w:t>the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concern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s regarding</w:t>
            </w:r>
            <w:r>
              <w:rPr>
                <w:strike/>
                <w:color w:val="FF0000"/>
                <w:sz w:val="20"/>
                <w:szCs w:val="20"/>
              </w:rPr>
              <w:t xml:space="preserve">of </w:t>
            </w:r>
            <w:r>
              <w:rPr>
                <w:color w:val="1F497D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GAC advice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that is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inconsistent with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the B</w:t>
            </w:r>
            <w:r>
              <w:rPr>
                <w:color w:val="000000" w:themeColor="text1"/>
                <w:sz w:val="20"/>
                <w:szCs w:val="20"/>
              </w:rPr>
              <w:t>ylaws…”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“Any aggrieved party or the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mpowered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C</w:t>
            </w:r>
            <w:r>
              <w:rPr>
                <w:rFonts w:cs="Arial"/>
                <w:sz w:val="20"/>
                <w:szCs w:val="20"/>
              </w:rPr>
              <w:t xml:space="preserve">ommunity will have standing to bring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claims through the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an</w:t>
            </w:r>
            <w:r>
              <w:rPr>
                <w:rFonts w:cs="Arial"/>
                <w:sz w:val="20"/>
                <w:szCs w:val="20"/>
              </w:rPr>
              <w:t xml:space="preserve"> IRP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that the Board acted (or failed to act) in a manner inconsistent with the ICANN Articles of Incorporation or Bylaws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to challenge whether any board action or inaction that is inconsistent with its bylaws</w:t>
            </w:r>
            <w:r>
              <w:rPr>
                <w:rFonts w:cs="Arial"/>
                <w:sz w:val="20"/>
                <w:szCs w:val="20"/>
              </w:rPr>
              <w:t>…”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2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“Stress Test 18 considers a scenario where ICANN’s GAC would amend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its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their</w:t>
            </w:r>
            <w:r>
              <w:rPr>
                <w:rFonts w:cs="Arial"/>
                <w:sz w:val="20"/>
                <w:szCs w:val="20"/>
              </w:rPr>
              <w:t xml:space="preserve"> operating procedures…”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“…Empowered Community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;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 xml:space="preserve"> ,</w:t>
            </w:r>
            <w:r>
              <w:rPr>
                <w:rFonts w:cs="Arial"/>
                <w:sz w:val="20"/>
                <w:szCs w:val="20"/>
              </w:rPr>
              <w:t xml:space="preserve"> some stakeholders…”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4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are not providing detailed edits at this time; we understand this language is still under discussion.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Revise to indicate the changes that are being made to Article XI, Section 2(j) of the Bylaws (i.e., underline new additions)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6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Consider making the second bullet point (“The language proposed…”) a new paragraph in this section (that would not be a “Note” as it </w:t>
            </w:r>
            <w:r>
              <w:rPr>
                <w:rFonts w:cs="Arial"/>
                <w:sz w:val="20"/>
                <w:szCs w:val="20"/>
              </w:rPr>
              <w:lastRenderedPageBreak/>
              <w:t>is in Paragraph 6)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Paragraph 8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“Stress Test 18 is related to a scenario where ICANN’s GAC would amend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its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their</w:t>
            </w:r>
            <w:r>
              <w:rPr>
                <w:rFonts w:cs="Arial"/>
                <w:sz w:val="20"/>
                <w:szCs w:val="20"/>
              </w:rPr>
              <w:t xml:space="preserve"> operating procedures…”</w:t>
            </w:r>
          </w:p>
          <w:p>
            <w:pPr>
              <w:pStyle w:val="BodyText"/>
              <w:spacing w:before="120" w:after="12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“In addition, if the GAC lowered its decision threshold while also participating in the new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Empowered C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 xml:space="preserve">ommunity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mechanism</w:t>
            </w:r>
            <w:r>
              <w:rPr>
                <w:rFonts w:cs="Arial"/>
                <w:sz w:val="20"/>
                <w:szCs w:val="20"/>
              </w:rPr>
              <w:t>…”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9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“The GAC will not work on the basis of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simple majority for GAC advice.”</w:t>
            </w:r>
          </w:p>
          <w:p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“GAC advice needs to provide clear direction and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provide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rationale.”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10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“The Second Draft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Proposal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Report</w:t>
            </w:r>
            <w:r>
              <w:rPr>
                <w:rFonts w:cs="Arial"/>
                <w:sz w:val="20"/>
                <w:szCs w:val="20"/>
              </w:rPr>
              <w:t>…”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11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“….Governmental Advisory Committee considered: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”</w:t>
            </w:r>
            <w:r>
              <w:rPr>
                <w:rFonts w:cs="Arial"/>
                <w:sz w:val="20"/>
                <w:szCs w:val="20"/>
              </w:rPr>
              <w:t>…”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12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“Provide the full CCWG-Accountability with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brief summary of views and options.”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13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“Not working on the basis of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simple majority for GAC advice.”</w:t>
            </w:r>
          </w:p>
          <w:p>
            <w:pPr>
              <w:pStyle w:val="BodyText"/>
              <w:spacing w:before="240" w:after="120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“GAC advice needs to provide clear direction and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provide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rationale.”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17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“After discussions within the </w:t>
            </w:r>
            <w:r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ubgroup, and concerns raised by some stakeholders...”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19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“As some participants remained concern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ed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about…”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34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“…could challenge actions taken by the ICANN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Board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Corporation</w:t>
            </w:r>
            <w:r>
              <w:rPr>
                <w:rFonts w:cs="Arial"/>
                <w:sz w:val="20"/>
                <w:szCs w:val="20"/>
              </w:rPr>
              <w:t>.”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37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“For these reasons...if the </w:t>
            </w:r>
            <w:r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oard were obliged to seek a negotiated solution with the GAC.” 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Paragraph 57, Table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 paragraph numbers to all of the paragraphs in the right-hand column; only Paragraph 64 appears to be numbered</w:t>
            </w:r>
          </w:p>
        </w:tc>
      </w:tr>
      <w:tr>
        <w:tc>
          <w:tcPr>
            <w:tcW w:w="2358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Section 7</w:t>
            </w:r>
          </w:p>
        </w:tc>
        <w:tc>
          <w:tcPr>
            <w:tcW w:w="11160" w:type="dxa"/>
            <w:shd w:val="clear" w:color="auto" w:fill="FFFFFF" w:themeFill="background1"/>
          </w:tcPr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“…possibility of a large group of government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  <w:u w:val="double" w:color="0000FF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trying to overly influence the ICANN Board”</w:t>
            </w:r>
          </w:p>
          <w:p>
            <w:pPr>
              <w:pStyle w:val="BodyText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“…where a single government would abuse </w:t>
            </w:r>
            <w:r>
              <w:rPr>
                <w:rFonts w:cs="Arial"/>
                <w:strike/>
                <w:color w:val="FF0000"/>
                <w:sz w:val="20"/>
                <w:szCs w:val="20"/>
              </w:rPr>
              <w:t>of</w:t>
            </w:r>
            <w:r>
              <w:rPr>
                <w:rFonts w:cs="Arial"/>
                <w:sz w:val="20"/>
                <w:szCs w:val="20"/>
              </w:rPr>
              <w:t xml:space="preserve"> its ability…”</w:t>
            </w:r>
          </w:p>
        </w:tc>
      </w:tr>
    </w:tbl>
    <w:p>
      <w:pPr>
        <w:pStyle w:val="BodyText"/>
      </w:pPr>
    </w:p>
    <w:sectPr>
      <w:footerReference w:type="default" r:id="rId8"/>
      <w:headerReference w:type="first" r:id="rId9"/>
      <w:footerReference w:type="first" r:id="rId10"/>
      <w:pgSz w:w="16834" w:h="11909" w:orient="landscape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ptab w:relativeTo="margin" w:alignment="center" w:leader="none"/>
    </w:r>
    <w:fldSimple w:instr=" PAGE   \* MERGEFORMAT ">
      <w:r>
        <w:rPr>
          <w:noProof/>
        </w:rPr>
        <w:t>8</w:t>
      </w:r>
    </w:fldSimple>
  </w:p>
  <w:p>
    <w:pPr>
      <w:pStyle w:val="Footer"/>
    </w:pPr>
    <w:fldSimple w:instr=" DOCPROPERTY &quot;DocID&quot; \* MERGEFORMAT ">
      <w:r>
        <w:rPr>
          <w:rStyle w:val="DocID"/>
        </w:rPr>
        <w:t>ACTIVE 212447872v.4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ACTIVE 212447872v.4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rPr>
        <w:b/>
        <w:sz w:val="20"/>
      </w:rPr>
    </w:pPr>
    <w:r>
      <w:rPr>
        <w:b/>
        <w:noProof/>
        <w:sz w:val="20"/>
      </w:rPr>
      <w:drawing>
        <wp:inline distT="0" distB="0" distL="0" distR="0">
          <wp:extent cx="1600200" cy="444500"/>
          <wp:effectExtent l="19050" t="0" r="0" b="0"/>
          <wp:docPr id="4" name="Picture 1" descr="Sidley_logo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ley_logo_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noProof/>
        <w:sz w:val="20"/>
      </w:rPr>
      <w:drawing>
        <wp:inline distT="0" distB="0" distL="0" distR="0">
          <wp:extent cx="1552575" cy="578020"/>
          <wp:effectExtent l="19050" t="0" r="9525" b="0"/>
          <wp:docPr id="1" name="Picture 2" descr="C:\Users\thilton\AppData\Local\Microsoft\Windows\Temporary Internet Files\Content.Outlook\SROZ4A74\adler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thilton\AppData\Local\Microsoft\Windows\Temporary Internet Files\Content.Outlook\SROZ4A74\adler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436" cy="57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E6CA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DC7D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6C076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D9267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19C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045C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2A53A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54979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>
    <w:nsid w:val="01861899"/>
    <w:multiLevelType w:val="hybridMultilevel"/>
    <w:tmpl w:val="B0646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E0C56"/>
    <w:multiLevelType w:val="hybridMultilevel"/>
    <w:tmpl w:val="CB30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B5193"/>
    <w:multiLevelType w:val="hybridMultilevel"/>
    <w:tmpl w:val="58CAB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D52E5"/>
    <w:multiLevelType w:val="hybridMultilevel"/>
    <w:tmpl w:val="F7E0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91B68"/>
    <w:multiLevelType w:val="hybridMultilevel"/>
    <w:tmpl w:val="3536A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6">
    <w:nsid w:val="3FF0288B"/>
    <w:multiLevelType w:val="hybridMultilevel"/>
    <w:tmpl w:val="CE26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25261"/>
    <w:multiLevelType w:val="hybridMultilevel"/>
    <w:tmpl w:val="533EF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768AE"/>
    <w:multiLevelType w:val="hybridMultilevel"/>
    <w:tmpl w:val="40DA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87FF5"/>
    <w:multiLevelType w:val="hybridMultilevel"/>
    <w:tmpl w:val="543C0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C6654"/>
    <w:multiLevelType w:val="multilevel"/>
    <w:tmpl w:val="9B72E646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21">
    <w:nsid w:val="65F37133"/>
    <w:multiLevelType w:val="hybridMultilevel"/>
    <w:tmpl w:val="FA66E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E41B57"/>
    <w:multiLevelType w:val="multilevel"/>
    <w:tmpl w:val="57DACA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vanish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vanish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vanish w:val="0"/>
        <w:color w:val="01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vanish w:val="0"/>
        <w:color w:val="01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vanish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vanish w:val="0"/>
        <w:color w:val="010000"/>
        <w:u w:val="none"/>
      </w:rPr>
    </w:lvl>
  </w:abstractNum>
  <w:num w:numId="1">
    <w:abstractNumId w:val="22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21"/>
  </w:num>
  <w:num w:numId="14">
    <w:abstractNumId w:val="11"/>
  </w:num>
  <w:num w:numId="15">
    <w:abstractNumId w:val="10"/>
  </w:num>
  <w:num w:numId="16">
    <w:abstractNumId w:val="16"/>
  </w:num>
  <w:num w:numId="17">
    <w:abstractNumId w:val="18"/>
  </w:num>
  <w:num w:numId="18">
    <w:abstractNumId w:val="17"/>
  </w:num>
  <w:num w:numId="1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SortMethod w:val="0000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/>
  <w:docVars>
    <w:docVar w:name="CMRemoved" w:val="True"/>
    <w:docVar w:name="DateRemoved" w:val="True"/>
    <w:docVar w:name="DefaultNumberOfLevelsInTOCForThisScheme" w:val="3"/>
    <w:docVar w:name="DocIDAllPagesExceptFirst" w:val="False"/>
    <w:docVar w:name="DocIDAuthor" w:val="False"/>
    <w:docVar w:name="DocIDClientMatter" w:val="False"/>
    <w:docVar w:name="DocIDDate" w:val="False"/>
    <w:docVar w:name="DocIDDateText" w:val="False"/>
    <w:docVar w:name="DocIDDefaultsApplied" w:val="Tru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False"/>
    <w:docVar w:name="DocIDPrintedDate" w:val="False"/>
    <w:docVar w:name="DocIDRemoved" w:val="False"/>
    <w:docVar w:name="DocIDTime" w:val="False"/>
    <w:docVar w:name="DocIDType" w:val="AllPages"/>
    <w:docVar w:name="DocIDTypist" w:val="False"/>
    <w:docVar w:name="DocIDVersion" w:val="True"/>
    <w:docVar w:name="DraftRemoved" w:val="True"/>
    <w:docVar w:name="LastSchemeChoice" w:val="Harvard"/>
    <w:docVar w:name="LastSchemeUniqueID" w:val="99"/>
    <w:docVar w:name="LegacyDocIDRemoved" w:val="True"/>
    <w:docVar w:name="Option0True" w:val="False"/>
    <w:docVar w:name="Option1True" w:val="False"/>
    <w:docVar w:name="Option2True" w:val="False"/>
    <w:docVar w:name="Time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oa heading" w:semiHidden="0" w:unhideWhenUsed="0"/>
    <w:lsdException w:name="List Bullet" w:semiHidden="0" w:uiPriority="0" w:unhideWhenUsed="0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List Continue" w:semiHidden="0" w:uiPriority="0" w:unhideWhenUsed="0" w:qFormat="1"/>
    <w:lsdException w:name="Subtitle" w:uiPriority="11" w:qFormat="1"/>
    <w:lsdException w:name="Body Text First Indent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lock Text" w:semiHidden="0" w:uiPriority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  <w:pPr>
      <w:spacing w:after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12"/>
      </w:numPr>
      <w:tabs>
        <w:tab w:val="clear" w:pos="720"/>
      </w:tabs>
      <w:spacing w:after="240"/>
      <w:outlineLvl w:val="0"/>
    </w:pPr>
    <w:rPr>
      <w:rFonts w:ascii="Times New Roman" w:eastAsiaTheme="majorEastAsia" w:hAnsi="Times New Roman"/>
      <w:bCs/>
      <w:sz w:val="24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12"/>
      </w:numPr>
      <w:spacing w:after="240"/>
      <w:outlineLvl w:val="1"/>
    </w:pPr>
    <w:rPr>
      <w:rFonts w:ascii="Times New Roman" w:eastAsiaTheme="majorEastAsia" w:hAnsi="Times New Roman"/>
      <w:bCs/>
      <w:sz w:val="2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12"/>
      </w:numPr>
      <w:spacing w:after="240"/>
      <w:outlineLvl w:val="2"/>
    </w:pPr>
    <w:rPr>
      <w:rFonts w:ascii="Times New Roman" w:eastAsiaTheme="majorEastAsia" w:hAnsi="Times New Roman"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2"/>
      </w:numPr>
      <w:spacing w:after="240"/>
      <w:outlineLvl w:val="3"/>
    </w:pPr>
    <w:rPr>
      <w:rFonts w:ascii="Times New Roman" w:eastAsiaTheme="majorEastAsia" w:hAnsi="Times New Roman"/>
      <w:bCs/>
      <w:iCs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2"/>
      </w:numPr>
      <w:spacing w:after="240"/>
      <w:outlineLvl w:val="4"/>
    </w:pPr>
    <w:rPr>
      <w:rFonts w:ascii="Times New Roman" w:eastAsiaTheme="majorEastAsia" w:hAnsi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2"/>
      </w:numPr>
      <w:spacing w:after="240"/>
      <w:outlineLvl w:val="5"/>
    </w:pPr>
    <w:rPr>
      <w:rFonts w:ascii="Times New Roman" w:eastAsiaTheme="majorEastAsia" w:hAnsi="Times New Roman"/>
      <w:iCs/>
      <w:sz w:val="24"/>
      <w:szCs w:val="24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2"/>
      </w:numPr>
      <w:spacing w:after="240"/>
      <w:outlineLvl w:val="6"/>
    </w:pPr>
    <w:rPr>
      <w:rFonts w:ascii="Times New Roman" w:eastAsiaTheme="majorEastAsia" w:hAnsi="Times New Roman"/>
      <w:iCs/>
      <w:sz w:val="24"/>
      <w:szCs w:val="24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2"/>
      </w:numPr>
      <w:spacing w:after="240"/>
      <w:outlineLvl w:val="7"/>
    </w:pPr>
    <w:rPr>
      <w:rFonts w:ascii="Times New Roman" w:eastAsiaTheme="majorEastAsia" w:hAnsi="Times New Roman"/>
      <w:sz w:val="24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2"/>
      </w:numPr>
      <w:spacing w:after="240"/>
      <w:outlineLvl w:val="8"/>
    </w:pPr>
    <w:rPr>
      <w:rFonts w:ascii="Times New Roman" w:eastAsiaTheme="majorEastAsia" w:hAnsi="Times New Roman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sz w:val="1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ascii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pPr>
      <w:spacing w:line="480" w:lineRule="auto"/>
    </w:pPr>
    <w:rPr>
      <w:rFonts w:ascii="Times New Roman" w:hAnsi="Times New Roman" w:cstheme="minorBid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pPr>
      <w:spacing w:after="240"/>
      <w:ind w:firstLine="720"/>
    </w:pPr>
    <w:rPr>
      <w:rFonts w:ascii="Times New Roman" w:hAnsi="Times New Roman" w:cstheme="minorBidi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ListBullet">
    <w:name w:val="List Bullet"/>
    <w:basedOn w:val="Normal"/>
    <w:qFormat/>
    <w:pPr>
      <w:numPr>
        <w:numId w:val="2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Number">
    <w:name w:val="List Number"/>
    <w:basedOn w:val="Normal"/>
    <w:qFormat/>
    <w:pPr>
      <w:numPr>
        <w:numId w:val="3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Continue">
    <w:name w:val="List Continue"/>
    <w:basedOn w:val="Normal"/>
    <w:qFormat/>
    <w:pPr>
      <w:spacing w:after="240"/>
      <w:ind w:left="720"/>
    </w:pPr>
    <w:rPr>
      <w:rFonts w:ascii="Times New Roman" w:hAnsi="Times New Roman" w:cstheme="minorBidi"/>
      <w:sz w:val="24"/>
      <w:szCs w:val="24"/>
    </w:r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spacing w:after="240"/>
      <w:jc w:val="center"/>
    </w:pPr>
    <w:rPr>
      <w:rFonts w:ascii="Times New Roman" w:eastAsiaTheme="majorEastAsia" w:hAnsi="Times New Roman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  <w:spacing w:after="240"/>
    </w:pPr>
    <w:rPr>
      <w:rFonts w:ascii="Times New Roman" w:hAnsi="Times New Roman" w:cstheme="minorBidi"/>
      <w:b/>
      <w:sz w:val="24"/>
      <w:szCs w:val="24"/>
    </w:rPr>
  </w:style>
  <w:style w:type="paragraph" w:styleId="BlockText">
    <w:name w:val="Block Text"/>
    <w:basedOn w:val="Normal"/>
    <w:pPr>
      <w:spacing w:after="240"/>
      <w:ind w:left="1440" w:right="1440"/>
    </w:pPr>
    <w:rPr>
      <w:rFonts w:ascii="Times New Roman" w:eastAsiaTheme="minorEastAsia" w:hAnsi="Times New Roman" w:cstheme="minorBidi"/>
      <w:iCs/>
      <w:sz w:val="24"/>
      <w:szCs w:val="24"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semiHidden/>
    <w:unhideWhenUsed/>
    <w:qFormat/>
    <w:pPr>
      <w:spacing w:after="24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TOCPage">
    <w:name w:val="TOC Page"/>
    <w:basedOn w:val="Normal"/>
    <w:semiHidden/>
    <w:unhideWhenUsed/>
    <w:pPr>
      <w:spacing w:after="240"/>
      <w:jc w:val="right"/>
    </w:pPr>
    <w:rPr>
      <w:rFonts w:ascii="Times New Roman" w:eastAsia="Times New Roman" w:hAnsi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spacing w:after="240"/>
      <w:ind w:left="720" w:hanging="720"/>
    </w:pPr>
    <w:rPr>
      <w:rFonts w:ascii="Times New Roman" w:hAnsi="Times New Roman" w:cstheme="minorBid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spacing w:after="240"/>
      <w:ind w:left="1440" w:hanging="720"/>
    </w:pPr>
    <w:rPr>
      <w:rFonts w:ascii="Times New Roman" w:hAnsi="Times New Roman" w:cstheme="minorBid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spacing w:after="240"/>
      <w:ind w:left="2160" w:hanging="720"/>
    </w:pPr>
    <w:rPr>
      <w:rFonts w:ascii="Times New Roman" w:hAnsi="Times New Roman" w:cstheme="minorBid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spacing w:after="240"/>
      <w:ind w:left="2880" w:hanging="720"/>
    </w:pPr>
    <w:rPr>
      <w:rFonts w:ascii="Times New Roman" w:hAnsi="Times New Roman" w:cstheme="minorBidi"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spacing w:after="240"/>
      <w:ind w:left="3600" w:hanging="720"/>
    </w:pPr>
    <w:rPr>
      <w:rFonts w:ascii="Times New Roman" w:hAnsi="Times New Roman" w:cstheme="minorBidi"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spacing w:after="240"/>
      <w:ind w:left="4320" w:hanging="720"/>
    </w:pPr>
    <w:rPr>
      <w:rFonts w:ascii="Times New Roman" w:hAnsi="Times New Roman" w:cstheme="minorBidi"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spacing w:after="240"/>
      <w:ind w:left="5040" w:hanging="720"/>
    </w:pPr>
    <w:rPr>
      <w:rFonts w:ascii="Times New Roman" w:hAnsi="Times New Roman" w:cstheme="minorBidi"/>
      <w:sz w:val="24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spacing w:after="240"/>
      <w:ind w:left="5760" w:hanging="720"/>
    </w:pPr>
    <w:rPr>
      <w:rFonts w:ascii="Times New Roman" w:hAnsi="Times New Roman" w:cstheme="minorBidi"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spacing w:after="240"/>
      <w:ind w:left="5760" w:hanging="720"/>
    </w:pPr>
    <w:rPr>
      <w:rFonts w:ascii="Times New Roman" w:hAnsi="Times New Roman" w:cstheme="min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240"/>
    </w:pPr>
    <w:rPr>
      <w:rFonts w:ascii="Times New Roman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240"/>
    </w:pPr>
    <w:rPr>
      <w:rFonts w:ascii="Times New Roman" w:hAnsi="Times New Roman" w:cstheme="minorBidi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240"/>
      <w:ind w:left="240" w:hanging="240"/>
    </w:pPr>
    <w:rPr>
      <w:rFonts w:ascii="Times New Roman" w:hAnsi="Times New Roman" w:cstheme="minorBidi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 w:after="24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240"/>
      <w:ind w:left="4320"/>
    </w:pPr>
    <w:rPr>
      <w:rFonts w:ascii="Times New Roman" w:hAnsi="Times New Roman" w:cstheme="minorBidi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after="240"/>
    </w:pPr>
    <w:rPr>
      <w:rFonts w:ascii="Times New Roman" w:hAnsi="Times New Roman" w:cstheme="minorBidi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pPr>
      <w:spacing w:after="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  <w:rPr>
      <w:rFonts w:ascii="Times New Roman" w:hAnsi="Times New Roman" w:cstheme="minorBid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Normal"/>
    <w:link w:val="BodyTextFirstIndent2Char"/>
    <w:qFormat/>
    <w:pPr>
      <w:spacing w:line="480" w:lineRule="auto"/>
      <w:ind w:firstLine="720"/>
    </w:pPr>
    <w:rPr>
      <w:rFonts w:ascii="Times New Roman" w:hAnsi="Times New Roman" w:cstheme="minorBid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pPr>
      <w:spacing w:after="240"/>
    </w:pPr>
    <w:rPr>
      <w:rFonts w:ascii="Times New Roman" w:hAnsi="Times New Roman" w:cstheme="minorBid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rFonts w:ascii="Times New Roman" w:hAnsi="Times New Roman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  <w:rPr>
      <w:rFonts w:ascii="Times New Roman" w:hAnsi="Times New Roman" w:cstheme="minorBid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rFonts w:ascii="Times New Roman" w:hAnsi="Times New Roman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rFonts w:ascii="Times New Roman" w:hAnsi="Times New Roman" w:cstheme="minorBidi"/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320"/>
    </w:pPr>
    <w:rPr>
      <w:rFonts w:ascii="Times New Roman" w:hAnsi="Times New Roman" w:cstheme="minorBidi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240"/>
    </w:pPr>
    <w:rPr>
      <w:rFonts w:ascii="Times New Roman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after="240"/>
    </w:pPr>
    <w:rPr>
      <w:rFonts w:ascii="Times New Roman" w:hAnsi="Times New Roman" w:cstheme="minorBid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Pr>
      <w:rFonts w:ascii="Times New Roman" w:hAnsi="Times New Roman" w:cstheme="minorBid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rFonts w:ascii="Times New Roman" w:hAnsi="Times New Roman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Pr>
      <w:rFonts w:ascii="Times New Roman" w:hAnsi="Times New Roman" w:cstheme="minorBidi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  <w:rPr>
      <w:rFonts w:ascii="Times New Roman" w:hAnsi="Times New Roman" w:cstheme="minorBidi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  <w:rPr>
      <w:rFonts w:ascii="Times New Roman" w:hAnsi="Times New Roman" w:cstheme="minorBidi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  <w:rPr>
      <w:rFonts w:ascii="Times New Roman" w:hAnsi="Times New Roman" w:cstheme="minorBidi"/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  <w:rPr>
      <w:rFonts w:ascii="Times New Roman" w:hAnsi="Times New Roman" w:cstheme="minorBidi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  <w:rPr>
      <w:rFonts w:ascii="Times New Roman" w:hAnsi="Times New Roman" w:cstheme="minorBidi"/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  <w:rPr>
      <w:rFonts w:ascii="Times New Roman" w:hAnsi="Times New Roman" w:cstheme="minorBidi"/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  <w:rPr>
      <w:rFonts w:ascii="Times New Roman" w:hAnsi="Times New Roman" w:cstheme="minorBidi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  <w:rPr>
      <w:rFonts w:ascii="Times New Roman" w:hAnsi="Times New Roman" w:cstheme="minorBidi"/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  <w:rPr>
      <w:rFonts w:ascii="Times New Roman" w:hAnsi="Times New Roman" w:cstheme="minorBidi"/>
      <w:sz w:val="24"/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pPr>
      <w:spacing w:after="24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theme="minorBidi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spacing w:after="240"/>
      <w:ind w:left="360" w:hanging="360"/>
      <w:contextualSpacing/>
    </w:pPr>
    <w:rPr>
      <w:rFonts w:ascii="Times New Roman" w:hAnsi="Times New Roman" w:cstheme="minorBidi"/>
      <w:sz w:val="24"/>
      <w:szCs w:val="24"/>
    </w:rPr>
  </w:style>
  <w:style w:type="paragraph" w:styleId="List2">
    <w:name w:val="List 2"/>
    <w:basedOn w:val="Normal"/>
    <w:uiPriority w:val="99"/>
    <w:semiHidden/>
    <w:unhideWhenUsed/>
    <w:pPr>
      <w:spacing w:after="240"/>
      <w:ind w:left="720" w:hanging="360"/>
      <w:contextualSpacing/>
    </w:pPr>
    <w:rPr>
      <w:rFonts w:ascii="Times New Roman" w:hAnsi="Times New Roman" w:cstheme="minorBidi"/>
      <w:sz w:val="24"/>
      <w:szCs w:val="24"/>
    </w:rPr>
  </w:style>
  <w:style w:type="paragraph" w:styleId="List3">
    <w:name w:val="List 3"/>
    <w:basedOn w:val="Normal"/>
    <w:uiPriority w:val="99"/>
    <w:semiHidden/>
    <w:unhideWhenUsed/>
    <w:pPr>
      <w:spacing w:after="240"/>
      <w:ind w:left="1080" w:hanging="360"/>
      <w:contextualSpacing/>
    </w:pPr>
    <w:rPr>
      <w:rFonts w:ascii="Times New Roman" w:hAnsi="Times New Roman" w:cstheme="minorBidi"/>
      <w:sz w:val="24"/>
      <w:szCs w:val="24"/>
    </w:rPr>
  </w:style>
  <w:style w:type="paragraph" w:styleId="List4">
    <w:name w:val="List 4"/>
    <w:basedOn w:val="Normal"/>
    <w:uiPriority w:val="99"/>
    <w:semiHidden/>
    <w:unhideWhenUsed/>
    <w:pPr>
      <w:spacing w:after="240"/>
      <w:ind w:left="1440" w:hanging="360"/>
      <w:contextualSpacing/>
    </w:pPr>
    <w:rPr>
      <w:rFonts w:ascii="Times New Roman" w:hAnsi="Times New Roman" w:cstheme="minorBidi"/>
      <w:sz w:val="24"/>
      <w:szCs w:val="24"/>
    </w:rPr>
  </w:style>
  <w:style w:type="paragraph" w:styleId="List5">
    <w:name w:val="List 5"/>
    <w:basedOn w:val="Normal"/>
    <w:uiPriority w:val="99"/>
    <w:semiHidden/>
    <w:unhideWhenUsed/>
    <w:pPr>
      <w:spacing w:after="240"/>
      <w:ind w:left="1800" w:hanging="360"/>
      <w:contextualSpacing/>
    </w:pPr>
    <w:rPr>
      <w:rFonts w:ascii="Times New Roman" w:hAnsi="Times New Roman" w:cstheme="minorBidi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Bullet5">
    <w:name w:val="List Bullet 5"/>
    <w:basedOn w:val="Normal"/>
    <w:uiPriority w:val="99"/>
    <w:semiHidden/>
    <w:unhideWhenUsed/>
    <w:pPr>
      <w:numPr>
        <w:numId w:val="7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  <w:rPr>
      <w:rFonts w:ascii="Times New Roman" w:hAnsi="Times New Roman" w:cstheme="minorBidi"/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  <w:rPr>
      <w:rFonts w:ascii="Times New Roman" w:hAnsi="Times New Roman" w:cstheme="minorBidi"/>
      <w:sz w:val="24"/>
      <w:szCs w:val="24"/>
    </w:r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  <w:rPr>
      <w:rFonts w:ascii="Times New Roman" w:hAnsi="Times New Roman" w:cstheme="minorBidi"/>
      <w:sz w:val="24"/>
      <w:szCs w:val="24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  <w:rPr>
      <w:rFonts w:ascii="Times New Roman" w:hAnsi="Times New Roman" w:cstheme="minorBidi"/>
      <w:sz w:val="24"/>
      <w:szCs w:val="24"/>
    </w:r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11"/>
      </w:numPr>
      <w:spacing w:after="240"/>
      <w:contextualSpacing/>
    </w:pPr>
    <w:rPr>
      <w:rFonts w:ascii="Times New Roman" w:hAnsi="Times New Roman" w:cstheme="minorBidi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pPr>
      <w:spacing w:after="240"/>
      <w:ind w:left="720"/>
      <w:contextualSpacing/>
    </w:pPr>
    <w:rPr>
      <w:rFonts w:ascii="Times New Roman" w:hAnsi="Times New Roman" w:cstheme="minorBidi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spacing w:after="240"/>
    </w:pPr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spacing w:after="240"/>
      <w:ind w:left="720"/>
    </w:pPr>
    <w:rPr>
      <w:rFonts w:ascii="Times New Roman" w:hAnsi="Times New Roman"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Pr>
      <w:rFonts w:ascii="Times New Roman" w:hAnsi="Times New Roman" w:cstheme="minorBidi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after="240"/>
    </w:pPr>
    <w:rPr>
      <w:rFonts w:ascii="Times New Roman" w:hAnsi="Times New Roman" w:cstheme="minorBidi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2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pPr>
      <w:spacing w:after="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idley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45211-15B1-4C4F-BDD4-8E5B4FA5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8</Pages>
  <Words>2180</Words>
  <Characters>12407</Characters>
  <Application>Microsoft Office Word</Application>
  <DocSecurity>0</DocSecurity>
  <Lines>260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Sidley Austin LLP</Company>
  <LinksUpToDate>false</LinksUpToDate>
  <CharactersWithSpaces>14398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RGrapsas</dc:creator>
  <cp:lastModifiedBy>RGrapsas</cp:lastModifiedBy>
  <cp:revision>2</cp:revision>
  <cp:lastPrinted>2016-01-28T17:13:00Z</cp:lastPrinted>
  <dcterms:created xsi:type="dcterms:W3CDTF">2016-01-28T17:14:00Z</dcterms:created>
  <dcterms:modified xsi:type="dcterms:W3CDTF">2016-01-28T17:14:00Z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ACTIVE 212447872v.4</vt:lpwstr>
  </property>
  <property fmtid="{D5CDD505-2E9C-101B-9397-08002B2CF9AE}" pid="4" name="_AdHocReviewCycleID">
    <vt:i4>1903650145</vt:i4>
  </property>
  <property fmtid="{D5CDD505-2E9C-101B-9397-08002B2CF9AE}" pid="5" name="_NewReviewCycle">
    <vt:lpwstr/>
  </property>
  <property fmtid="{D5CDD505-2E9C-101B-9397-08002B2CF9AE}" pid="6" name="_EmailSubject">
    <vt:lpwstr>From Holly Gregory &amp; Rosemary Fei - Lawyers' Comments on Annexes 8, 9, 10 and 11</vt:lpwstr>
  </property>
  <property fmtid="{D5CDD505-2E9C-101B-9397-08002B2CF9AE}" pid="7" name="_AuthorEmail">
    <vt:lpwstr>rebecca.grapsas@sidley.com</vt:lpwstr>
  </property>
  <property fmtid="{D5CDD505-2E9C-101B-9397-08002B2CF9AE}" pid="8" name="_AuthorEmailDisplayName">
    <vt:lpwstr>Grapsas, Rebecca</vt:lpwstr>
  </property>
</Properties>
</file>