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C7" w:rsidRPr="00B05EC7" w:rsidRDefault="00B05EC7" w:rsidP="00B05EC7">
      <w:pPr>
        <w:rPr>
          <w:b/>
          <w:sz w:val="28"/>
          <w:szCs w:val="28"/>
        </w:rPr>
      </w:pPr>
      <w:r w:rsidRPr="00B05EC7">
        <w:rPr>
          <w:b/>
          <w:sz w:val="28"/>
          <w:szCs w:val="28"/>
        </w:rPr>
        <w:t xml:space="preserve">CCWG-Accountability WS2 Legal Committee </w:t>
      </w:r>
    </w:p>
    <w:p w:rsidR="00B05EC7" w:rsidRDefault="00B05EC7" w:rsidP="00B05EC7">
      <w:r>
        <w:t xml:space="preserve">(from the June Presentation to the CCWG-Accountability - </w:t>
      </w:r>
      <w:hyperlink r:id="rId4" w:history="1">
        <w:r w:rsidRPr="006E4F2C">
          <w:rPr>
            <w:rStyle w:val="Hyperlink"/>
          </w:rPr>
          <w:t>https://community.icann.org/x/b5DDAw</w:t>
        </w:r>
      </w:hyperlink>
      <w:r>
        <w:t xml:space="preserve"> )</w:t>
      </w:r>
    </w:p>
    <w:p w:rsidR="00B05EC7" w:rsidRPr="00B05EC7" w:rsidRDefault="00B05EC7" w:rsidP="00B05EC7">
      <w:pPr>
        <w:rPr>
          <w:b/>
        </w:rPr>
      </w:pPr>
      <w:proofErr w:type="gramStart"/>
      <w:r w:rsidRPr="00B05EC7">
        <w:rPr>
          <w:b/>
        </w:rPr>
        <w:t>Role :</w:t>
      </w:r>
      <w:proofErr w:type="gramEnd"/>
      <w:r w:rsidRPr="00B05EC7">
        <w:rPr>
          <w:b/>
        </w:rPr>
        <w:t xml:space="preserve"> </w:t>
      </w:r>
    </w:p>
    <w:p w:rsidR="00B05EC7" w:rsidRPr="00B05EC7" w:rsidRDefault="00B05EC7" w:rsidP="00B05EC7">
      <w:pPr>
        <w:ind w:left="720"/>
      </w:pPr>
      <w:r w:rsidRPr="00B05EC7">
        <w:t>Filter, analyze, refine (ensure clarity), and approve requests for legal advice</w:t>
      </w:r>
    </w:p>
    <w:p w:rsidR="00B05EC7" w:rsidRPr="00B05EC7" w:rsidRDefault="00B05EC7" w:rsidP="00B05EC7">
      <w:pPr>
        <w:ind w:left="720"/>
      </w:pPr>
      <w:r w:rsidRPr="00B05EC7">
        <w:t>Determine which firm is best suited to respond</w:t>
      </w:r>
    </w:p>
    <w:p w:rsidR="00B05EC7" w:rsidRPr="00B05EC7" w:rsidRDefault="00B05EC7" w:rsidP="00B05EC7">
      <w:pPr>
        <w:rPr>
          <w:b/>
        </w:rPr>
      </w:pPr>
      <w:r>
        <w:rPr>
          <w:b/>
        </w:rPr>
        <w:t>Process</w:t>
      </w:r>
      <w:r w:rsidRPr="00B05EC7">
        <w:rPr>
          <w:b/>
        </w:rPr>
        <w:t>:</w:t>
      </w:r>
    </w:p>
    <w:p w:rsidR="00B05EC7" w:rsidRPr="00B05EC7" w:rsidRDefault="00B05EC7" w:rsidP="00B05EC7">
      <w:pPr>
        <w:ind w:left="720"/>
      </w:pPr>
      <w:r w:rsidRPr="00B05EC7">
        <w:t>The Committee meets at least once a month</w:t>
      </w:r>
    </w:p>
    <w:p w:rsidR="00B05EC7" w:rsidRPr="00B05EC7" w:rsidRDefault="00B05EC7" w:rsidP="00B05EC7">
      <w:pPr>
        <w:ind w:left="720"/>
      </w:pPr>
      <w:r w:rsidRPr="00B05EC7">
        <w:t>Based on subgroup requests documented and share</w:t>
      </w:r>
      <w:r>
        <w:t>d</w:t>
      </w:r>
      <w:r w:rsidRPr="00B05EC7">
        <w:t xml:space="preserve"> before the meeting, </w:t>
      </w:r>
    </w:p>
    <w:p w:rsidR="00B05EC7" w:rsidRPr="00B05EC7" w:rsidRDefault="00B05EC7" w:rsidP="00B05EC7">
      <w:pPr>
        <w:ind w:left="720"/>
      </w:pPr>
      <w:r w:rsidRPr="00B05EC7">
        <w:t>Rapporteurs may attend relevant part of the call to discuss their requests</w:t>
      </w:r>
    </w:p>
    <w:p w:rsidR="00B05EC7" w:rsidRPr="00B05EC7" w:rsidRDefault="00B05EC7" w:rsidP="00B05EC7">
      <w:pPr>
        <w:ind w:left="720"/>
      </w:pPr>
      <w:r w:rsidRPr="00B05EC7">
        <w:t>LC ensures that request is a legal issue (not a policy one)</w:t>
      </w:r>
    </w:p>
    <w:p w:rsidR="00B05EC7" w:rsidRPr="00B05EC7" w:rsidRDefault="00B05EC7" w:rsidP="00B05EC7">
      <w:pPr>
        <w:ind w:left="720"/>
      </w:pPr>
      <w:r w:rsidRPr="00B05EC7">
        <w:t xml:space="preserve">With support from PCST, LC tracks legal expenses with clear distinction between what is related to its scope vs any other Legal costs. </w:t>
      </w:r>
    </w:p>
    <w:p w:rsidR="00B05EC7" w:rsidRPr="00B05EC7" w:rsidRDefault="00B05EC7" w:rsidP="00B05EC7">
      <w:pPr>
        <w:ind w:left="720"/>
      </w:pPr>
      <w:r w:rsidRPr="00B05EC7">
        <w:t>Counsel may be invited to attend parts of the LC meeting to ensure clarity of exp</w:t>
      </w:r>
      <w:r>
        <w:t>ectations and context (reminder</w:t>
      </w:r>
      <w:r w:rsidRPr="00B05EC7">
        <w:t>: Counsel participation to CCWG and subgroup calls is exceptional only)</w:t>
      </w:r>
    </w:p>
    <w:p w:rsidR="00B05EC7" w:rsidRPr="00B05EC7" w:rsidRDefault="00B05EC7" w:rsidP="00B05EC7">
      <w:pPr>
        <w:rPr>
          <w:b/>
        </w:rPr>
      </w:pPr>
      <w:r w:rsidRPr="00B05EC7">
        <w:rPr>
          <w:b/>
        </w:rPr>
        <w:t>Composition based on WS1 Legal sub</w:t>
      </w:r>
      <w:r>
        <w:rPr>
          <w:b/>
        </w:rPr>
        <w:t>-team executive team</w:t>
      </w:r>
      <w:r w:rsidRPr="00B05EC7">
        <w:rPr>
          <w:b/>
        </w:rPr>
        <w:t>:</w:t>
      </w:r>
    </w:p>
    <w:p w:rsidR="00B05EC7" w:rsidRPr="00B05EC7" w:rsidRDefault="00B05EC7" w:rsidP="00B05EC7">
      <w:pPr>
        <w:ind w:left="720"/>
      </w:pPr>
      <w:r w:rsidRPr="00B05EC7">
        <w:t>León Sanchez (co-chair, lead)</w:t>
      </w:r>
    </w:p>
    <w:p w:rsidR="00B05EC7" w:rsidRPr="00B05EC7" w:rsidRDefault="00B05EC7" w:rsidP="00B05EC7">
      <w:pPr>
        <w:ind w:left="720"/>
      </w:pPr>
      <w:r w:rsidRPr="00B05EC7">
        <w:t>Samantha Eisner (support)</w:t>
      </w:r>
    </w:p>
    <w:p w:rsidR="00B05EC7" w:rsidRPr="00B05EC7" w:rsidRDefault="00B05EC7" w:rsidP="00B05EC7">
      <w:pPr>
        <w:ind w:left="720"/>
      </w:pPr>
      <w:proofErr w:type="spellStart"/>
      <w:r w:rsidRPr="00B05EC7">
        <w:t>Athina</w:t>
      </w:r>
      <w:proofErr w:type="spellEnd"/>
      <w:r w:rsidRPr="00B05EC7">
        <w:t xml:space="preserve"> </w:t>
      </w:r>
      <w:proofErr w:type="spellStart"/>
      <w:r w:rsidRPr="00B05EC7">
        <w:t>Fragkouli</w:t>
      </w:r>
      <w:proofErr w:type="spellEnd"/>
      <w:r>
        <w:t xml:space="preserve"> (replacement to be confirmed by the CCWG-Accountability Plenary)</w:t>
      </w:r>
    </w:p>
    <w:p w:rsidR="00B05EC7" w:rsidRPr="00B05EC7" w:rsidRDefault="00B05EC7" w:rsidP="00B05EC7">
      <w:pPr>
        <w:ind w:left="720"/>
      </w:pPr>
      <w:r w:rsidRPr="00B05EC7">
        <w:t>Robin Gross</w:t>
      </w:r>
    </w:p>
    <w:p w:rsidR="00B05EC7" w:rsidRPr="00B05EC7" w:rsidRDefault="00B05EC7" w:rsidP="00B05EC7">
      <w:pPr>
        <w:ind w:left="720"/>
      </w:pPr>
      <w:r w:rsidRPr="00B05EC7">
        <w:t xml:space="preserve">David </w:t>
      </w:r>
      <w:proofErr w:type="spellStart"/>
      <w:r w:rsidRPr="00B05EC7">
        <w:t>McAuley</w:t>
      </w:r>
      <w:proofErr w:type="spellEnd"/>
    </w:p>
    <w:p w:rsidR="00B05EC7" w:rsidRPr="00B05EC7" w:rsidRDefault="00B05EC7" w:rsidP="00B05EC7">
      <w:pPr>
        <w:ind w:left="720"/>
      </w:pPr>
      <w:r w:rsidRPr="00B05EC7">
        <w:t>Edward Morris</w:t>
      </w:r>
    </w:p>
    <w:p w:rsidR="00B05EC7" w:rsidRDefault="00B05EC7" w:rsidP="00B05EC7">
      <w:pPr>
        <w:ind w:left="720"/>
      </w:pPr>
      <w:r w:rsidRPr="00B05EC7">
        <w:t>Greg Shatan</w:t>
      </w:r>
    </w:p>
    <w:p w:rsidR="00B05EC7" w:rsidRDefault="00B05EC7" w:rsidP="00B05EC7">
      <w:r>
        <w:rPr>
          <w:b/>
        </w:rPr>
        <w:t>Procedure</w:t>
      </w:r>
      <w:r w:rsidRPr="00B05EC7">
        <w:rPr>
          <w:b/>
        </w:rPr>
        <w:t>:</w:t>
      </w:r>
    </w:p>
    <w:p w:rsidR="00B05EC7" w:rsidRPr="00B05EC7" w:rsidRDefault="00B05EC7" w:rsidP="00B05EC7">
      <w:pPr>
        <w:ind w:left="720"/>
      </w:pPr>
      <w:r>
        <w:t>If ICANN</w:t>
      </w:r>
      <w:r w:rsidRPr="00B05EC7">
        <w:t xml:space="preserve"> Legal already has an answer available to the question, it can be shared immediately to avoid extra costs. </w:t>
      </w:r>
    </w:p>
    <w:p w:rsidR="00B05EC7" w:rsidRPr="00B05EC7" w:rsidRDefault="00B05EC7" w:rsidP="00B05EC7">
      <w:pPr>
        <w:ind w:left="720"/>
      </w:pPr>
      <w:r w:rsidRPr="00B05EC7">
        <w:t>The Committee may direct the request at ICANN Legal or external firms, based on a case by case assessment.</w:t>
      </w:r>
    </w:p>
    <w:p w:rsidR="00B05EC7" w:rsidRPr="00B05EC7" w:rsidRDefault="00B05EC7" w:rsidP="00B05EC7">
      <w:pPr>
        <w:ind w:left="720"/>
      </w:pPr>
      <w:r w:rsidRPr="00B05EC7">
        <w:t xml:space="preserve">Decisions would have to </w:t>
      </w:r>
      <w:proofErr w:type="gramStart"/>
      <w:r w:rsidRPr="00B05EC7">
        <w:t>take into account</w:t>
      </w:r>
      <w:proofErr w:type="gramEnd"/>
      <w:r w:rsidRPr="00B05EC7">
        <w:t xml:space="preserve"> costs, delays, respective skills, as well as potential requirement for “independent” advice.  </w:t>
      </w:r>
    </w:p>
    <w:p w:rsidR="00B05EC7" w:rsidRPr="00B05EC7" w:rsidRDefault="00B05EC7" w:rsidP="00B05EC7">
      <w:pPr>
        <w:ind w:left="720"/>
      </w:pPr>
      <w:r w:rsidRPr="00B05EC7">
        <w:lastRenderedPageBreak/>
        <w:t xml:space="preserve">The Committee is encouraged to use ICANN Legal as much as possible </w:t>
      </w:r>
      <w:proofErr w:type="gramStart"/>
      <w:r w:rsidRPr="00B05EC7">
        <w:t>in order to</w:t>
      </w:r>
      <w:proofErr w:type="gramEnd"/>
      <w:r w:rsidRPr="00B05EC7">
        <w:t xml:space="preserve"> manage costs effectively. </w:t>
      </w:r>
    </w:p>
    <w:p w:rsidR="00B05EC7" w:rsidRPr="00B05EC7" w:rsidRDefault="00B05EC7" w:rsidP="00B05EC7">
      <w:pPr>
        <w:ind w:left="720"/>
      </w:pPr>
      <w:r w:rsidRPr="00B05EC7">
        <w:t>Sidley &amp; Adler will coordinate to decide which firm is best suited to address requests certified to CCWG Independent Counsel</w:t>
      </w:r>
    </w:p>
    <w:p w:rsidR="00B05EC7" w:rsidRPr="00B05EC7" w:rsidRDefault="00B05EC7" w:rsidP="00B05EC7">
      <w:pPr>
        <w:ind w:left="720"/>
      </w:pPr>
      <w:r w:rsidRPr="00B05EC7">
        <w:t xml:space="preserve">If the CCWG requests advice from Jones Day, then Jones Day should either (a) disclose that ICANN (and not the CCWG) is their client for purposes of the memo or (b) </w:t>
      </w:r>
      <w:proofErr w:type="gramStart"/>
      <w:r w:rsidRPr="00B05EC7">
        <w:t>enter into an</w:t>
      </w:r>
      <w:proofErr w:type="gramEnd"/>
      <w:r w:rsidRPr="00B05EC7">
        <w:t xml:space="preserve"> engagement specifically with the CCWG as client (same as Sidley and Adler), and that ICANN has provided a waiver of conflict of interest. </w:t>
      </w:r>
    </w:p>
    <w:p w:rsidR="00B05EC7" w:rsidRPr="00B05EC7" w:rsidRDefault="00B05EC7" w:rsidP="00B05EC7">
      <w:pPr>
        <w:ind w:left="720"/>
      </w:pPr>
      <w:r w:rsidRPr="00B05EC7">
        <w:t>Hiring of other firms for specific expertise would b</w:t>
      </w:r>
      <w:r>
        <w:t>e subject to CCWG-ACCT and ICANN</w:t>
      </w:r>
      <w:bookmarkStart w:id="0" w:name="_GoBack"/>
      <w:bookmarkEnd w:id="0"/>
      <w:r w:rsidRPr="00B05EC7">
        <w:t xml:space="preserve"> Legal prior approval (similar process as during WS1)</w:t>
      </w:r>
    </w:p>
    <w:p w:rsidR="00B05EC7" w:rsidRPr="00B05EC7" w:rsidRDefault="00B05EC7" w:rsidP="00B05EC7">
      <w:pPr>
        <w:ind w:left="720"/>
      </w:pPr>
      <w:r w:rsidRPr="00B05EC7">
        <w:t>Once the LC has determined it needs to hire external legal counsel it forwards the request with relevant details, including estimated costs and a report from the PCST on the financial impact, to the Co-Chairs for approval.</w:t>
      </w:r>
    </w:p>
    <w:p w:rsidR="009E2DA3" w:rsidRDefault="00B05EC7" w:rsidP="00B05EC7">
      <w:pPr>
        <w:ind w:left="720"/>
      </w:pPr>
      <w:r w:rsidRPr="00B05EC7">
        <w:t>The Co-Chairs will consider the request and the financial impact as soon as possible and provide a formal response to the LC which will be documented on the CCWG WS2 Wiki if approved.</w:t>
      </w:r>
    </w:p>
    <w:sectPr w:rsidR="009E2D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76"/>
    <w:rsid w:val="00175B7C"/>
    <w:rsid w:val="009E2DA3"/>
    <w:rsid w:val="00B05EC7"/>
    <w:rsid w:val="00FA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4273"/>
  <w15:chartTrackingRefBased/>
  <w15:docId w15:val="{25F29C94-2598-4055-8A08-6ECB4E95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BT-Normal"/>
    <w:qFormat/>
    <w:rsid w:val="00175B7C"/>
    <w:rPr>
      <w:rFonts w:ascii="Times New Roman" w:hAnsi="Times New Roman"/>
      <w:sz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E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munity.icann.org/x/b5DD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Turcotte</dc:creator>
  <cp:keywords/>
  <dc:description/>
  <cp:lastModifiedBy>Bernard Turcotte</cp:lastModifiedBy>
  <cp:revision>2</cp:revision>
  <dcterms:created xsi:type="dcterms:W3CDTF">2016-11-17T19:00:00Z</dcterms:created>
  <dcterms:modified xsi:type="dcterms:W3CDTF">2016-11-17T19:08:00Z</dcterms:modified>
</cp:coreProperties>
</file>