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7BC38A" w14:textId="77777777" w:rsidR="003741F6" w:rsidRDefault="003741F6" w:rsidP="00D209EB">
      <w:pPr>
        <w:spacing w:after="120" w:line="480" w:lineRule="auto"/>
        <w:jc w:val="center"/>
        <w:rPr>
          <w:lang w:val="en-GB"/>
        </w:rPr>
      </w:pPr>
    </w:p>
    <w:p w14:paraId="46094B6A" w14:textId="77777777" w:rsidR="003741F6" w:rsidRDefault="003741F6" w:rsidP="00D209EB">
      <w:pPr>
        <w:spacing w:after="120" w:line="480" w:lineRule="auto"/>
        <w:jc w:val="center"/>
        <w:rPr>
          <w:lang w:val="en-GB"/>
        </w:rPr>
      </w:pPr>
    </w:p>
    <w:p w14:paraId="6D9F09E1" w14:textId="77777777" w:rsidR="003741F6" w:rsidRDefault="003741F6" w:rsidP="00D209EB">
      <w:pPr>
        <w:spacing w:after="120" w:line="480" w:lineRule="auto"/>
        <w:jc w:val="center"/>
        <w:rPr>
          <w:lang w:val="en-GB"/>
        </w:rPr>
      </w:pPr>
    </w:p>
    <w:p w14:paraId="094AFDEB" w14:textId="77777777" w:rsidR="003741F6" w:rsidRDefault="003741F6" w:rsidP="00D209EB">
      <w:pPr>
        <w:spacing w:after="120" w:line="480" w:lineRule="auto"/>
        <w:jc w:val="center"/>
        <w:rPr>
          <w:lang w:val="en-GB"/>
        </w:rPr>
      </w:pPr>
    </w:p>
    <w:p w14:paraId="1CFBD98B" w14:textId="77777777" w:rsidR="003741F6" w:rsidRDefault="003741F6" w:rsidP="00D209EB">
      <w:pPr>
        <w:spacing w:after="120" w:line="480" w:lineRule="auto"/>
        <w:jc w:val="center"/>
        <w:rPr>
          <w:lang w:val="en-GB"/>
        </w:rPr>
      </w:pPr>
    </w:p>
    <w:p w14:paraId="04D573AE" w14:textId="77777777" w:rsidR="003741F6" w:rsidRDefault="003741F6" w:rsidP="00D209EB">
      <w:pPr>
        <w:spacing w:after="120" w:line="480" w:lineRule="auto"/>
        <w:jc w:val="center"/>
        <w:rPr>
          <w:lang w:val="en-GB"/>
        </w:rPr>
      </w:pPr>
    </w:p>
    <w:p w14:paraId="0BC386F2" w14:textId="77777777" w:rsidR="003741F6" w:rsidRDefault="003741F6" w:rsidP="00D209EB">
      <w:pPr>
        <w:spacing w:after="120" w:line="480" w:lineRule="auto"/>
        <w:jc w:val="center"/>
        <w:rPr>
          <w:lang w:val="en-GB"/>
        </w:rPr>
      </w:pPr>
    </w:p>
    <w:p w14:paraId="3E141CA3" w14:textId="77777777" w:rsidR="00D209EB" w:rsidRPr="003741F6" w:rsidRDefault="00D209EB" w:rsidP="00D209EB">
      <w:pPr>
        <w:spacing w:after="120" w:line="480" w:lineRule="auto"/>
        <w:jc w:val="center"/>
        <w:rPr>
          <w:lang w:val="en-GB"/>
        </w:rPr>
      </w:pPr>
      <w:r w:rsidRPr="003741F6">
        <w:rPr>
          <w:lang w:val="en-GB"/>
        </w:rPr>
        <w:t>Which Authors of ICANN Documentary Information Disclosure Policy Requests Are Likely to Receive Defined Conditions of Non-Disclosure in ICANN’s Response?</w:t>
      </w:r>
    </w:p>
    <w:p w14:paraId="2B4B3C4D" w14:textId="5D044828" w:rsidR="003741F6" w:rsidRPr="003741F6" w:rsidRDefault="003741F6" w:rsidP="00D209EB">
      <w:pPr>
        <w:spacing w:after="120" w:line="480" w:lineRule="auto"/>
        <w:jc w:val="center"/>
        <w:rPr>
          <w:lang w:val="en-GB"/>
        </w:rPr>
      </w:pPr>
      <w:r w:rsidRPr="003741F6">
        <w:rPr>
          <w:lang w:val="en-GB"/>
        </w:rPr>
        <w:t>Sarah Clayton</w:t>
      </w:r>
    </w:p>
    <w:p w14:paraId="005521F4" w14:textId="0851216B" w:rsidR="003741F6" w:rsidRDefault="003741F6" w:rsidP="00D209EB">
      <w:pPr>
        <w:spacing w:after="120" w:line="480" w:lineRule="auto"/>
        <w:jc w:val="center"/>
        <w:rPr>
          <w:lang w:val="en-GB"/>
        </w:rPr>
      </w:pPr>
      <w:r w:rsidRPr="003741F6">
        <w:rPr>
          <w:lang w:val="en-GB"/>
        </w:rPr>
        <w:t>University of Southern California</w:t>
      </w:r>
    </w:p>
    <w:p w14:paraId="2B78486C" w14:textId="77777777" w:rsidR="008F3A88" w:rsidRDefault="008F3A88" w:rsidP="00D209EB">
      <w:pPr>
        <w:spacing w:after="120" w:line="480" w:lineRule="auto"/>
        <w:jc w:val="center"/>
        <w:rPr>
          <w:lang w:val="en-GB"/>
        </w:rPr>
      </w:pPr>
    </w:p>
    <w:p w14:paraId="65717249" w14:textId="77777777" w:rsidR="008F3A88" w:rsidRDefault="008F3A88" w:rsidP="008F3A88">
      <w:pPr>
        <w:spacing w:after="120" w:line="480" w:lineRule="auto"/>
        <w:jc w:val="center"/>
        <w:rPr>
          <w:lang w:val="en-GB"/>
        </w:rPr>
      </w:pPr>
      <w:r>
        <w:rPr>
          <w:lang w:val="en-GB"/>
        </w:rPr>
        <w:t xml:space="preserve">Draft paper to be presented at </w:t>
      </w:r>
      <w:r w:rsidRPr="005A3EF9">
        <w:rPr>
          <w:lang w:val="en-GB"/>
        </w:rPr>
        <w:t xml:space="preserve">XXXVI Sunbelt Social Networks Conference of the International Network for Social Network Analysis (INSNA), </w:t>
      </w:r>
      <w:r>
        <w:rPr>
          <w:lang w:val="en-GB"/>
        </w:rPr>
        <w:br/>
      </w:r>
      <w:r w:rsidRPr="005A3EF9">
        <w:rPr>
          <w:lang w:val="en-GB"/>
        </w:rPr>
        <w:t>5-10 April 2016, in Newport Beach, California.</w:t>
      </w:r>
    </w:p>
    <w:p w14:paraId="407F0F0E" w14:textId="77777777" w:rsidR="008F3A88" w:rsidRPr="003741F6" w:rsidRDefault="008F3A88" w:rsidP="00D209EB">
      <w:pPr>
        <w:spacing w:after="120" w:line="480" w:lineRule="auto"/>
        <w:jc w:val="center"/>
        <w:rPr>
          <w:lang w:val="en-GB"/>
        </w:rPr>
      </w:pPr>
    </w:p>
    <w:p w14:paraId="661FD1A2" w14:textId="77777777" w:rsidR="00D209EB" w:rsidRDefault="00D209EB" w:rsidP="00D209EB">
      <w:pPr>
        <w:spacing w:after="120" w:line="480" w:lineRule="auto"/>
        <w:jc w:val="center"/>
        <w:outlineLvl w:val="0"/>
        <w:rPr>
          <w:b/>
          <w:lang w:val="en-GB"/>
        </w:rPr>
      </w:pPr>
      <w:r>
        <w:rPr>
          <w:b/>
          <w:lang w:val="en-GB"/>
        </w:rPr>
        <w:br w:type="page"/>
      </w:r>
    </w:p>
    <w:p w14:paraId="3062C5BC" w14:textId="77777777" w:rsidR="008F3A88" w:rsidRDefault="008F3A88" w:rsidP="008F3A88">
      <w:pPr>
        <w:spacing w:after="120" w:line="480" w:lineRule="auto"/>
        <w:jc w:val="center"/>
        <w:outlineLvl w:val="0"/>
        <w:rPr>
          <w:b/>
          <w:lang w:val="en-GB"/>
        </w:rPr>
      </w:pPr>
      <w:r>
        <w:rPr>
          <w:b/>
          <w:lang w:val="en-GB"/>
        </w:rPr>
        <w:lastRenderedPageBreak/>
        <w:t>Abstract</w:t>
      </w:r>
    </w:p>
    <w:p w14:paraId="58488B72" w14:textId="77777777" w:rsidR="008F3A88" w:rsidRPr="00961B9D" w:rsidRDefault="008F3A88" w:rsidP="008F3A88">
      <w:pPr>
        <w:spacing w:after="120" w:line="480" w:lineRule="auto"/>
        <w:outlineLvl w:val="0"/>
        <w:rPr>
          <w:lang w:val="en-GB"/>
        </w:rPr>
      </w:pPr>
      <w:r w:rsidRPr="00961B9D">
        <w:rPr>
          <w:lang w:val="en-GB"/>
        </w:rPr>
        <w:t xml:space="preserve">Most </w:t>
      </w:r>
      <w:proofErr w:type="spellStart"/>
      <w:r w:rsidRPr="00961B9D">
        <w:rPr>
          <w:lang w:val="en-GB"/>
        </w:rPr>
        <w:t>homophily</w:t>
      </w:r>
      <w:proofErr w:type="spellEnd"/>
      <w:r w:rsidRPr="00961B9D">
        <w:rPr>
          <w:lang w:val="en-GB"/>
        </w:rPr>
        <w:t xml:space="preserve"> studies have focused on individuals, rather than organisations. Research has demonstrated that </w:t>
      </w:r>
      <w:proofErr w:type="spellStart"/>
      <w:r w:rsidRPr="00961B9D">
        <w:rPr>
          <w:lang w:val="en-GB"/>
        </w:rPr>
        <w:t>homophily</w:t>
      </w:r>
      <w:proofErr w:type="spellEnd"/>
      <w:r w:rsidRPr="00961B9D">
        <w:rPr>
          <w:lang w:val="en-GB"/>
        </w:rPr>
        <w:t xml:space="preserve"> patterns increase as the number of distinct relationships between two individuals increase; hence, there’s more </w:t>
      </w:r>
      <w:proofErr w:type="spellStart"/>
      <w:r w:rsidRPr="00961B9D">
        <w:rPr>
          <w:lang w:val="en-GB"/>
        </w:rPr>
        <w:t>homophily</w:t>
      </w:r>
      <w:proofErr w:type="spellEnd"/>
      <w:r w:rsidRPr="00961B9D">
        <w:rPr>
          <w:lang w:val="en-GB"/>
        </w:rPr>
        <w:t xml:space="preserve"> in multiplex networks than simplex networks. The Internet Corporation for Assigned Names and Numbers (ICANN) passed the Documentary Information Disclosure Policy (DIDP), its version of the the Freedom of Information Act, in February 2008, to “ensure that information contained in documents concerning ICANN's operational activities, and within ICANN's possession, custody, or control, are made available to the public unless there is a compelling reason for confidentiality” (ICANN, 2008). ICANN must respond to DIDP requests within 30 days and information and documents may be withheld if the requested information falls under one or more of ICANN-identified 12 Defined Conditions of Non-Disclosure (DCND). These essentially provide an administrative loophole for ICANN to restrict the free flow of information. </w:t>
      </w:r>
    </w:p>
    <w:p w14:paraId="721A7F8F" w14:textId="77777777" w:rsidR="008F3A88" w:rsidRDefault="008F3A88" w:rsidP="008F3A88">
      <w:pPr>
        <w:spacing w:after="120" w:line="480" w:lineRule="auto"/>
        <w:ind w:firstLine="720"/>
        <w:outlineLvl w:val="0"/>
        <w:rPr>
          <w:lang w:val="en-GB"/>
        </w:rPr>
      </w:pPr>
      <w:r w:rsidRPr="00961B9D">
        <w:rPr>
          <w:lang w:val="en-GB"/>
        </w:rPr>
        <w:t xml:space="preserve">The present research examines status </w:t>
      </w:r>
      <w:proofErr w:type="spellStart"/>
      <w:r w:rsidRPr="00961B9D">
        <w:rPr>
          <w:lang w:val="en-GB"/>
        </w:rPr>
        <w:t>homophily</w:t>
      </w:r>
      <w:proofErr w:type="spellEnd"/>
      <w:r w:rsidRPr="00961B9D">
        <w:rPr>
          <w:lang w:val="en-GB"/>
        </w:rPr>
        <w:t xml:space="preserve"> in relation to DCND cited by ICANN in response to DIDP requests from organisations and individuals. It compares the 91 DIDP requests, submitted to ICANN between September 2008 and September 2015, to the DCND invoked in their responses in relation to the attributes of each request, including organisation type (e.g. internet non-profit) and word count. Shared DCND (edges) connect the 91 DIDP Request IDs (nodes). As it is not possible to fit an exponential random graph model (ERGM) to a multiplex network in R, undirected, unidimensional networks are constructed for four separate categories of DCND: Affect Individual, Burdensome, Compromise ICANN Integrity, and Confidential External Business Information. Statistical p* models demonstrate that lengthier DIDP requests tend to receive greater numbers of DCND, which implies that longer submissions ask for what ICANN considers as contentious </w:t>
      </w:r>
      <w:r w:rsidRPr="00961B9D">
        <w:rPr>
          <w:lang w:val="en-GB"/>
        </w:rPr>
        <w:lastRenderedPageBreak/>
        <w:t xml:space="preserve">information. ICANN stakeholder groups/working groups are more likely to receive conditions in every condition category, except Affect Individual, which suggests they request quite sensitive and/or contentious information. It is rare for Burdensome conditions to be imposed on law firms, as they have a tendency to request precise information in relation to a specific case, rather than excessive or unreasonable quantities of information. Registrants are less likely to receive ICANN Integrity conditions as they are more concerned about their own domain name registrations than the inner-workings of ICANN. Further, Confidential External Business Information conditions are less likely to be imposed on internet non-profits, as they tend to be interested in ICANN’s interface with internet governance and other related concerns, over third-party business interests. Altogether, the results support the idea that DIDP requests with a higher word count receive more DCND, and in many cases individuals and organisations that fall into the same category/industry sector receive similar DCND. The findings have implications for prospective DIDP requesters and enhancing ICANN’s transparency and accountability processes. </w:t>
      </w:r>
    </w:p>
    <w:p w14:paraId="3E186FDE" w14:textId="7497C195" w:rsidR="008F3A88" w:rsidRDefault="008F3A88" w:rsidP="008F3A88">
      <w:pPr>
        <w:ind w:firstLine="720"/>
      </w:pPr>
      <w:r w:rsidRPr="007F3262">
        <w:rPr>
          <w:i/>
        </w:rPr>
        <w:t>Keywords:</w:t>
      </w:r>
      <w:r>
        <w:t xml:space="preserve"> </w:t>
      </w:r>
      <w:proofErr w:type="spellStart"/>
      <w:r w:rsidR="00BC5BD2" w:rsidRPr="003747CE">
        <w:rPr>
          <w:lang w:val="en-GB"/>
        </w:rPr>
        <w:t>homophily</w:t>
      </w:r>
      <w:proofErr w:type="spellEnd"/>
      <w:r w:rsidR="00BC5BD2">
        <w:t xml:space="preserve">, </w:t>
      </w:r>
      <w:r>
        <w:t>ICANN</w:t>
      </w:r>
      <w:r>
        <w:t xml:space="preserve">, </w:t>
      </w:r>
      <w:r>
        <w:t>DIDP</w:t>
      </w:r>
      <w:r>
        <w:t xml:space="preserve">, </w:t>
      </w:r>
      <w:r>
        <w:t>freedom of information</w:t>
      </w:r>
      <w:bookmarkStart w:id="0" w:name="_GoBack"/>
      <w:bookmarkEnd w:id="0"/>
    </w:p>
    <w:p w14:paraId="44CB1604" w14:textId="77777777" w:rsidR="008F3A88" w:rsidRPr="00961B9D" w:rsidRDefault="008F3A88" w:rsidP="008F3A88">
      <w:pPr>
        <w:spacing w:after="120" w:line="480" w:lineRule="auto"/>
        <w:ind w:firstLine="720"/>
        <w:outlineLvl w:val="0"/>
        <w:rPr>
          <w:lang w:val="en-GB"/>
        </w:rPr>
      </w:pPr>
    </w:p>
    <w:p w14:paraId="384235D7" w14:textId="77777777" w:rsidR="008F3A88" w:rsidRDefault="008F3A88" w:rsidP="00D209EB">
      <w:pPr>
        <w:spacing w:after="120" w:line="480" w:lineRule="auto"/>
        <w:jc w:val="center"/>
        <w:outlineLvl w:val="0"/>
        <w:rPr>
          <w:b/>
          <w:lang w:val="en-GB"/>
        </w:rPr>
      </w:pPr>
      <w:r>
        <w:rPr>
          <w:b/>
          <w:lang w:val="en-GB"/>
        </w:rPr>
        <w:br w:type="page"/>
      </w:r>
    </w:p>
    <w:p w14:paraId="09AD282D" w14:textId="49E383C0" w:rsidR="00190DD5" w:rsidRPr="003747CE" w:rsidRDefault="00190DD5" w:rsidP="00D209EB">
      <w:pPr>
        <w:spacing w:after="120" w:line="480" w:lineRule="auto"/>
        <w:jc w:val="center"/>
        <w:outlineLvl w:val="0"/>
        <w:rPr>
          <w:b/>
          <w:lang w:val="en-GB"/>
        </w:rPr>
      </w:pPr>
      <w:r w:rsidRPr="003747CE">
        <w:rPr>
          <w:b/>
          <w:lang w:val="en-GB"/>
        </w:rPr>
        <w:lastRenderedPageBreak/>
        <w:t>Introduction</w:t>
      </w:r>
    </w:p>
    <w:p w14:paraId="183C4613" w14:textId="1A5B6DBE" w:rsidR="0031383F" w:rsidRPr="003747CE" w:rsidRDefault="00297AF4" w:rsidP="00D209EB">
      <w:pPr>
        <w:spacing w:after="120" w:line="480" w:lineRule="auto"/>
        <w:ind w:firstLine="720"/>
        <w:rPr>
          <w:lang w:val="en-GB"/>
        </w:rPr>
      </w:pPr>
      <w:r w:rsidRPr="003747CE">
        <w:rPr>
          <w:lang w:val="en-GB"/>
        </w:rPr>
        <w:t>The Internet Corporation for Assigned Names and Numbers (</w:t>
      </w:r>
      <w:r w:rsidR="003719BA" w:rsidRPr="003747CE">
        <w:rPr>
          <w:lang w:val="en-GB"/>
        </w:rPr>
        <w:t>ICANN</w:t>
      </w:r>
      <w:r w:rsidRPr="003747CE">
        <w:rPr>
          <w:lang w:val="en-GB"/>
        </w:rPr>
        <w:t>)</w:t>
      </w:r>
      <w:r w:rsidR="003719BA" w:rsidRPr="003747CE">
        <w:rPr>
          <w:lang w:val="en-GB"/>
        </w:rPr>
        <w:t xml:space="preserve"> </w:t>
      </w:r>
      <w:r w:rsidR="00DB2DD4" w:rsidRPr="003747CE">
        <w:rPr>
          <w:lang w:val="en-GB"/>
        </w:rPr>
        <w:t xml:space="preserve">passed </w:t>
      </w:r>
      <w:r w:rsidR="003719BA" w:rsidRPr="003747CE">
        <w:rPr>
          <w:lang w:val="en-GB"/>
        </w:rPr>
        <w:t xml:space="preserve">the Documentary Information Disclosure Policy (DIDP), its version of the the Freedom of Information Act, </w:t>
      </w:r>
      <w:r w:rsidR="00DB2DD4" w:rsidRPr="003747CE">
        <w:rPr>
          <w:lang w:val="en-GB"/>
        </w:rPr>
        <w:t>in February 2008,</w:t>
      </w:r>
      <w:r w:rsidR="003719BA" w:rsidRPr="003747CE">
        <w:rPr>
          <w:lang w:val="en-GB"/>
        </w:rPr>
        <w:t xml:space="preserve"> to “ensure that information contained in documents concerning ICANN's operational activities, and within ICANN's pos</w:t>
      </w:r>
      <w:r w:rsidR="00CF3493" w:rsidRPr="003747CE">
        <w:rPr>
          <w:lang w:val="en-GB"/>
        </w:rPr>
        <w:t>session, custody, or control, are</w:t>
      </w:r>
      <w:r w:rsidR="003719BA" w:rsidRPr="003747CE">
        <w:rPr>
          <w:lang w:val="en-GB"/>
        </w:rPr>
        <w:t xml:space="preserve"> made available to the public unless there is a compelling reason for confidentiality” (ICANN, </w:t>
      </w:r>
      <w:r w:rsidR="00DB2DD4" w:rsidRPr="003747CE">
        <w:rPr>
          <w:lang w:val="en-GB"/>
        </w:rPr>
        <w:t>2008</w:t>
      </w:r>
      <w:r w:rsidR="003719BA" w:rsidRPr="003747CE">
        <w:rPr>
          <w:lang w:val="en-GB"/>
        </w:rPr>
        <w:t>).</w:t>
      </w:r>
      <w:r w:rsidR="00A56F86" w:rsidRPr="003747CE">
        <w:rPr>
          <w:lang w:val="en-GB"/>
        </w:rPr>
        <w:t xml:space="preserve"> </w:t>
      </w:r>
      <w:r w:rsidR="003719BA" w:rsidRPr="003747CE">
        <w:rPr>
          <w:lang w:val="en-GB"/>
        </w:rPr>
        <w:t xml:space="preserve">It is one of </w:t>
      </w:r>
      <w:r w:rsidR="005D1ED7" w:rsidRPr="003747CE">
        <w:rPr>
          <w:lang w:val="en-GB"/>
        </w:rPr>
        <w:t xml:space="preserve">ICANN’s many mechanisms to meet accountability and transparency obligations set forth in Article 7 of the Affirmation of Commitments, Article 4 of its Articles of Incorporation, and Article 1, Section 2(7) of its Bylaws. </w:t>
      </w:r>
    </w:p>
    <w:p w14:paraId="151A270F" w14:textId="0354D7CB" w:rsidR="00E53705" w:rsidRPr="003747CE" w:rsidRDefault="00CB0B8A" w:rsidP="00D209EB">
      <w:pPr>
        <w:spacing w:after="120" w:line="480" w:lineRule="auto"/>
        <w:ind w:firstLine="720"/>
        <w:rPr>
          <w:lang w:val="en-GB"/>
        </w:rPr>
      </w:pPr>
      <w:r w:rsidRPr="003747CE">
        <w:rPr>
          <w:lang w:val="en-GB"/>
        </w:rPr>
        <w:t xml:space="preserve">ICANN must respond to DIDP requests within 30 days and information </w:t>
      </w:r>
      <w:r w:rsidR="00A56F86" w:rsidRPr="003747CE">
        <w:rPr>
          <w:lang w:val="en-GB"/>
        </w:rPr>
        <w:t>and documents may</w:t>
      </w:r>
      <w:r w:rsidR="0031383F" w:rsidRPr="003747CE">
        <w:rPr>
          <w:lang w:val="en-GB"/>
        </w:rPr>
        <w:t xml:space="preserve"> be withheld</w:t>
      </w:r>
      <w:r w:rsidR="00A56F86" w:rsidRPr="003747CE">
        <w:rPr>
          <w:lang w:val="en-GB"/>
        </w:rPr>
        <w:t xml:space="preserve"> if the requested information falls under one or more</w:t>
      </w:r>
      <w:r w:rsidR="00935C12" w:rsidRPr="003747CE">
        <w:rPr>
          <w:lang w:val="en-GB"/>
        </w:rPr>
        <w:t xml:space="preserve"> of</w:t>
      </w:r>
      <w:r w:rsidR="00A56F86" w:rsidRPr="003747CE">
        <w:rPr>
          <w:lang w:val="en-GB"/>
        </w:rPr>
        <w:t xml:space="preserve"> ICANN-identified 12</w:t>
      </w:r>
      <w:r w:rsidR="00935C12" w:rsidRPr="003747CE">
        <w:rPr>
          <w:lang w:val="en-GB"/>
        </w:rPr>
        <w:t xml:space="preserve"> </w:t>
      </w:r>
      <w:r w:rsidR="00A56F86" w:rsidRPr="003747CE">
        <w:rPr>
          <w:lang w:val="en-GB"/>
        </w:rPr>
        <w:t>Defined Conditions of Non</w:t>
      </w:r>
      <w:r w:rsidR="00BD533B" w:rsidRPr="003747CE">
        <w:rPr>
          <w:lang w:val="en-GB"/>
        </w:rPr>
        <w:t>-</w:t>
      </w:r>
      <w:r w:rsidR="00A56F86" w:rsidRPr="003747CE">
        <w:rPr>
          <w:lang w:val="en-GB"/>
        </w:rPr>
        <w:t>Disclosure (</w:t>
      </w:r>
      <w:r w:rsidR="00A66C57">
        <w:rPr>
          <w:lang w:val="en-GB"/>
        </w:rPr>
        <w:t>DCND</w:t>
      </w:r>
      <w:r w:rsidR="00A56F86" w:rsidRPr="003747CE">
        <w:rPr>
          <w:lang w:val="en-GB"/>
        </w:rPr>
        <w:t xml:space="preserve">). These </w:t>
      </w:r>
      <w:r w:rsidR="00935C12" w:rsidRPr="003747CE">
        <w:rPr>
          <w:lang w:val="en-GB"/>
        </w:rPr>
        <w:t xml:space="preserve">essentially </w:t>
      </w:r>
      <w:r w:rsidR="00A56F86" w:rsidRPr="003747CE">
        <w:rPr>
          <w:lang w:val="en-GB"/>
        </w:rPr>
        <w:t xml:space="preserve">provide an administrative loophole for ICANN to </w:t>
      </w:r>
      <w:r w:rsidR="006847CB" w:rsidRPr="003747CE">
        <w:rPr>
          <w:lang w:val="en-GB"/>
        </w:rPr>
        <w:t xml:space="preserve">restrict the free flow of information. Between September 2008 and September 2015, </w:t>
      </w:r>
      <w:r w:rsidR="00A66C57">
        <w:rPr>
          <w:lang w:val="en-GB"/>
        </w:rPr>
        <w:t>DCND</w:t>
      </w:r>
      <w:r w:rsidR="00E53705" w:rsidRPr="003747CE">
        <w:rPr>
          <w:lang w:val="en-GB"/>
        </w:rPr>
        <w:t xml:space="preserve"> have been invoked in 65 of the 91 [more than two-thirds of] DIDP request responses. By concealing information, ICANN </w:t>
      </w:r>
      <w:r w:rsidR="00935C12" w:rsidRPr="003747CE">
        <w:rPr>
          <w:lang w:val="en-GB"/>
        </w:rPr>
        <w:t>can</w:t>
      </w:r>
      <w:r w:rsidR="00E53705" w:rsidRPr="003747CE">
        <w:rPr>
          <w:lang w:val="en-GB"/>
        </w:rPr>
        <w:t xml:space="preserve"> shield incompetence or</w:t>
      </w:r>
      <w:r w:rsidR="00935C12" w:rsidRPr="003747CE">
        <w:rPr>
          <w:lang w:val="en-GB"/>
        </w:rPr>
        <w:t xml:space="preserve"> misconduct</w:t>
      </w:r>
      <w:r w:rsidR="00336D0D" w:rsidRPr="003747CE">
        <w:rPr>
          <w:lang w:val="en-GB"/>
        </w:rPr>
        <w:t xml:space="preserve">, especially as </w:t>
      </w:r>
      <w:r w:rsidR="006A4C7D" w:rsidRPr="003747CE">
        <w:rPr>
          <w:lang w:val="en-GB"/>
        </w:rPr>
        <w:t>there is inadequate means of independent appeal – only the ICANN reconsideration process</w:t>
      </w:r>
      <w:r w:rsidR="00F97F50" w:rsidRPr="003747CE">
        <w:rPr>
          <w:lang w:val="en-GB"/>
        </w:rPr>
        <w:t>, which is not independent of the ICANN Board</w:t>
      </w:r>
      <w:r w:rsidR="00935C12" w:rsidRPr="003747CE">
        <w:rPr>
          <w:lang w:val="en-GB"/>
        </w:rPr>
        <w:t xml:space="preserve">. </w:t>
      </w:r>
      <w:r w:rsidR="006A4C7D" w:rsidRPr="003747CE">
        <w:rPr>
          <w:lang w:val="en-GB"/>
        </w:rPr>
        <w:t xml:space="preserve">The DIDP is meant to enhance public transparency, in line with ICANN’s </w:t>
      </w:r>
      <w:r w:rsidR="00935C12" w:rsidRPr="003747CE">
        <w:rPr>
          <w:lang w:val="en-GB"/>
        </w:rPr>
        <w:t>commitment to accountability and transparency</w:t>
      </w:r>
      <w:r w:rsidR="006A4C7D" w:rsidRPr="003747CE">
        <w:rPr>
          <w:lang w:val="en-GB"/>
        </w:rPr>
        <w:t>, which ICANN states as being</w:t>
      </w:r>
      <w:r w:rsidR="00935C12" w:rsidRPr="003747CE">
        <w:rPr>
          <w:lang w:val="en-GB"/>
        </w:rPr>
        <w:t xml:space="preserve"> paramount to </w:t>
      </w:r>
      <w:r w:rsidR="006A5D96" w:rsidRPr="003747CE">
        <w:rPr>
          <w:lang w:val="en-GB"/>
        </w:rPr>
        <w:t>“</w:t>
      </w:r>
      <w:r w:rsidR="00935C12" w:rsidRPr="003747CE">
        <w:rPr>
          <w:lang w:val="en-GB"/>
        </w:rPr>
        <w:t>ensuring that its international, bottom-up and multi-stakeholder operating model remains effective</w:t>
      </w:r>
      <w:r w:rsidR="006A5D96" w:rsidRPr="003747CE">
        <w:rPr>
          <w:lang w:val="en-GB"/>
        </w:rPr>
        <w:t>” (ICANN, 2014)</w:t>
      </w:r>
      <w:r w:rsidR="006A4C7D" w:rsidRPr="003747CE">
        <w:rPr>
          <w:lang w:val="en-GB"/>
        </w:rPr>
        <w:t xml:space="preserve">. </w:t>
      </w:r>
      <w:r w:rsidR="00D12A72" w:rsidRPr="003747CE">
        <w:rPr>
          <w:lang w:val="en-GB"/>
        </w:rPr>
        <w:t>The DIDP, as it stands, it not providing proper transparency, as so many requests a</w:t>
      </w:r>
      <w:r w:rsidR="009B631B" w:rsidRPr="003747CE">
        <w:rPr>
          <w:lang w:val="en-GB"/>
        </w:rPr>
        <w:t xml:space="preserve">re partially or fully rejected - </w:t>
      </w:r>
      <w:r w:rsidR="00D12A72" w:rsidRPr="003747CE">
        <w:rPr>
          <w:lang w:val="en-GB"/>
        </w:rPr>
        <w:t xml:space="preserve">as evidenced by the </w:t>
      </w:r>
      <w:r w:rsidR="009B631B" w:rsidRPr="003747CE">
        <w:rPr>
          <w:lang w:val="en-GB"/>
        </w:rPr>
        <w:t xml:space="preserve">number of </w:t>
      </w:r>
      <w:r w:rsidR="00D12A72" w:rsidRPr="003747CE">
        <w:rPr>
          <w:lang w:val="en-GB"/>
        </w:rPr>
        <w:t xml:space="preserve">DCND </w:t>
      </w:r>
      <w:r w:rsidR="009B631B" w:rsidRPr="003747CE">
        <w:rPr>
          <w:lang w:val="en-GB"/>
        </w:rPr>
        <w:t>cited in ICANN’s responses</w:t>
      </w:r>
      <w:r w:rsidR="00D12A72" w:rsidRPr="003747CE">
        <w:rPr>
          <w:lang w:val="en-GB"/>
        </w:rPr>
        <w:t xml:space="preserve">. </w:t>
      </w:r>
      <w:r w:rsidR="00F97F50" w:rsidRPr="003747CE">
        <w:rPr>
          <w:lang w:val="en-GB"/>
        </w:rPr>
        <w:t>I</w:t>
      </w:r>
      <w:r w:rsidR="00935C12" w:rsidRPr="003747CE">
        <w:rPr>
          <w:lang w:val="en-GB"/>
        </w:rPr>
        <w:t>t’s</w:t>
      </w:r>
      <w:r w:rsidR="00F97F50" w:rsidRPr="003747CE">
        <w:rPr>
          <w:lang w:val="en-GB"/>
        </w:rPr>
        <w:t xml:space="preserve"> therefore</w:t>
      </w:r>
      <w:r w:rsidR="00935C12" w:rsidRPr="003747CE">
        <w:rPr>
          <w:lang w:val="en-GB"/>
        </w:rPr>
        <w:t xml:space="preserve"> essential that</w:t>
      </w:r>
      <w:r w:rsidR="006A5D96" w:rsidRPr="003747CE">
        <w:rPr>
          <w:lang w:val="en-GB"/>
        </w:rPr>
        <w:t xml:space="preserve"> the</w:t>
      </w:r>
      <w:r w:rsidR="00935C12" w:rsidRPr="003747CE">
        <w:rPr>
          <w:lang w:val="en-GB"/>
        </w:rPr>
        <w:t xml:space="preserve"> </w:t>
      </w:r>
      <w:r w:rsidR="006A5D96" w:rsidRPr="003747CE">
        <w:rPr>
          <w:lang w:val="en-GB"/>
        </w:rPr>
        <w:t xml:space="preserve">DIDP and its </w:t>
      </w:r>
      <w:r w:rsidR="00935C12" w:rsidRPr="003747CE">
        <w:rPr>
          <w:lang w:val="en-GB"/>
        </w:rPr>
        <w:t xml:space="preserve">obstructive DCND </w:t>
      </w:r>
      <w:r w:rsidR="006A5D96" w:rsidRPr="003747CE">
        <w:rPr>
          <w:lang w:val="en-GB"/>
        </w:rPr>
        <w:t xml:space="preserve">are </w:t>
      </w:r>
      <w:r w:rsidR="00935C12" w:rsidRPr="003747CE">
        <w:rPr>
          <w:lang w:val="en-GB"/>
        </w:rPr>
        <w:t>reformed</w:t>
      </w:r>
      <w:r w:rsidR="006A4C7D" w:rsidRPr="003747CE">
        <w:rPr>
          <w:lang w:val="en-GB"/>
        </w:rPr>
        <w:t xml:space="preserve"> to </w:t>
      </w:r>
      <w:r w:rsidR="00D12A72" w:rsidRPr="003747CE">
        <w:rPr>
          <w:lang w:val="en-GB"/>
        </w:rPr>
        <w:t>provide</w:t>
      </w:r>
      <w:r w:rsidR="006A4C7D" w:rsidRPr="003747CE">
        <w:rPr>
          <w:lang w:val="en-GB"/>
        </w:rPr>
        <w:t xml:space="preserve"> meaningful transparency</w:t>
      </w:r>
      <w:r w:rsidR="00D12A72" w:rsidRPr="003747CE">
        <w:rPr>
          <w:lang w:val="en-GB"/>
        </w:rPr>
        <w:t xml:space="preserve"> within the organisation</w:t>
      </w:r>
      <w:r w:rsidR="00F97F50" w:rsidRPr="003747CE">
        <w:rPr>
          <w:lang w:val="en-GB"/>
        </w:rPr>
        <w:t>.</w:t>
      </w:r>
      <w:r w:rsidR="006A4C7D" w:rsidRPr="003747CE">
        <w:rPr>
          <w:lang w:val="en-GB"/>
        </w:rPr>
        <w:t xml:space="preserve"> </w:t>
      </w:r>
    </w:p>
    <w:p w14:paraId="4ED07F01" w14:textId="7569395C" w:rsidR="00190DD5" w:rsidRPr="003747CE" w:rsidRDefault="000A5F31" w:rsidP="00287F09">
      <w:pPr>
        <w:spacing w:after="120" w:line="480" w:lineRule="auto"/>
        <w:ind w:firstLine="720"/>
        <w:rPr>
          <w:lang w:val="en-GB"/>
        </w:rPr>
      </w:pPr>
      <w:r w:rsidRPr="003747CE">
        <w:rPr>
          <w:lang w:val="en-GB"/>
        </w:rPr>
        <w:lastRenderedPageBreak/>
        <w:t xml:space="preserve">In lieu of literature </w:t>
      </w:r>
      <w:r w:rsidR="00190DD5" w:rsidRPr="003747CE">
        <w:rPr>
          <w:lang w:val="en-GB"/>
        </w:rPr>
        <w:t xml:space="preserve">concerning ICANN’s DIDP specifically, </w:t>
      </w:r>
      <w:r w:rsidRPr="003747CE">
        <w:rPr>
          <w:lang w:val="en-GB"/>
        </w:rPr>
        <w:t>I review access to information laws enacted by national governments.</w:t>
      </w:r>
      <w:r w:rsidR="002E02F5" w:rsidRPr="003747CE">
        <w:rPr>
          <w:lang w:val="en-GB"/>
        </w:rPr>
        <w:t xml:space="preserve"> While ICANN is </w:t>
      </w:r>
      <w:r w:rsidR="008A7FD6">
        <w:rPr>
          <w:lang w:val="en-GB"/>
        </w:rPr>
        <w:t xml:space="preserve">a private non-profit organisation and </w:t>
      </w:r>
      <w:r w:rsidR="002E02F5" w:rsidRPr="003747CE">
        <w:rPr>
          <w:lang w:val="en-GB"/>
        </w:rPr>
        <w:t xml:space="preserve">not an elected </w:t>
      </w:r>
      <w:r w:rsidRPr="003747CE">
        <w:rPr>
          <w:lang w:val="en-GB"/>
        </w:rPr>
        <w:t>gov</w:t>
      </w:r>
      <w:r w:rsidR="002E02F5" w:rsidRPr="003747CE">
        <w:rPr>
          <w:lang w:val="en-GB"/>
        </w:rPr>
        <w:t xml:space="preserve">ernment, </w:t>
      </w:r>
      <w:r w:rsidRPr="003747CE">
        <w:rPr>
          <w:lang w:val="en-GB"/>
        </w:rPr>
        <w:t xml:space="preserve">it does exercise </w:t>
      </w:r>
      <w:r w:rsidR="003D2871" w:rsidRPr="003747CE">
        <w:rPr>
          <w:lang w:val="en-GB"/>
        </w:rPr>
        <w:t xml:space="preserve">ample </w:t>
      </w:r>
      <w:r w:rsidRPr="003747CE">
        <w:rPr>
          <w:lang w:val="en-GB"/>
        </w:rPr>
        <w:t xml:space="preserve">regulatory </w:t>
      </w:r>
      <w:r w:rsidR="003D2871" w:rsidRPr="003747CE">
        <w:rPr>
          <w:lang w:val="en-GB"/>
        </w:rPr>
        <w:t>authority</w:t>
      </w:r>
      <w:r w:rsidR="002E02F5" w:rsidRPr="003747CE">
        <w:rPr>
          <w:lang w:val="en-GB"/>
        </w:rPr>
        <w:t xml:space="preserve"> over the technical management of the internet and protecting</w:t>
      </w:r>
      <w:r w:rsidR="00C63294" w:rsidRPr="003747CE">
        <w:rPr>
          <w:lang w:val="en-GB"/>
        </w:rPr>
        <w:t xml:space="preserve"> </w:t>
      </w:r>
      <w:r w:rsidR="002E02F5" w:rsidRPr="003747CE">
        <w:rPr>
          <w:lang w:val="en-GB"/>
        </w:rPr>
        <w:t>trademark rights</w:t>
      </w:r>
      <w:r w:rsidR="00682DB8" w:rsidRPr="003747CE">
        <w:rPr>
          <w:lang w:val="en-GB"/>
        </w:rPr>
        <w:t xml:space="preserve"> in domain names</w:t>
      </w:r>
      <w:r w:rsidR="002E02F5" w:rsidRPr="003747CE">
        <w:rPr>
          <w:lang w:val="en-GB"/>
        </w:rPr>
        <w:t xml:space="preserve">. </w:t>
      </w:r>
      <w:r w:rsidR="000176E9" w:rsidRPr="003747CE">
        <w:rPr>
          <w:lang w:val="en-GB"/>
        </w:rPr>
        <w:t xml:space="preserve">Further, in recent years, it has </w:t>
      </w:r>
      <w:r w:rsidR="002E02F5" w:rsidRPr="003747CE">
        <w:rPr>
          <w:lang w:val="en-GB"/>
        </w:rPr>
        <w:t xml:space="preserve">become a monolith for internet governance-related debates. </w:t>
      </w:r>
      <w:r w:rsidR="004D6EF6" w:rsidRPr="003747CE">
        <w:rPr>
          <w:lang w:val="en-GB"/>
        </w:rPr>
        <w:t>A</w:t>
      </w:r>
      <w:r w:rsidR="000176E9" w:rsidRPr="003747CE">
        <w:rPr>
          <w:lang w:val="en-GB"/>
        </w:rPr>
        <w:t>kin</w:t>
      </w:r>
      <w:r w:rsidR="002E02F5" w:rsidRPr="003747CE">
        <w:rPr>
          <w:lang w:val="en-GB"/>
        </w:rPr>
        <w:t xml:space="preserve"> to a democratically elected government, </w:t>
      </w:r>
      <w:r w:rsidR="00D71766" w:rsidRPr="003747CE">
        <w:rPr>
          <w:lang w:val="en-GB"/>
        </w:rPr>
        <w:t>ICANN owes stakeholders within the ICANN community the right to access a comparable degree of information, documents and records</w:t>
      </w:r>
      <w:r w:rsidR="000176E9" w:rsidRPr="003747CE">
        <w:rPr>
          <w:lang w:val="en-GB"/>
        </w:rPr>
        <w:t xml:space="preserve">. </w:t>
      </w:r>
    </w:p>
    <w:p w14:paraId="4B680A7A" w14:textId="211E0654" w:rsidR="0049348C" w:rsidRPr="003747CE" w:rsidRDefault="0049348C" w:rsidP="00D209EB">
      <w:pPr>
        <w:spacing w:after="120" w:line="480" w:lineRule="auto"/>
        <w:ind w:firstLine="720"/>
        <w:rPr>
          <w:lang w:val="en-GB"/>
        </w:rPr>
      </w:pPr>
      <w:r w:rsidRPr="003747CE">
        <w:rPr>
          <w:lang w:val="en-GB"/>
        </w:rPr>
        <w:t xml:space="preserve">In this paper, </w:t>
      </w:r>
      <w:r w:rsidR="00190DD5" w:rsidRPr="003747CE">
        <w:rPr>
          <w:lang w:val="en-GB"/>
        </w:rPr>
        <w:t>I compare ICANN requests to the DCND invoked in their responses in relation to the attributes of each request</w:t>
      </w:r>
      <w:r w:rsidR="00483402">
        <w:rPr>
          <w:lang w:val="en-GB"/>
        </w:rPr>
        <w:t xml:space="preserve">, including </w:t>
      </w:r>
      <w:r w:rsidR="00287F09">
        <w:rPr>
          <w:lang w:val="en-GB"/>
        </w:rPr>
        <w:t xml:space="preserve">organisation </w:t>
      </w:r>
      <w:r w:rsidR="00483402">
        <w:rPr>
          <w:lang w:val="en-GB"/>
        </w:rPr>
        <w:t>affiliation category</w:t>
      </w:r>
      <w:r w:rsidR="00287F09">
        <w:rPr>
          <w:lang w:val="en-GB"/>
        </w:rPr>
        <w:t xml:space="preserve"> (e.g. internet non-profit)</w:t>
      </w:r>
      <w:r w:rsidR="00483402">
        <w:rPr>
          <w:lang w:val="en-GB"/>
        </w:rPr>
        <w:t xml:space="preserve"> and word count</w:t>
      </w:r>
      <w:r w:rsidR="00190DD5" w:rsidRPr="003747CE">
        <w:rPr>
          <w:lang w:val="en-GB"/>
        </w:rPr>
        <w:t xml:space="preserve">. </w:t>
      </w:r>
      <w:r w:rsidR="00287F09">
        <w:rPr>
          <w:lang w:val="en-GB"/>
        </w:rPr>
        <w:t>I hypothesise that individuals and organisations</w:t>
      </w:r>
      <w:r w:rsidR="00756654">
        <w:rPr>
          <w:lang w:val="en-GB"/>
        </w:rPr>
        <w:t xml:space="preserve"> that </w:t>
      </w:r>
      <w:r w:rsidR="00287F09">
        <w:rPr>
          <w:lang w:val="en-GB"/>
        </w:rPr>
        <w:t>fall into the s</w:t>
      </w:r>
      <w:r w:rsidR="00756654">
        <w:rPr>
          <w:lang w:val="en-GB"/>
        </w:rPr>
        <w:t>ame category / industry sector</w:t>
      </w:r>
      <w:r w:rsidR="00287F09">
        <w:rPr>
          <w:lang w:val="en-GB"/>
        </w:rPr>
        <w:t xml:space="preserve"> will receive similar DCND. Further, DIDP requests with a higher word count will receive more DCND, than DIDP requests with a lower word count.</w:t>
      </w:r>
    </w:p>
    <w:p w14:paraId="62897945" w14:textId="4EFE37BD" w:rsidR="00190DD5" w:rsidRPr="003747CE" w:rsidRDefault="00190DD5" w:rsidP="00D209EB">
      <w:pPr>
        <w:spacing w:after="120" w:line="480" w:lineRule="auto"/>
        <w:jc w:val="center"/>
        <w:outlineLvl w:val="0"/>
        <w:rPr>
          <w:b/>
          <w:lang w:val="en-GB"/>
        </w:rPr>
      </w:pPr>
      <w:r w:rsidRPr="003747CE">
        <w:rPr>
          <w:b/>
          <w:lang w:val="en-GB"/>
        </w:rPr>
        <w:t>Background</w:t>
      </w:r>
    </w:p>
    <w:p w14:paraId="2AE23016" w14:textId="77777777" w:rsidR="00631B07" w:rsidRPr="003747CE" w:rsidRDefault="00631B07" w:rsidP="00D209EB">
      <w:pPr>
        <w:spacing w:after="120" w:line="480" w:lineRule="auto"/>
        <w:ind w:firstLine="720"/>
        <w:rPr>
          <w:lang w:val="en-GB"/>
        </w:rPr>
      </w:pPr>
      <w:r w:rsidRPr="003747CE">
        <w:rPr>
          <w:lang w:val="en-GB"/>
        </w:rPr>
        <w:t xml:space="preserve">In its seventeen-year history </w:t>
      </w:r>
      <w:r w:rsidRPr="003747CE">
        <w:rPr>
          <w:i/>
          <w:lang w:val="en-GB"/>
        </w:rPr>
        <w:t>Internet Corporation for Assigned Names and Numbers</w:t>
      </w:r>
      <w:r w:rsidRPr="003747CE">
        <w:rPr>
          <w:lang w:val="en-GB"/>
        </w:rPr>
        <w:t xml:space="preserve"> (ICANN) has considerably grown in scope and size. Headquartered in Playa Vista, Los Angeles, California, it was selected by the US Department of Commerce and formed in 1998 to implement the guidelines issued in the </w:t>
      </w:r>
      <w:r w:rsidRPr="003747CE">
        <w:rPr>
          <w:i/>
          <w:lang w:val="en-GB"/>
        </w:rPr>
        <w:t>National Telecommunications and Information Administration</w:t>
      </w:r>
      <w:r w:rsidRPr="003747CE">
        <w:rPr>
          <w:lang w:val="en-GB"/>
        </w:rPr>
        <w:t xml:space="preserve"> (NTIA) White Paper: </w:t>
      </w:r>
      <w:r w:rsidRPr="003747CE">
        <w:rPr>
          <w:i/>
          <w:lang w:val="en-GB"/>
        </w:rPr>
        <w:t xml:space="preserve">Management of Internet Names and Addresses </w:t>
      </w:r>
      <w:r w:rsidRPr="003747CE">
        <w:rPr>
          <w:lang w:val="en-GB"/>
        </w:rPr>
        <w:t xml:space="preserve">(1998). What was once a relatively small organisation for merely coordinating the technical management of the internet’s naming and addressing system, and protecting trademark rights (via the Uniform Domain Name Dispute Resolution Policy: UDRP), has, in addition to the aforementioned duties, become a monolith for internet governance-related debates. </w:t>
      </w:r>
    </w:p>
    <w:p w14:paraId="49A71BCC" w14:textId="4712710D" w:rsidR="00631B07" w:rsidRPr="003747CE" w:rsidRDefault="00631B07" w:rsidP="00D209EB">
      <w:pPr>
        <w:spacing w:after="120" w:line="480" w:lineRule="auto"/>
        <w:ind w:firstLine="720"/>
        <w:rPr>
          <w:lang w:val="en-GB"/>
        </w:rPr>
      </w:pPr>
      <w:r w:rsidRPr="003747CE">
        <w:rPr>
          <w:lang w:val="en-GB"/>
        </w:rPr>
        <w:lastRenderedPageBreak/>
        <w:t xml:space="preserve">The United States is preparing to hand over the keys to the internet. In March 2014, the NTIA, which currently oversees ICANN’s performance of the </w:t>
      </w:r>
      <w:r w:rsidRPr="003747CE">
        <w:rPr>
          <w:i/>
          <w:lang w:val="en-GB"/>
        </w:rPr>
        <w:t xml:space="preserve">Internet Assigned Numbers Authority </w:t>
      </w:r>
      <w:r w:rsidRPr="003747CE">
        <w:rPr>
          <w:lang w:val="en-GB"/>
        </w:rPr>
        <w:t>(IANA) functions, announced its intent to transition the management of the IANA functions to the global multi-stakeholder community (NTIA, 2014). These functions include IP address allocation, Domain Name System (DNS) root zone management, and protocol parameters registry maintenance. In addition, ICANN has been responsible for expanding the domain name system, adding hundreds of new Generic Top Level Domains (</w:t>
      </w:r>
      <w:proofErr w:type="spellStart"/>
      <w:r w:rsidRPr="003747CE">
        <w:rPr>
          <w:lang w:val="en-GB"/>
        </w:rPr>
        <w:t>gTLDs</w:t>
      </w:r>
      <w:proofErr w:type="spellEnd"/>
      <w:r w:rsidRPr="003747CE">
        <w:rPr>
          <w:lang w:val="en-GB"/>
        </w:rPr>
        <w:t>) to the root zone. Organisations paid $185,000 to simply apply to launch a</w:t>
      </w:r>
      <w:r w:rsidR="003514ED">
        <w:rPr>
          <w:lang w:val="en-GB"/>
        </w:rPr>
        <w:t xml:space="preserve"> registry to operate a new </w:t>
      </w:r>
      <w:proofErr w:type="spellStart"/>
      <w:r w:rsidR="003514ED">
        <w:rPr>
          <w:lang w:val="en-GB"/>
        </w:rPr>
        <w:t>gTLD</w:t>
      </w:r>
      <w:proofErr w:type="spellEnd"/>
      <w:r w:rsidRPr="003747CE">
        <w:rPr>
          <w:lang w:val="en-GB"/>
        </w:rPr>
        <w:t xml:space="preserve">, such </w:t>
      </w:r>
      <w:proofErr w:type="gramStart"/>
      <w:r w:rsidRPr="003747CE">
        <w:rPr>
          <w:lang w:val="en-GB"/>
        </w:rPr>
        <w:t>as .google</w:t>
      </w:r>
      <w:proofErr w:type="gramEnd"/>
      <w:r w:rsidRPr="003747CE">
        <w:rPr>
          <w:lang w:val="en-GB"/>
        </w:rPr>
        <w:t>; .bank; and .</w:t>
      </w:r>
      <w:proofErr w:type="spellStart"/>
      <w:r w:rsidRPr="003747CE">
        <w:rPr>
          <w:lang w:val="en-GB"/>
        </w:rPr>
        <w:t>london</w:t>
      </w:r>
      <w:proofErr w:type="spellEnd"/>
      <w:r w:rsidRPr="003747CE">
        <w:rPr>
          <w:lang w:val="en-GB"/>
        </w:rPr>
        <w:t xml:space="preserve">, and ICANN received 1,930 applications for a total of 1,409 unique strings. Auctions were held in instances where there were multiple applicants for the same string and through its “auction of last resort” ICANN made in excess of $58 million (ICANN, 2015). ICANN has been criticised for multiple failures over its handling of the process. For example, trademark owners have spoken out regarding </w:t>
      </w:r>
      <w:proofErr w:type="gramStart"/>
      <w:r w:rsidRPr="003747CE">
        <w:rPr>
          <w:lang w:val="en-GB"/>
        </w:rPr>
        <w:t>the .sucks</w:t>
      </w:r>
      <w:proofErr w:type="gramEnd"/>
      <w:r w:rsidRPr="003747CE">
        <w:rPr>
          <w:lang w:val="en-GB"/>
        </w:rPr>
        <w:t xml:space="preserve"> perceived predatory pricing model (IPC, 2015) and the .amazon objection lead by Brazil and Peru - especially as neither country holds any legally recognised rights, let alone trademark rights </w:t>
      </w:r>
      <w:r w:rsidR="00C63294" w:rsidRPr="003747CE">
        <w:rPr>
          <w:lang w:val="en-GB"/>
        </w:rPr>
        <w:t>(Forbes &amp;</w:t>
      </w:r>
      <w:r w:rsidRPr="003747CE">
        <w:rPr>
          <w:lang w:val="en-GB"/>
        </w:rPr>
        <w:t xml:space="preserve"> </w:t>
      </w:r>
      <w:proofErr w:type="spellStart"/>
      <w:r w:rsidRPr="003747CE">
        <w:rPr>
          <w:lang w:val="en-GB"/>
        </w:rPr>
        <w:t>DelBene</w:t>
      </w:r>
      <w:proofErr w:type="spellEnd"/>
      <w:r w:rsidRPr="003747CE">
        <w:rPr>
          <w:lang w:val="en-GB"/>
        </w:rPr>
        <w:t xml:space="preserve">, 2015). Decisions concerning how the new </w:t>
      </w:r>
      <w:proofErr w:type="spellStart"/>
      <w:r w:rsidRPr="003747CE">
        <w:rPr>
          <w:lang w:val="en-GB"/>
        </w:rPr>
        <w:t>gTLD</w:t>
      </w:r>
      <w:proofErr w:type="spellEnd"/>
      <w:r w:rsidRPr="003747CE">
        <w:rPr>
          <w:lang w:val="en-GB"/>
        </w:rPr>
        <w:t xml:space="preserve"> cash should be spent, </w:t>
      </w:r>
      <w:r w:rsidR="00F37564">
        <w:rPr>
          <w:lang w:val="en-GB"/>
        </w:rPr>
        <w:t xml:space="preserve">the management of the IANA transition process, </w:t>
      </w:r>
      <w:r w:rsidRPr="003747CE">
        <w:rPr>
          <w:lang w:val="en-GB"/>
        </w:rPr>
        <w:t>and ICANN’s increasingly important policy-making role, highlight the need for effective accountability within the organisation.</w:t>
      </w:r>
    </w:p>
    <w:p w14:paraId="6C967CCB" w14:textId="77777777" w:rsidR="000C56DC" w:rsidRPr="003747CE" w:rsidRDefault="00C63294" w:rsidP="00D209EB">
      <w:pPr>
        <w:spacing w:line="480" w:lineRule="auto"/>
        <w:ind w:firstLine="720"/>
        <w:rPr>
          <w:lang w:val="en-GB"/>
        </w:rPr>
      </w:pPr>
      <w:r w:rsidRPr="003747CE">
        <w:rPr>
          <w:lang w:val="en-GB"/>
        </w:rPr>
        <w:t xml:space="preserve">ICANN has multiple mechanisms to meet accountability and transparency obligations set forth in Article 7 of the Affirmation of Commitments, Article 4 of its Articles of Incorporation, and Article 1, Section 2(7) of its Bylaws, namely the: Independent Review Process (IRP); Request for Reconsideration (RR); Documentary Information Disclosure Policy (DIDP); and Ombudsman. These processes within the wider ICANN structure have been described as having “serious deficiencies” (Weber &amp; </w:t>
      </w:r>
      <w:proofErr w:type="spellStart"/>
      <w:r w:rsidRPr="003747CE">
        <w:rPr>
          <w:lang w:val="en-GB"/>
        </w:rPr>
        <w:t>Gunnarson</w:t>
      </w:r>
      <w:proofErr w:type="spellEnd"/>
      <w:r w:rsidRPr="003747CE">
        <w:rPr>
          <w:lang w:val="en-GB"/>
        </w:rPr>
        <w:t xml:space="preserve">, 2012). </w:t>
      </w:r>
    </w:p>
    <w:p w14:paraId="408DD828" w14:textId="0E395AE6" w:rsidR="00E53705" w:rsidRPr="003747CE" w:rsidRDefault="00E53705" w:rsidP="00D209EB">
      <w:pPr>
        <w:spacing w:line="480" w:lineRule="auto"/>
        <w:ind w:firstLine="720"/>
        <w:rPr>
          <w:lang w:val="en-GB"/>
        </w:rPr>
      </w:pPr>
      <w:r w:rsidRPr="003747CE">
        <w:rPr>
          <w:lang w:val="en-GB"/>
        </w:rPr>
        <w:lastRenderedPageBreak/>
        <w:t>While the DIDP was under development, ICANN community members criticised it, as being contrary to ICANN’s Bylaws and for being published without a formal policy development process (Hasbrouck, 2007). Today, the process is under more scrutiny. After seven years of operation, the DIDP has not realised its advocates’ modest objectives</w:t>
      </w:r>
      <w:r w:rsidR="00631B07" w:rsidRPr="003747CE">
        <w:rPr>
          <w:lang w:val="en-GB"/>
        </w:rPr>
        <w:t xml:space="preserve">. </w:t>
      </w:r>
      <w:r w:rsidRPr="003747CE">
        <w:rPr>
          <w:lang w:val="en-GB"/>
        </w:rPr>
        <w:t xml:space="preserve">Members of the </w:t>
      </w:r>
      <w:r w:rsidRPr="003747CE">
        <w:rPr>
          <w:bCs/>
          <w:lang w:val="en-GB"/>
        </w:rPr>
        <w:t>Cross Community Working Group</w:t>
      </w:r>
      <w:r w:rsidRPr="003747CE">
        <w:rPr>
          <w:lang w:val="en-GB"/>
        </w:rPr>
        <w:t> on</w:t>
      </w:r>
      <w:r w:rsidR="00631B07" w:rsidRPr="003747CE">
        <w:rPr>
          <w:lang w:val="en-GB"/>
        </w:rPr>
        <w:t xml:space="preserve"> </w:t>
      </w:r>
      <w:r w:rsidRPr="003747CE">
        <w:rPr>
          <w:lang w:val="en-GB"/>
        </w:rPr>
        <w:t>Enhancing</w:t>
      </w:r>
      <w:r w:rsidR="00631B07" w:rsidRPr="003747CE">
        <w:rPr>
          <w:lang w:val="en-GB"/>
        </w:rPr>
        <w:t xml:space="preserve"> </w:t>
      </w:r>
      <w:r w:rsidRPr="003747CE">
        <w:rPr>
          <w:bCs/>
          <w:lang w:val="en-GB"/>
        </w:rPr>
        <w:t>ICANN</w:t>
      </w:r>
      <w:r w:rsidR="00631B07" w:rsidRPr="003747CE">
        <w:rPr>
          <w:lang w:val="en-GB"/>
        </w:rPr>
        <w:t xml:space="preserve"> </w:t>
      </w:r>
      <w:r w:rsidRPr="003747CE">
        <w:rPr>
          <w:lang w:val="en-GB"/>
        </w:rPr>
        <w:t>Accountability</w:t>
      </w:r>
      <w:r w:rsidR="00631B07" w:rsidRPr="003747CE">
        <w:rPr>
          <w:lang w:val="en-GB"/>
        </w:rPr>
        <w:t xml:space="preserve"> </w:t>
      </w:r>
      <w:r w:rsidRPr="003747CE">
        <w:rPr>
          <w:lang w:val="en-GB"/>
        </w:rPr>
        <w:t xml:space="preserve">(CCWG-Accountability) are proposing DIDP reforms as part of </w:t>
      </w:r>
      <w:proofErr w:type="spellStart"/>
      <w:r w:rsidRPr="003747CE">
        <w:rPr>
          <w:lang w:val="en-GB"/>
        </w:rPr>
        <w:t>Workstream</w:t>
      </w:r>
      <w:proofErr w:type="spellEnd"/>
      <w:r w:rsidRPr="003747CE">
        <w:rPr>
          <w:lang w:val="en-GB"/>
        </w:rPr>
        <w:t xml:space="preserve"> 2 (WS2). WS2 is the second stage of the team’s work on enhancing ICANN’s transparency and accountability processes in preparation for transitioning the </w:t>
      </w:r>
      <w:r w:rsidR="003C2F82" w:rsidRPr="003747CE">
        <w:rPr>
          <w:lang w:val="en-GB"/>
        </w:rPr>
        <w:t xml:space="preserve">management of the IANA </w:t>
      </w:r>
      <w:r w:rsidRPr="003747CE">
        <w:rPr>
          <w:lang w:val="en-GB"/>
        </w:rPr>
        <w:t>functions away from the U.S. Government, to the global multi-stakeholder community (NTIA, 2014). WS2 is “focused on addressing accountability topics for which a timeline for developing solutions and full implementation may extend beyond the IANA Stewardship Transition” (</w:t>
      </w:r>
      <w:proofErr w:type="spellStart"/>
      <w:r w:rsidRPr="003747CE">
        <w:rPr>
          <w:lang w:val="en-GB"/>
        </w:rPr>
        <w:t>Rickert</w:t>
      </w:r>
      <w:proofErr w:type="spellEnd"/>
      <w:r w:rsidRPr="003747CE">
        <w:rPr>
          <w:lang w:val="en-GB"/>
        </w:rPr>
        <w:t xml:space="preserve">, et al., 2015). </w:t>
      </w:r>
    </w:p>
    <w:p w14:paraId="107595AE" w14:textId="32127EFA" w:rsidR="003C2F82" w:rsidRPr="003747CE" w:rsidRDefault="0031383F" w:rsidP="00D209EB">
      <w:pPr>
        <w:spacing w:after="120" w:line="480" w:lineRule="auto"/>
        <w:ind w:firstLine="720"/>
        <w:rPr>
          <w:lang w:val="en-GB"/>
        </w:rPr>
      </w:pPr>
      <w:r w:rsidRPr="003747CE">
        <w:rPr>
          <w:lang w:val="en-GB"/>
        </w:rPr>
        <w:t xml:space="preserve">It has been recommended that the </w:t>
      </w:r>
      <w:r w:rsidR="00696960" w:rsidRPr="003747CE">
        <w:rPr>
          <w:lang w:val="en-GB"/>
        </w:rPr>
        <w:t>DIDP should be brought into line with mechanisms found in comparable international organisa</w:t>
      </w:r>
      <w:r w:rsidR="00696960" w:rsidRPr="00D95FB3">
        <w:rPr>
          <w:lang w:val="en-GB"/>
        </w:rPr>
        <w:t>tions</w:t>
      </w:r>
      <w:r w:rsidR="008A7FD6">
        <w:rPr>
          <w:lang w:val="en-GB"/>
        </w:rPr>
        <w:t xml:space="preserve">. Further, </w:t>
      </w:r>
      <w:r w:rsidR="00A42697">
        <w:rPr>
          <w:lang w:val="en-GB"/>
        </w:rPr>
        <w:t xml:space="preserve">the </w:t>
      </w:r>
      <w:r w:rsidR="008A7FD6">
        <w:rPr>
          <w:lang w:val="en-GB"/>
        </w:rPr>
        <w:t>DCND should b</w:t>
      </w:r>
      <w:r w:rsidR="003D3313">
        <w:rPr>
          <w:lang w:val="en-GB"/>
        </w:rPr>
        <w:t>e worded “as narrowly as possible”; however,</w:t>
      </w:r>
      <w:r w:rsidR="00A42697">
        <w:rPr>
          <w:lang w:val="en-GB"/>
        </w:rPr>
        <w:t xml:space="preserve"> as</w:t>
      </w:r>
      <w:r w:rsidR="00440B8D">
        <w:rPr>
          <w:lang w:val="en-GB"/>
        </w:rPr>
        <w:t xml:space="preserve"> many of</w:t>
      </w:r>
      <w:r w:rsidR="003D3313">
        <w:rPr>
          <w:lang w:val="en-GB"/>
        </w:rPr>
        <w:t xml:space="preserve"> the conditions applied in the DIDP are overbroad</w:t>
      </w:r>
      <w:r w:rsidR="008A7FD6">
        <w:rPr>
          <w:lang w:val="en-GB"/>
        </w:rPr>
        <w:t>, and ICANN has wide discretion to deny requests</w:t>
      </w:r>
      <w:r w:rsidR="00440B8D">
        <w:rPr>
          <w:lang w:val="en-GB"/>
        </w:rPr>
        <w:t xml:space="preserve"> (</w:t>
      </w:r>
      <w:proofErr w:type="spellStart"/>
      <w:r w:rsidR="00440B8D" w:rsidRPr="00FF147C">
        <w:rPr>
          <w:lang w:val="en-GB"/>
        </w:rPr>
        <w:t>Karanicolas</w:t>
      </w:r>
      <w:proofErr w:type="spellEnd"/>
      <w:r w:rsidR="00440B8D">
        <w:rPr>
          <w:lang w:val="en-GB"/>
        </w:rPr>
        <w:t>, 2015)</w:t>
      </w:r>
      <w:r w:rsidR="003D3313">
        <w:rPr>
          <w:lang w:val="en-GB"/>
        </w:rPr>
        <w:t xml:space="preserve">. </w:t>
      </w:r>
    </w:p>
    <w:p w14:paraId="2EFB9591" w14:textId="6ACA9773" w:rsidR="004D6EF6" w:rsidRPr="003747CE" w:rsidRDefault="00FE44A9" w:rsidP="00D209EB">
      <w:pPr>
        <w:spacing w:after="120" w:line="480" w:lineRule="auto"/>
        <w:jc w:val="center"/>
        <w:outlineLvl w:val="0"/>
        <w:rPr>
          <w:b/>
          <w:lang w:val="en-GB"/>
        </w:rPr>
      </w:pPr>
      <w:r w:rsidRPr="003747CE">
        <w:rPr>
          <w:b/>
          <w:lang w:val="en-GB"/>
        </w:rPr>
        <w:t xml:space="preserve">A similar mechanism: </w:t>
      </w:r>
      <w:r w:rsidR="00BD533B" w:rsidRPr="003747CE">
        <w:rPr>
          <w:b/>
          <w:lang w:val="en-GB"/>
        </w:rPr>
        <w:t>The Freedom of Information Act</w:t>
      </w:r>
    </w:p>
    <w:p w14:paraId="1C364D54" w14:textId="51330285" w:rsidR="00BD533B" w:rsidRPr="003747CE" w:rsidRDefault="00BD533B" w:rsidP="00D209EB">
      <w:pPr>
        <w:spacing w:after="120" w:line="480" w:lineRule="auto"/>
        <w:ind w:firstLine="720"/>
        <w:rPr>
          <w:lang w:val="en-GB"/>
        </w:rPr>
      </w:pPr>
      <w:r w:rsidRPr="003747CE">
        <w:rPr>
          <w:lang w:val="en-GB"/>
        </w:rPr>
        <w:t>The existence of exemptions, or conditions of non-disclosure, is central to any freedom of information regime (</w:t>
      </w:r>
      <w:proofErr w:type="spellStart"/>
      <w:r w:rsidRPr="003747CE">
        <w:rPr>
          <w:lang w:val="en-GB"/>
        </w:rPr>
        <w:t>Birkinshaw</w:t>
      </w:r>
      <w:proofErr w:type="spellEnd"/>
      <w:r w:rsidRPr="003747CE">
        <w:rPr>
          <w:lang w:val="en-GB"/>
        </w:rPr>
        <w:t xml:space="preserve">, 2010). A public interest test determines whether information is released or retained if an exemption applies. </w:t>
      </w:r>
      <w:r w:rsidR="00E24A0F" w:rsidRPr="003747CE">
        <w:rPr>
          <w:lang w:val="en-GB"/>
        </w:rPr>
        <w:t>The Freedom of Information Act (FOIA) of 1966 afforded public access to information unless it fell into one of nine exemption categories. These exemptions protected three sets of interests:</w:t>
      </w:r>
      <w:r w:rsidR="009F2D15" w:rsidRPr="003747CE">
        <w:rPr>
          <w:lang w:val="en-GB"/>
        </w:rPr>
        <w:t xml:space="preserve"> personal privacy interests, business interests, and government interests (Metcalfe, 2014). </w:t>
      </w:r>
      <w:r w:rsidR="00197A8C" w:rsidRPr="003747CE">
        <w:rPr>
          <w:lang w:val="en-GB"/>
        </w:rPr>
        <w:t>In response to the Watergate scandal (Congressional Quarterly, 1999), t</w:t>
      </w:r>
      <w:r w:rsidR="009F2D15" w:rsidRPr="003747CE">
        <w:rPr>
          <w:lang w:val="en-GB"/>
        </w:rPr>
        <w:t>he FOIA</w:t>
      </w:r>
      <w:r w:rsidR="00E24A0F" w:rsidRPr="003747CE">
        <w:rPr>
          <w:lang w:val="en-GB"/>
        </w:rPr>
        <w:t xml:space="preserve"> was </w:t>
      </w:r>
      <w:r w:rsidR="00197A8C" w:rsidRPr="003747CE">
        <w:rPr>
          <w:lang w:val="en-GB"/>
        </w:rPr>
        <w:t>strengthened</w:t>
      </w:r>
      <w:r w:rsidR="00E24A0F" w:rsidRPr="003747CE">
        <w:rPr>
          <w:lang w:val="en-GB"/>
        </w:rPr>
        <w:t xml:space="preserve"> in 1974</w:t>
      </w:r>
      <w:r w:rsidR="00197A8C" w:rsidRPr="003747CE">
        <w:rPr>
          <w:lang w:val="en-GB"/>
        </w:rPr>
        <w:t xml:space="preserve"> and the scope of the exemptions narrowed.</w:t>
      </w:r>
    </w:p>
    <w:p w14:paraId="5F4B7C0D" w14:textId="1279749D" w:rsidR="00A76F43" w:rsidRDefault="00197A8C" w:rsidP="00D209EB">
      <w:pPr>
        <w:spacing w:after="120" w:line="480" w:lineRule="auto"/>
        <w:ind w:firstLine="720"/>
        <w:rPr>
          <w:lang w:val="en-GB"/>
        </w:rPr>
      </w:pPr>
      <w:r w:rsidRPr="003747CE">
        <w:rPr>
          <w:lang w:val="en-GB"/>
        </w:rPr>
        <w:lastRenderedPageBreak/>
        <w:t xml:space="preserve">Like ICANN’s DIDP, the FOIA has faced harsh criticism over the years. </w:t>
      </w:r>
      <w:r w:rsidR="00A20273" w:rsidRPr="003747CE">
        <w:rPr>
          <w:lang w:val="en-GB"/>
        </w:rPr>
        <w:t>Prior to its 1974 reform, the exemptions embodied within FOIA enabled reluctant federal officials to avoid disclosing information (Davis, 1967; Katz, 1970</w:t>
      </w:r>
      <w:proofErr w:type="gramStart"/>
      <w:r w:rsidR="00A20273" w:rsidRPr="003747CE">
        <w:rPr>
          <w:lang w:val="en-GB"/>
        </w:rPr>
        <w:t>).</w:t>
      </w:r>
      <w:r w:rsidR="00A76F43">
        <w:rPr>
          <w:lang w:val="en-GB"/>
        </w:rPr>
        <w:t>In</w:t>
      </w:r>
      <w:proofErr w:type="gramEnd"/>
      <w:r w:rsidR="00A76F43">
        <w:rPr>
          <w:lang w:val="en-GB"/>
        </w:rPr>
        <w:t xml:space="preserve"> amending the act, the Senate Report explained that the exemptions were permissive rather than mandatory:</w:t>
      </w:r>
    </w:p>
    <w:p w14:paraId="2CF488FA" w14:textId="4EDFA1F1" w:rsidR="00197A8C" w:rsidRPr="00A76F43" w:rsidRDefault="00A76F43" w:rsidP="00A76F43">
      <w:pPr>
        <w:spacing w:after="120" w:line="480" w:lineRule="auto"/>
        <w:ind w:left="720"/>
        <w:rPr>
          <w:i/>
          <w:lang w:val="en-GB"/>
        </w:rPr>
      </w:pPr>
      <w:r w:rsidRPr="00A76F43">
        <w:rPr>
          <w:i/>
          <w:lang w:val="en-GB"/>
        </w:rPr>
        <w:t xml:space="preserve">Congress did not intend the exemptions in the FOIA to be used either to prohibit disclosure of information or to justify automatic withholding of information. Rather, they are only permissive. They merely mark the outer limits of information that may be withheld where the agency makes a specific affirmative determination that the public interest and the specific circumstances presented dictate- as well as that the intent of the exemption allows- that the information should be withheld </w:t>
      </w:r>
      <w:r w:rsidRPr="00A76F43">
        <w:rPr>
          <w:lang w:val="en-GB"/>
        </w:rPr>
        <w:t>(93rd Cong</w:t>
      </w:r>
      <w:r w:rsidR="00F95E87">
        <w:rPr>
          <w:lang w:val="en-GB"/>
        </w:rPr>
        <w:t>ress</w:t>
      </w:r>
      <w:r w:rsidRPr="00A76F43">
        <w:rPr>
          <w:lang w:val="en-GB"/>
        </w:rPr>
        <w:t>., 2</w:t>
      </w:r>
      <w:r w:rsidR="00F95E87">
        <w:rPr>
          <w:lang w:val="en-GB"/>
        </w:rPr>
        <w:t>nd</w:t>
      </w:r>
      <w:r w:rsidRPr="00A76F43">
        <w:rPr>
          <w:lang w:val="en-GB"/>
        </w:rPr>
        <w:t xml:space="preserve"> Ses</w:t>
      </w:r>
      <w:r w:rsidR="00F95E87">
        <w:rPr>
          <w:lang w:val="en-GB"/>
        </w:rPr>
        <w:t>sion</w:t>
      </w:r>
      <w:r w:rsidRPr="00A76F43">
        <w:rPr>
          <w:lang w:val="en-GB"/>
        </w:rPr>
        <w:t>).</w:t>
      </w:r>
    </w:p>
    <w:p w14:paraId="647C1889" w14:textId="742AF9C0" w:rsidR="00A20273" w:rsidRPr="003747CE" w:rsidRDefault="00F95E87" w:rsidP="00F95E87">
      <w:pPr>
        <w:spacing w:after="120" w:line="480" w:lineRule="auto"/>
        <w:rPr>
          <w:lang w:val="en-GB"/>
        </w:rPr>
      </w:pPr>
      <w:r w:rsidRPr="00F95E87">
        <w:rPr>
          <w:lang w:val="en-GB"/>
        </w:rPr>
        <w:t>Unfortunately, much of the critical commentary pertaining to ICANN’s DIDP</w:t>
      </w:r>
      <w:r>
        <w:rPr>
          <w:lang w:val="en-GB"/>
        </w:rPr>
        <w:t xml:space="preserve"> suggests</w:t>
      </w:r>
      <w:r w:rsidRPr="00F95E87">
        <w:rPr>
          <w:lang w:val="en-GB"/>
        </w:rPr>
        <w:t xml:space="preserve"> that ICANN uses its DCND as mandatory, rather than permissive, exemptions</w:t>
      </w:r>
      <w:r>
        <w:rPr>
          <w:lang w:val="en-GB"/>
        </w:rPr>
        <w:t xml:space="preserve"> (</w:t>
      </w:r>
      <w:proofErr w:type="spellStart"/>
      <w:r w:rsidRPr="00FF147C">
        <w:rPr>
          <w:lang w:val="en-GB"/>
        </w:rPr>
        <w:t>Karanicolas</w:t>
      </w:r>
      <w:proofErr w:type="spellEnd"/>
      <w:r>
        <w:rPr>
          <w:lang w:val="en-GB"/>
        </w:rPr>
        <w:t>, 2015)</w:t>
      </w:r>
      <w:r w:rsidRPr="00F95E87">
        <w:rPr>
          <w:lang w:val="en-GB"/>
        </w:rPr>
        <w:t>.</w:t>
      </w:r>
    </w:p>
    <w:p w14:paraId="5F5A725D" w14:textId="415B036D" w:rsidR="004D6EF6" w:rsidRPr="003747CE" w:rsidRDefault="004D6EF6" w:rsidP="00D209EB">
      <w:pPr>
        <w:spacing w:after="120" w:line="480" w:lineRule="auto"/>
        <w:jc w:val="center"/>
        <w:outlineLvl w:val="0"/>
        <w:rPr>
          <w:b/>
          <w:lang w:val="en-GB"/>
        </w:rPr>
      </w:pPr>
      <w:r w:rsidRPr="003747CE">
        <w:rPr>
          <w:b/>
          <w:lang w:val="en-GB"/>
        </w:rPr>
        <w:t>My Approach</w:t>
      </w:r>
    </w:p>
    <w:p w14:paraId="061C3EF7" w14:textId="21D9ED64" w:rsidR="001840FC" w:rsidRDefault="004D6EF6" w:rsidP="00F95E87">
      <w:pPr>
        <w:spacing w:after="120" w:line="480" w:lineRule="auto"/>
        <w:ind w:firstLine="720"/>
        <w:rPr>
          <w:bCs/>
          <w:lang w:val="en-GB"/>
        </w:rPr>
      </w:pPr>
      <w:r w:rsidRPr="003747CE">
        <w:rPr>
          <w:lang w:val="en-GB"/>
        </w:rPr>
        <w:t>Establishing which requests are most likely to receive an</w:t>
      </w:r>
      <w:r w:rsidR="00F95E87">
        <w:rPr>
          <w:lang w:val="en-GB"/>
        </w:rPr>
        <w:t>y or specific categories of DCND</w:t>
      </w:r>
      <w:r w:rsidRPr="003747CE">
        <w:rPr>
          <w:lang w:val="en-GB"/>
        </w:rPr>
        <w:t xml:space="preserve"> requires statistical analysis. The 91 DIDP requests submitted to ICANN between September 2008 and September 2015 can be connected by their shared </w:t>
      </w:r>
      <w:r w:rsidR="00A66C57">
        <w:rPr>
          <w:lang w:val="en-GB"/>
        </w:rPr>
        <w:t>DCND</w:t>
      </w:r>
      <w:r w:rsidRPr="003747CE">
        <w:rPr>
          <w:lang w:val="en-GB"/>
        </w:rPr>
        <w:t xml:space="preserve"> provided in ICANN’s response, in a multiplex network. Multiplex networks have one node type, but multiple types of relations (Wasserman &amp; Faust, 1994). The </w:t>
      </w:r>
      <w:proofErr w:type="spellStart"/>
      <w:r w:rsidRPr="003747CE">
        <w:rPr>
          <w:lang w:val="en-GB"/>
        </w:rPr>
        <w:t>homophily</w:t>
      </w:r>
      <w:proofErr w:type="spellEnd"/>
      <w:r w:rsidRPr="003747CE">
        <w:rPr>
          <w:lang w:val="en-GB"/>
        </w:rPr>
        <w:t xml:space="preserve"> mechanism for producing a network tie principally relies on the correlation of characteristics or exogenous attributes of nodes in a network (</w:t>
      </w:r>
      <w:proofErr w:type="spellStart"/>
      <w:r w:rsidRPr="003747CE">
        <w:rPr>
          <w:lang w:val="en-GB"/>
        </w:rPr>
        <w:t>Monge</w:t>
      </w:r>
      <w:proofErr w:type="spellEnd"/>
      <w:r w:rsidRPr="003747CE">
        <w:rPr>
          <w:lang w:val="en-GB"/>
        </w:rPr>
        <w:t xml:space="preserve"> &amp; Contractor, 2003, p. 303). Thus, </w:t>
      </w:r>
      <w:proofErr w:type="spellStart"/>
      <w:r w:rsidRPr="003747CE">
        <w:rPr>
          <w:lang w:val="en-GB"/>
        </w:rPr>
        <w:t>homophily</w:t>
      </w:r>
      <w:proofErr w:type="spellEnd"/>
      <w:r w:rsidRPr="003747CE">
        <w:rPr>
          <w:lang w:val="en-GB"/>
        </w:rPr>
        <w:t xml:space="preserve"> may be able to predict the likelihood of a DCND relation between requests. The more analogous one node is to another and the higher degree of the target node, the greater the probability of </w:t>
      </w:r>
      <w:r w:rsidRPr="003747CE">
        <w:rPr>
          <w:lang w:val="en-GB"/>
        </w:rPr>
        <w:lastRenderedPageBreak/>
        <w:t>forming a tie (</w:t>
      </w:r>
      <w:proofErr w:type="spellStart"/>
      <w:r w:rsidRPr="003747CE">
        <w:rPr>
          <w:lang w:val="en-GB"/>
        </w:rPr>
        <w:t>Şimşek</w:t>
      </w:r>
      <w:proofErr w:type="spellEnd"/>
      <w:r w:rsidRPr="003747CE">
        <w:rPr>
          <w:lang w:val="en-GB"/>
        </w:rPr>
        <w:t xml:space="preserve"> &amp; Jensen, 2008). </w:t>
      </w:r>
      <w:proofErr w:type="spellStart"/>
      <w:r w:rsidRPr="003747CE">
        <w:rPr>
          <w:lang w:val="en-GB"/>
        </w:rPr>
        <w:t>Lazarsfeld</w:t>
      </w:r>
      <w:proofErr w:type="spellEnd"/>
      <w:r w:rsidRPr="003747CE">
        <w:rPr>
          <w:lang w:val="en-GB"/>
        </w:rPr>
        <w:t xml:space="preserve"> and Merton (1954) defined two </w:t>
      </w:r>
      <w:proofErr w:type="spellStart"/>
      <w:r w:rsidRPr="003747CE">
        <w:rPr>
          <w:lang w:val="en-GB"/>
        </w:rPr>
        <w:t>homophily</w:t>
      </w:r>
      <w:proofErr w:type="spellEnd"/>
      <w:r w:rsidRPr="003747CE">
        <w:rPr>
          <w:lang w:val="en-GB"/>
        </w:rPr>
        <w:t xml:space="preserve"> classifications: status </w:t>
      </w:r>
      <w:proofErr w:type="spellStart"/>
      <w:r w:rsidRPr="003747CE">
        <w:rPr>
          <w:lang w:val="en-GB"/>
        </w:rPr>
        <w:t>homophily</w:t>
      </w:r>
      <w:proofErr w:type="spellEnd"/>
      <w:r w:rsidRPr="003747CE">
        <w:rPr>
          <w:lang w:val="en-GB"/>
        </w:rPr>
        <w:t xml:space="preserve"> and value </w:t>
      </w:r>
      <w:proofErr w:type="spellStart"/>
      <w:r w:rsidRPr="003747CE">
        <w:rPr>
          <w:lang w:val="en-GB"/>
        </w:rPr>
        <w:t>homophily</w:t>
      </w:r>
      <w:proofErr w:type="spellEnd"/>
      <w:r w:rsidRPr="003747CE">
        <w:rPr>
          <w:lang w:val="en-GB"/>
        </w:rPr>
        <w:t xml:space="preserve">. Status </w:t>
      </w:r>
      <w:proofErr w:type="spellStart"/>
      <w:r w:rsidRPr="003747CE">
        <w:rPr>
          <w:lang w:val="en-GB"/>
        </w:rPr>
        <w:t>homophily</w:t>
      </w:r>
      <w:proofErr w:type="spellEnd"/>
      <w:r w:rsidRPr="003747CE">
        <w:rPr>
          <w:lang w:val="en-GB"/>
        </w:rPr>
        <w:t xml:space="preserve"> concerns characteristics, such as occupation, values, attitudes, and beliefs, whereas value </w:t>
      </w:r>
      <w:proofErr w:type="spellStart"/>
      <w:r w:rsidRPr="003747CE">
        <w:rPr>
          <w:lang w:val="en-GB"/>
        </w:rPr>
        <w:t>homophily</w:t>
      </w:r>
      <w:proofErr w:type="spellEnd"/>
      <w:r w:rsidRPr="003747CE">
        <w:rPr>
          <w:lang w:val="en-GB"/>
        </w:rPr>
        <w:t xml:space="preserve"> is based on internal states which may shape future behaviour. Fischer (1982) demonstrated that </w:t>
      </w:r>
      <w:proofErr w:type="spellStart"/>
      <w:r w:rsidRPr="003747CE">
        <w:rPr>
          <w:lang w:val="en-GB"/>
        </w:rPr>
        <w:t>homophily</w:t>
      </w:r>
      <w:proofErr w:type="spellEnd"/>
      <w:r w:rsidRPr="003747CE">
        <w:rPr>
          <w:lang w:val="en-GB"/>
        </w:rPr>
        <w:t xml:space="preserve"> patterns increase as the number of distinct relationships between two individuals increase; hence, there’s more </w:t>
      </w:r>
      <w:proofErr w:type="spellStart"/>
      <w:r w:rsidRPr="003747CE">
        <w:rPr>
          <w:lang w:val="en-GB"/>
        </w:rPr>
        <w:t>homophily</w:t>
      </w:r>
      <w:proofErr w:type="spellEnd"/>
      <w:r w:rsidRPr="003747CE">
        <w:rPr>
          <w:lang w:val="en-GB"/>
        </w:rPr>
        <w:t xml:space="preserve"> in multiplex networks than simplex networks. Most </w:t>
      </w:r>
      <w:proofErr w:type="spellStart"/>
      <w:r w:rsidRPr="003747CE">
        <w:rPr>
          <w:lang w:val="en-GB"/>
        </w:rPr>
        <w:t>homophily</w:t>
      </w:r>
      <w:proofErr w:type="spellEnd"/>
      <w:r w:rsidRPr="003747CE">
        <w:rPr>
          <w:lang w:val="en-GB"/>
        </w:rPr>
        <w:t xml:space="preserve"> studies focus on individuals, rather than organisations (McPherson, Smith-</w:t>
      </w:r>
      <w:proofErr w:type="spellStart"/>
      <w:r w:rsidRPr="003747CE">
        <w:rPr>
          <w:lang w:val="en-GB"/>
        </w:rPr>
        <w:t>Lovin</w:t>
      </w:r>
      <w:proofErr w:type="spellEnd"/>
      <w:r w:rsidRPr="003747CE">
        <w:rPr>
          <w:lang w:val="en-GB"/>
        </w:rPr>
        <w:t xml:space="preserve"> &amp; Cook, 2001; Haas &amp; Hansen, 2007). As this paper concerns requests for information, I will focus on status </w:t>
      </w:r>
      <w:proofErr w:type="spellStart"/>
      <w:r w:rsidRPr="003747CE">
        <w:rPr>
          <w:lang w:val="en-GB"/>
        </w:rPr>
        <w:t>homophily</w:t>
      </w:r>
      <w:proofErr w:type="spellEnd"/>
      <w:r w:rsidRPr="003747CE">
        <w:rPr>
          <w:lang w:val="en-GB"/>
        </w:rPr>
        <w:t xml:space="preserve">, as the type of </w:t>
      </w:r>
      <w:r w:rsidR="00676755" w:rsidRPr="003747CE">
        <w:rPr>
          <w:lang w:val="en-GB"/>
        </w:rPr>
        <w:t xml:space="preserve">individual or </w:t>
      </w:r>
      <w:r w:rsidRPr="003747CE">
        <w:rPr>
          <w:lang w:val="en-GB"/>
        </w:rPr>
        <w:t>organisation sending the request may influence both the content</w:t>
      </w:r>
      <w:r w:rsidR="0034519D">
        <w:rPr>
          <w:lang w:val="en-GB"/>
        </w:rPr>
        <w:t xml:space="preserve"> </w:t>
      </w:r>
      <w:r w:rsidRPr="003747CE">
        <w:rPr>
          <w:lang w:val="en-GB"/>
        </w:rPr>
        <w:t xml:space="preserve">of the request and also the response to the request. </w:t>
      </w:r>
      <w:r w:rsidR="001840FC" w:rsidRPr="003747CE">
        <w:rPr>
          <w:lang w:val="en-GB"/>
        </w:rPr>
        <w:t xml:space="preserve">Here, my argument assumes that DIDP requests from individuals and organisations in the same category, e.g. ICANN Working Group, are more likely to receive similar </w:t>
      </w:r>
      <w:r w:rsidR="00A66C57">
        <w:rPr>
          <w:lang w:val="en-GB"/>
        </w:rPr>
        <w:t>DCND</w:t>
      </w:r>
      <w:r w:rsidR="001840FC" w:rsidRPr="003747CE">
        <w:rPr>
          <w:lang w:val="en-GB"/>
        </w:rPr>
        <w:t xml:space="preserve">, as they may ask for similar information, or </w:t>
      </w:r>
      <w:r w:rsidR="001840FC" w:rsidRPr="003747CE">
        <w:rPr>
          <w:bCs/>
          <w:lang w:val="en-GB"/>
        </w:rPr>
        <w:t>equivalently complex information.</w:t>
      </w:r>
    </w:p>
    <w:tbl>
      <w:tblPr>
        <w:tblStyle w:val="TableGrid"/>
        <w:tblW w:w="0" w:type="auto"/>
        <w:tblLook w:val="04A0" w:firstRow="1" w:lastRow="0" w:firstColumn="1" w:lastColumn="0" w:noHBand="0" w:noVBand="1"/>
      </w:tblPr>
      <w:tblGrid>
        <w:gridCol w:w="9236"/>
      </w:tblGrid>
      <w:tr w:rsidR="00F351AF" w14:paraId="4DF5E3A7" w14:textId="77777777" w:rsidTr="00F351AF">
        <w:tc>
          <w:tcPr>
            <w:tcW w:w="9236" w:type="dxa"/>
          </w:tcPr>
          <w:p w14:paraId="2BA40238" w14:textId="425A0E18" w:rsidR="00F351AF" w:rsidRDefault="00F351AF" w:rsidP="00F351AF">
            <w:pPr>
              <w:spacing w:before="120" w:line="360" w:lineRule="auto"/>
              <w:rPr>
                <w:lang w:val="en-GB"/>
              </w:rPr>
            </w:pPr>
            <w:r w:rsidRPr="003747CE">
              <w:rPr>
                <w:lang w:val="en-GB"/>
              </w:rPr>
              <w:t>H1. Individuals and organisations</w:t>
            </w:r>
            <w:r>
              <w:rPr>
                <w:lang w:val="en-GB"/>
              </w:rPr>
              <w:t xml:space="preserve"> that</w:t>
            </w:r>
            <w:r w:rsidRPr="003747CE">
              <w:rPr>
                <w:lang w:val="en-GB"/>
              </w:rPr>
              <w:t xml:space="preserve"> fall into the same category / industry s</w:t>
            </w:r>
            <w:r>
              <w:rPr>
                <w:lang w:val="en-GB"/>
              </w:rPr>
              <w:t>ector, e.g. internet non-profit</w:t>
            </w:r>
            <w:r w:rsidRPr="003747CE">
              <w:rPr>
                <w:lang w:val="en-GB"/>
              </w:rPr>
              <w:t xml:space="preserve"> will receive similar DCND.</w:t>
            </w:r>
          </w:p>
        </w:tc>
      </w:tr>
    </w:tbl>
    <w:p w14:paraId="1EEBE4B5" w14:textId="6FC50E81" w:rsidR="001840FC" w:rsidRDefault="00B61055" w:rsidP="00F95E87">
      <w:pPr>
        <w:spacing w:before="120" w:after="120" w:line="480" w:lineRule="auto"/>
        <w:ind w:firstLine="720"/>
        <w:outlineLvl w:val="0"/>
        <w:rPr>
          <w:lang w:val="en-GB"/>
        </w:rPr>
      </w:pPr>
      <w:r>
        <w:rPr>
          <w:lang w:val="en-GB"/>
        </w:rPr>
        <w:t>A</w:t>
      </w:r>
      <w:r w:rsidR="00C32A0C">
        <w:rPr>
          <w:lang w:val="en-GB"/>
        </w:rPr>
        <w:t xml:space="preserve"> higher word count may indicate that the request </w:t>
      </w:r>
      <w:r w:rsidR="00915A7F">
        <w:rPr>
          <w:lang w:val="en-GB"/>
        </w:rPr>
        <w:t>includes more detail and complexity</w:t>
      </w:r>
      <w:r w:rsidR="0034519D">
        <w:rPr>
          <w:lang w:val="en-GB"/>
        </w:rPr>
        <w:t>.</w:t>
      </w:r>
      <w:r w:rsidR="00FC5F6E">
        <w:rPr>
          <w:lang w:val="en-GB"/>
        </w:rPr>
        <w:t xml:space="preserve"> The requester may be seeking information about potentially contentious or sensitive topics, or simply requesting </w:t>
      </w:r>
      <w:r w:rsidR="00F351AF">
        <w:rPr>
          <w:lang w:val="en-GB"/>
        </w:rPr>
        <w:t>a greater quantity of</w:t>
      </w:r>
      <w:r w:rsidR="00FC5F6E">
        <w:rPr>
          <w:lang w:val="en-GB"/>
        </w:rPr>
        <w:t xml:space="preserve"> information. </w:t>
      </w:r>
      <w:r w:rsidR="00A20122">
        <w:rPr>
          <w:lang w:val="en-GB"/>
        </w:rPr>
        <w:t xml:space="preserve">Asking </w:t>
      </w:r>
      <w:r w:rsidR="000122DE">
        <w:rPr>
          <w:lang w:val="en-GB"/>
        </w:rPr>
        <w:t xml:space="preserve">for </w:t>
      </w:r>
      <w:r w:rsidR="00A20122">
        <w:rPr>
          <w:lang w:val="en-GB"/>
        </w:rPr>
        <w:t>more information may increase the p</w:t>
      </w:r>
      <w:r w:rsidR="000122DE">
        <w:rPr>
          <w:lang w:val="en-GB"/>
        </w:rPr>
        <w:t xml:space="preserve">robability of receiving </w:t>
      </w:r>
      <w:r w:rsidR="00A20122">
        <w:rPr>
          <w:lang w:val="en-GB"/>
        </w:rPr>
        <w:t xml:space="preserve">DCND. Status </w:t>
      </w:r>
      <w:proofErr w:type="spellStart"/>
      <w:r w:rsidR="00A20122">
        <w:rPr>
          <w:lang w:val="en-GB"/>
        </w:rPr>
        <w:t>homophily</w:t>
      </w:r>
      <w:proofErr w:type="spellEnd"/>
      <w:r w:rsidR="00A20122">
        <w:rPr>
          <w:lang w:val="en-GB"/>
        </w:rPr>
        <w:t xml:space="preserve"> also applies here, as the characteristics of the </w:t>
      </w:r>
      <w:r w:rsidR="000122DE">
        <w:rPr>
          <w:lang w:val="en-GB"/>
        </w:rPr>
        <w:t xml:space="preserve">request’s </w:t>
      </w:r>
      <w:r w:rsidR="00A20122">
        <w:rPr>
          <w:lang w:val="en-GB"/>
        </w:rPr>
        <w:t xml:space="preserve">word count (high/medium/low) may </w:t>
      </w:r>
      <w:r w:rsidR="000122DE">
        <w:rPr>
          <w:lang w:val="en-GB"/>
        </w:rPr>
        <w:t>impact</w:t>
      </w:r>
      <w:r w:rsidR="00A20122">
        <w:rPr>
          <w:lang w:val="en-GB"/>
        </w:rPr>
        <w:t xml:space="preserve"> the number of DCND ICANN imposes.</w:t>
      </w:r>
      <w:r w:rsidR="000122DE">
        <w:rPr>
          <w:lang w:val="en-GB"/>
        </w:rPr>
        <w:t xml:space="preserve"> </w:t>
      </w:r>
    </w:p>
    <w:tbl>
      <w:tblPr>
        <w:tblStyle w:val="TableGrid"/>
        <w:tblW w:w="0" w:type="auto"/>
        <w:tblLook w:val="04A0" w:firstRow="1" w:lastRow="0" w:firstColumn="1" w:lastColumn="0" w:noHBand="0" w:noVBand="1"/>
      </w:tblPr>
      <w:tblGrid>
        <w:gridCol w:w="9236"/>
      </w:tblGrid>
      <w:tr w:rsidR="00F351AF" w14:paraId="17421E46" w14:textId="77777777" w:rsidTr="00F351AF">
        <w:tc>
          <w:tcPr>
            <w:tcW w:w="9236" w:type="dxa"/>
          </w:tcPr>
          <w:p w14:paraId="0D87367D" w14:textId="68EF3973" w:rsidR="00F351AF" w:rsidRDefault="00F351AF" w:rsidP="00F351AF">
            <w:pPr>
              <w:spacing w:before="120" w:line="360" w:lineRule="auto"/>
              <w:outlineLvl w:val="0"/>
              <w:rPr>
                <w:lang w:val="en-GB"/>
              </w:rPr>
            </w:pPr>
            <w:r w:rsidRPr="003747CE">
              <w:rPr>
                <w:lang w:val="en-GB"/>
              </w:rPr>
              <w:t>H2. DIDP requests with a higher word count will receive more DCND, than DIDP requests with a lower word count.</w:t>
            </w:r>
          </w:p>
        </w:tc>
      </w:tr>
    </w:tbl>
    <w:p w14:paraId="2C7E78A9" w14:textId="77777777" w:rsidR="00F351AF" w:rsidRDefault="00F351AF" w:rsidP="00F95E87">
      <w:pPr>
        <w:spacing w:before="120" w:after="120" w:line="480" w:lineRule="auto"/>
        <w:ind w:firstLine="720"/>
        <w:outlineLvl w:val="0"/>
        <w:rPr>
          <w:lang w:val="en-GB"/>
        </w:rPr>
      </w:pPr>
    </w:p>
    <w:p w14:paraId="0AE7BC52" w14:textId="77777777" w:rsidR="00F351AF" w:rsidRPr="003747CE" w:rsidRDefault="00F351AF" w:rsidP="00F95E87">
      <w:pPr>
        <w:spacing w:before="120" w:after="120" w:line="480" w:lineRule="auto"/>
        <w:ind w:firstLine="720"/>
        <w:outlineLvl w:val="0"/>
        <w:rPr>
          <w:lang w:val="en-GB"/>
        </w:rPr>
      </w:pPr>
    </w:p>
    <w:p w14:paraId="7C3251E3" w14:textId="4BC1E3FE" w:rsidR="003C4A2E" w:rsidRPr="003747CE" w:rsidRDefault="00AC2E39" w:rsidP="00D209EB">
      <w:pPr>
        <w:spacing w:before="240" w:after="120" w:line="480" w:lineRule="auto"/>
        <w:jc w:val="center"/>
        <w:outlineLvl w:val="0"/>
        <w:rPr>
          <w:b/>
          <w:lang w:val="en-GB"/>
        </w:rPr>
      </w:pPr>
      <w:r w:rsidRPr="003747CE">
        <w:rPr>
          <w:b/>
          <w:lang w:val="en-GB"/>
        </w:rPr>
        <w:lastRenderedPageBreak/>
        <w:t>Method</w:t>
      </w:r>
    </w:p>
    <w:p w14:paraId="66826D77" w14:textId="210DCF66" w:rsidR="00674E18" w:rsidRPr="003747CE" w:rsidRDefault="00936F61" w:rsidP="00D209EB">
      <w:pPr>
        <w:spacing w:after="120" w:line="480" w:lineRule="auto"/>
        <w:ind w:firstLine="720"/>
        <w:rPr>
          <w:lang w:val="en-GB"/>
        </w:rPr>
      </w:pPr>
      <w:r w:rsidRPr="003747CE">
        <w:rPr>
          <w:lang w:val="en-GB"/>
        </w:rPr>
        <w:t xml:space="preserve">To test these hypotheses, I </w:t>
      </w:r>
      <w:r w:rsidR="00AA53DE" w:rsidRPr="003747CE">
        <w:rPr>
          <w:lang w:val="en-GB"/>
        </w:rPr>
        <w:t>manually collected</w:t>
      </w:r>
      <w:r w:rsidRPr="003747CE">
        <w:rPr>
          <w:lang w:val="en-GB"/>
        </w:rPr>
        <w:t xml:space="preserve"> data from ICANN’s Documentary Information Disclosure Policy</w:t>
      </w:r>
      <w:r w:rsidR="009B631B" w:rsidRPr="003747CE">
        <w:rPr>
          <w:lang w:val="en-GB"/>
        </w:rPr>
        <w:t xml:space="preserve"> requests and responses</w:t>
      </w:r>
      <w:r w:rsidRPr="003747CE">
        <w:rPr>
          <w:lang w:val="en-GB"/>
        </w:rPr>
        <w:t xml:space="preserve"> from September 24, 2008 to September 1, 2015.</w:t>
      </w:r>
      <w:r w:rsidR="00AA53DE" w:rsidRPr="003747CE">
        <w:rPr>
          <w:lang w:val="en-GB"/>
        </w:rPr>
        <w:t xml:space="preserve"> </w:t>
      </w:r>
      <w:r w:rsidR="009B631B" w:rsidRPr="003747CE">
        <w:rPr>
          <w:lang w:val="en-GB"/>
        </w:rPr>
        <w:t>They</w:t>
      </w:r>
      <w:r w:rsidR="00AA53DE" w:rsidRPr="003747CE">
        <w:rPr>
          <w:lang w:val="en-GB"/>
        </w:rPr>
        <w:t xml:space="preserve"> are freely available on ICANN’s website at: </w:t>
      </w:r>
      <w:hyperlink r:id="rId8" w:history="1">
        <w:r w:rsidR="00AA53DE" w:rsidRPr="003747CE">
          <w:rPr>
            <w:rStyle w:val="Hyperlink"/>
            <w:lang w:val="en-GB"/>
          </w:rPr>
          <w:t>https://www.icann.org/resources/pages/governance/transparency-en</w:t>
        </w:r>
      </w:hyperlink>
      <w:r w:rsidR="00AA53DE" w:rsidRPr="003747CE">
        <w:rPr>
          <w:lang w:val="en-GB"/>
        </w:rPr>
        <w:t>.</w:t>
      </w:r>
      <w:r w:rsidRPr="003747CE">
        <w:rPr>
          <w:lang w:val="en-GB"/>
        </w:rPr>
        <w:t xml:space="preserve"> I collected Request IDs; Name of requester; Request Date; [ICANN’s] Response Date; Affiliation in Request (organisation making the request); Category (type of organisation making the request); and Word Count [of request]. I also noted the Defin</w:t>
      </w:r>
      <w:r w:rsidR="00AA53DE" w:rsidRPr="003747CE">
        <w:rPr>
          <w:lang w:val="en-GB"/>
        </w:rPr>
        <w:t xml:space="preserve">ed Conditions of Nondisclosure </w:t>
      </w:r>
      <w:r w:rsidR="009B631B" w:rsidRPr="003747CE">
        <w:rPr>
          <w:lang w:val="en-GB"/>
        </w:rPr>
        <w:t>cited in ICANN’s response to each request.</w:t>
      </w:r>
      <w:r w:rsidRPr="003747CE">
        <w:rPr>
          <w:lang w:val="en-GB"/>
        </w:rPr>
        <w:t xml:space="preserve"> </w:t>
      </w:r>
    </w:p>
    <w:p w14:paraId="45A88A1B" w14:textId="34AE5781" w:rsidR="00936F61" w:rsidRPr="003747CE" w:rsidRDefault="00936F61" w:rsidP="00D209EB">
      <w:pPr>
        <w:spacing w:after="120" w:line="480" w:lineRule="auto"/>
        <w:rPr>
          <w:lang w:val="en-GB"/>
        </w:rPr>
      </w:pPr>
      <w:r w:rsidRPr="003747CE">
        <w:rPr>
          <w:lang w:val="en-GB"/>
        </w:rPr>
        <w:t>ICANN’s defined conditions of non-disclosure are:</w:t>
      </w:r>
    </w:p>
    <w:p w14:paraId="6DC6F656" w14:textId="77777777" w:rsidR="00936F61" w:rsidRPr="003747CE" w:rsidRDefault="00936F61" w:rsidP="00D209EB">
      <w:pPr>
        <w:pStyle w:val="ListParagraph"/>
        <w:numPr>
          <w:ilvl w:val="0"/>
          <w:numId w:val="1"/>
        </w:numPr>
        <w:spacing w:after="120" w:line="480" w:lineRule="auto"/>
        <w:ind w:left="714" w:hanging="357"/>
        <w:contextualSpacing w:val="0"/>
        <w:rPr>
          <w:lang w:val="en-GB"/>
        </w:rPr>
      </w:pPr>
      <w:r w:rsidRPr="003747CE">
        <w:rPr>
          <w:lang w:val="en-GB"/>
        </w:rPr>
        <w:t>Information provided by or to a government or international organization, or any form of recitation of such information, in the expectation that the information will be kept confidential and/or would or likely would materially prejudice ICANN's relationship with that party.</w:t>
      </w:r>
    </w:p>
    <w:p w14:paraId="04E53ADB" w14:textId="77777777" w:rsidR="00936F61" w:rsidRPr="003747CE" w:rsidRDefault="00936F61" w:rsidP="00D209EB">
      <w:pPr>
        <w:pStyle w:val="ListParagraph"/>
        <w:numPr>
          <w:ilvl w:val="0"/>
          <w:numId w:val="1"/>
        </w:numPr>
        <w:spacing w:after="120" w:line="480" w:lineRule="auto"/>
        <w:ind w:left="714" w:hanging="357"/>
        <w:contextualSpacing w:val="0"/>
        <w:rPr>
          <w:lang w:val="en-GB"/>
        </w:rPr>
      </w:pPr>
      <w:r w:rsidRPr="003747CE">
        <w:rPr>
          <w:lang w:val="en-GB"/>
        </w:rPr>
        <w:t>Internal information that, if disclosed, would or would be likely to compromise the integrity of ICANN's deliberative and decision-making process by inhibiting the candid exchange of ideas and communications, including internal documents, memoranda, and other similar communications to or from ICANN Directors, ICANN Directors' Advisors, ICANN staff, ICANN consultants, ICANN contractors, and ICANN agents.</w:t>
      </w:r>
    </w:p>
    <w:p w14:paraId="690F8F8A" w14:textId="77777777" w:rsidR="00936F61" w:rsidRPr="003747CE" w:rsidRDefault="00936F61" w:rsidP="00D209EB">
      <w:pPr>
        <w:pStyle w:val="ListParagraph"/>
        <w:numPr>
          <w:ilvl w:val="0"/>
          <w:numId w:val="1"/>
        </w:numPr>
        <w:spacing w:after="120" w:line="480" w:lineRule="auto"/>
        <w:ind w:left="714" w:hanging="357"/>
        <w:contextualSpacing w:val="0"/>
        <w:rPr>
          <w:lang w:val="en-GB"/>
        </w:rPr>
      </w:pPr>
      <w:r w:rsidRPr="003747CE">
        <w:rPr>
          <w:lang w:val="en-GB"/>
        </w:rPr>
        <w:t xml:space="preserve">Information exchanged, prepared for, or derived from the deliberative and decision-making process between ICANN, its constituents, and/or other entities with which ICANN cooperates that, if disclosed, would or would be likely to compromise the integrity of the deliberative and decision-making process between and among </w:t>
      </w:r>
      <w:r w:rsidRPr="003747CE">
        <w:rPr>
          <w:lang w:val="en-GB"/>
        </w:rPr>
        <w:lastRenderedPageBreak/>
        <w:t>ICANN, its constituents, and/or other entities with which ICANN cooperates by inhibiting the candid exchange of ideas and communications.</w:t>
      </w:r>
    </w:p>
    <w:p w14:paraId="150292E0" w14:textId="77777777" w:rsidR="00936F61" w:rsidRPr="003747CE" w:rsidRDefault="00936F61" w:rsidP="00D209EB">
      <w:pPr>
        <w:pStyle w:val="ListParagraph"/>
        <w:numPr>
          <w:ilvl w:val="0"/>
          <w:numId w:val="1"/>
        </w:numPr>
        <w:spacing w:after="120" w:line="480" w:lineRule="auto"/>
        <w:ind w:left="714" w:hanging="357"/>
        <w:contextualSpacing w:val="0"/>
        <w:rPr>
          <w:lang w:val="en-GB"/>
        </w:rPr>
      </w:pPr>
      <w:r w:rsidRPr="003747CE">
        <w:rPr>
          <w:lang w:val="en-GB"/>
        </w:rPr>
        <w:t>Personnel, medical, contractual, remuneration, and similar records relating to an individual's personal information, when the disclosure of such information would or likely would constitute an invasion of personal privacy, as well as proceedings of internal appeal mechanisms and investigations.</w:t>
      </w:r>
    </w:p>
    <w:p w14:paraId="1EC96AE0" w14:textId="77777777" w:rsidR="00936F61" w:rsidRPr="003747CE" w:rsidRDefault="00936F61" w:rsidP="00D209EB">
      <w:pPr>
        <w:pStyle w:val="ListParagraph"/>
        <w:numPr>
          <w:ilvl w:val="0"/>
          <w:numId w:val="1"/>
        </w:numPr>
        <w:spacing w:after="120" w:line="480" w:lineRule="auto"/>
        <w:ind w:left="714" w:hanging="357"/>
        <w:contextualSpacing w:val="0"/>
        <w:rPr>
          <w:lang w:val="en-GB"/>
        </w:rPr>
      </w:pPr>
      <w:r w:rsidRPr="003747CE">
        <w:rPr>
          <w:lang w:val="en-GB"/>
        </w:rPr>
        <w:t>Information provided to ICANN by a party that, if disclosed, would or would be likely to materially prejudice the commercial interests, financial interests, and/or competitive position of such party or was provided to ICANN pursuant to a nondisclosure agreement or nondisclosure provision within an agreement.</w:t>
      </w:r>
    </w:p>
    <w:p w14:paraId="3015E280" w14:textId="77777777" w:rsidR="00936F61" w:rsidRPr="003747CE" w:rsidRDefault="00936F61" w:rsidP="00D209EB">
      <w:pPr>
        <w:pStyle w:val="ListParagraph"/>
        <w:numPr>
          <w:ilvl w:val="0"/>
          <w:numId w:val="1"/>
        </w:numPr>
        <w:spacing w:after="120" w:line="480" w:lineRule="auto"/>
        <w:ind w:left="714" w:hanging="357"/>
        <w:contextualSpacing w:val="0"/>
        <w:rPr>
          <w:lang w:val="en-GB"/>
        </w:rPr>
      </w:pPr>
      <w:r w:rsidRPr="003747CE">
        <w:rPr>
          <w:lang w:val="en-GB"/>
        </w:rPr>
        <w:t>Confidential business information and/or internal policies and procedures.</w:t>
      </w:r>
    </w:p>
    <w:p w14:paraId="529F1B25" w14:textId="77777777" w:rsidR="00936F61" w:rsidRPr="003747CE" w:rsidRDefault="00936F61" w:rsidP="00D209EB">
      <w:pPr>
        <w:pStyle w:val="ListParagraph"/>
        <w:numPr>
          <w:ilvl w:val="0"/>
          <w:numId w:val="1"/>
        </w:numPr>
        <w:spacing w:after="120" w:line="480" w:lineRule="auto"/>
        <w:ind w:left="714" w:hanging="357"/>
        <w:contextualSpacing w:val="0"/>
        <w:rPr>
          <w:lang w:val="en-GB"/>
        </w:rPr>
      </w:pPr>
      <w:r w:rsidRPr="003747CE">
        <w:rPr>
          <w:lang w:val="en-GB"/>
        </w:rPr>
        <w:t>Information that, if disclosed, would or would be likely to endanger the life, health, or safety of any individual or materially prejudice the administration of justice.</w:t>
      </w:r>
    </w:p>
    <w:p w14:paraId="3CE141B1" w14:textId="77777777" w:rsidR="00936F61" w:rsidRPr="003747CE" w:rsidRDefault="00936F61" w:rsidP="00D209EB">
      <w:pPr>
        <w:pStyle w:val="ListParagraph"/>
        <w:numPr>
          <w:ilvl w:val="0"/>
          <w:numId w:val="1"/>
        </w:numPr>
        <w:spacing w:after="120" w:line="480" w:lineRule="auto"/>
        <w:ind w:left="714" w:hanging="357"/>
        <w:contextualSpacing w:val="0"/>
        <w:rPr>
          <w:lang w:val="en-GB"/>
        </w:rPr>
      </w:pPr>
      <w:r w:rsidRPr="003747CE">
        <w:rPr>
          <w:lang w:val="en-GB"/>
        </w:rPr>
        <w:t>Information subject to the attorney– client, attorney work product privilege, or any other applicable privilege, or disclosure of which might prejudice any internal, governmental, or legal investigation.</w:t>
      </w:r>
    </w:p>
    <w:p w14:paraId="28A208AE" w14:textId="77777777" w:rsidR="00936F61" w:rsidRPr="003747CE" w:rsidRDefault="00936F61" w:rsidP="00D209EB">
      <w:pPr>
        <w:pStyle w:val="ListParagraph"/>
        <w:numPr>
          <w:ilvl w:val="0"/>
          <w:numId w:val="1"/>
        </w:numPr>
        <w:spacing w:after="120" w:line="480" w:lineRule="auto"/>
        <w:ind w:left="714" w:hanging="357"/>
        <w:contextualSpacing w:val="0"/>
        <w:rPr>
          <w:lang w:val="en-GB"/>
        </w:rPr>
      </w:pPr>
      <w:r w:rsidRPr="003747CE">
        <w:rPr>
          <w:lang w:val="en-GB"/>
        </w:rPr>
        <w:t>Drafts of all correspondence, reports, documents, agreements, contracts, emails, or any other forms of communication.</w:t>
      </w:r>
    </w:p>
    <w:p w14:paraId="6B33CBD5" w14:textId="77777777" w:rsidR="00936F61" w:rsidRPr="003747CE" w:rsidRDefault="00936F61" w:rsidP="00D209EB">
      <w:pPr>
        <w:pStyle w:val="ListParagraph"/>
        <w:numPr>
          <w:ilvl w:val="0"/>
          <w:numId w:val="1"/>
        </w:numPr>
        <w:spacing w:after="120" w:line="480" w:lineRule="auto"/>
        <w:ind w:left="714" w:hanging="357"/>
        <w:contextualSpacing w:val="0"/>
        <w:rPr>
          <w:lang w:val="en-GB"/>
        </w:rPr>
      </w:pPr>
      <w:r w:rsidRPr="003747CE">
        <w:rPr>
          <w:lang w:val="en-GB"/>
        </w:rPr>
        <w:t>Information that relates in any way to the security and stability of the Internet, including the operation of the L Root or any changes, modifications, or additions to the root zone.</w:t>
      </w:r>
    </w:p>
    <w:p w14:paraId="3D1F954D" w14:textId="77777777" w:rsidR="00936F61" w:rsidRPr="003747CE" w:rsidRDefault="00936F61" w:rsidP="00D209EB">
      <w:pPr>
        <w:pStyle w:val="ListParagraph"/>
        <w:numPr>
          <w:ilvl w:val="0"/>
          <w:numId w:val="1"/>
        </w:numPr>
        <w:spacing w:after="120" w:line="480" w:lineRule="auto"/>
        <w:ind w:left="714" w:hanging="357"/>
        <w:contextualSpacing w:val="0"/>
        <w:rPr>
          <w:lang w:val="en-GB"/>
        </w:rPr>
      </w:pPr>
      <w:r w:rsidRPr="003747CE">
        <w:rPr>
          <w:lang w:val="en-GB"/>
        </w:rPr>
        <w:t>Trade secrets and commercial and financial information not publicly disclosed by ICANN.</w:t>
      </w:r>
    </w:p>
    <w:p w14:paraId="7FAF8C9A" w14:textId="77777777" w:rsidR="00936F61" w:rsidRPr="003747CE" w:rsidRDefault="00936F61" w:rsidP="00D209EB">
      <w:pPr>
        <w:pStyle w:val="ListParagraph"/>
        <w:numPr>
          <w:ilvl w:val="0"/>
          <w:numId w:val="1"/>
        </w:numPr>
        <w:spacing w:after="120" w:line="480" w:lineRule="auto"/>
        <w:ind w:left="714" w:hanging="357"/>
        <w:contextualSpacing w:val="0"/>
        <w:rPr>
          <w:lang w:val="en-GB"/>
        </w:rPr>
      </w:pPr>
      <w:r w:rsidRPr="003747CE">
        <w:rPr>
          <w:lang w:val="en-GB"/>
        </w:rPr>
        <w:lastRenderedPageBreak/>
        <w:t>Information requests: (</w:t>
      </w:r>
      <w:proofErr w:type="spellStart"/>
      <w:r w:rsidRPr="003747CE">
        <w:rPr>
          <w:lang w:val="en-GB"/>
        </w:rPr>
        <w:t>i</w:t>
      </w:r>
      <w:proofErr w:type="spellEnd"/>
      <w:r w:rsidRPr="003747CE">
        <w:rPr>
          <w:lang w:val="en-GB"/>
        </w:rPr>
        <w:t>) which are not reasonable; (ii) which are excessive or overly burdensome; (iii) complying with which is not feasible; or (iv) are made with an abusive or vexatious purpose or by a vexatious or querulous individual.</w:t>
      </w:r>
    </w:p>
    <w:p w14:paraId="0CB1E3CA" w14:textId="5C08EFD7" w:rsidR="00936F61" w:rsidRPr="003747CE" w:rsidRDefault="00936F61" w:rsidP="00D209EB">
      <w:pPr>
        <w:spacing w:after="120" w:line="480" w:lineRule="auto"/>
        <w:rPr>
          <w:lang w:val="en-GB"/>
        </w:rPr>
      </w:pPr>
      <w:r w:rsidRPr="003747CE">
        <w:rPr>
          <w:lang w:val="en-GB"/>
        </w:rPr>
        <w:t xml:space="preserve">For simplicity’s sake, I shortened the labels of the aforementioned </w:t>
      </w:r>
      <w:r w:rsidR="00A66C57">
        <w:rPr>
          <w:lang w:val="en-GB"/>
        </w:rPr>
        <w:t>DCND</w:t>
      </w:r>
      <w:r w:rsidRPr="003747CE">
        <w:rPr>
          <w:lang w:val="en-GB"/>
        </w:rPr>
        <w:t>:</w:t>
      </w:r>
    </w:p>
    <w:p w14:paraId="1F7C68F8" w14:textId="77777777" w:rsidR="00936F61" w:rsidRPr="003747CE" w:rsidRDefault="00936F61" w:rsidP="00D209EB">
      <w:pPr>
        <w:pStyle w:val="ListParagraph"/>
        <w:numPr>
          <w:ilvl w:val="0"/>
          <w:numId w:val="11"/>
        </w:numPr>
        <w:spacing w:after="120" w:line="480" w:lineRule="auto"/>
        <w:rPr>
          <w:lang w:val="en-GB"/>
        </w:rPr>
      </w:pPr>
      <w:r w:rsidRPr="003747CE">
        <w:rPr>
          <w:lang w:val="en-GB"/>
        </w:rPr>
        <w:t>Confidential government information</w:t>
      </w:r>
    </w:p>
    <w:p w14:paraId="02D3A87F" w14:textId="77777777" w:rsidR="00936F61" w:rsidRPr="003747CE" w:rsidRDefault="00936F61" w:rsidP="00D209EB">
      <w:pPr>
        <w:pStyle w:val="ListParagraph"/>
        <w:numPr>
          <w:ilvl w:val="0"/>
          <w:numId w:val="11"/>
        </w:numPr>
        <w:spacing w:after="120" w:line="480" w:lineRule="auto"/>
        <w:rPr>
          <w:lang w:val="en-GB"/>
        </w:rPr>
      </w:pPr>
      <w:r w:rsidRPr="003747CE">
        <w:rPr>
          <w:lang w:val="en-GB"/>
        </w:rPr>
        <w:t>Internal information</w:t>
      </w:r>
    </w:p>
    <w:p w14:paraId="0CF3BEAC" w14:textId="77777777" w:rsidR="00936F61" w:rsidRPr="003747CE" w:rsidRDefault="00936F61" w:rsidP="00D209EB">
      <w:pPr>
        <w:pStyle w:val="ListParagraph"/>
        <w:numPr>
          <w:ilvl w:val="0"/>
          <w:numId w:val="11"/>
        </w:numPr>
        <w:spacing w:after="120" w:line="480" w:lineRule="auto"/>
        <w:rPr>
          <w:lang w:val="en-GB"/>
        </w:rPr>
      </w:pPr>
      <w:r w:rsidRPr="003747CE">
        <w:rPr>
          <w:lang w:val="en-GB"/>
        </w:rPr>
        <w:t>Compromise decision-making process between ICANN and others</w:t>
      </w:r>
    </w:p>
    <w:p w14:paraId="7DE6783E" w14:textId="77777777" w:rsidR="00936F61" w:rsidRPr="003747CE" w:rsidRDefault="00936F61" w:rsidP="00D209EB">
      <w:pPr>
        <w:pStyle w:val="ListParagraph"/>
        <w:numPr>
          <w:ilvl w:val="0"/>
          <w:numId w:val="11"/>
        </w:numPr>
        <w:spacing w:after="120" w:line="480" w:lineRule="auto"/>
        <w:rPr>
          <w:lang w:val="en-GB"/>
        </w:rPr>
      </w:pPr>
      <w:r w:rsidRPr="003747CE">
        <w:rPr>
          <w:lang w:val="en-GB"/>
        </w:rPr>
        <w:t>Personal information</w:t>
      </w:r>
      <w:r w:rsidRPr="003747CE">
        <w:rPr>
          <w:lang w:val="en-GB"/>
        </w:rPr>
        <w:tab/>
      </w:r>
    </w:p>
    <w:p w14:paraId="0D9FD65B" w14:textId="77777777" w:rsidR="00936F61" w:rsidRPr="003747CE" w:rsidRDefault="00936F61" w:rsidP="00D209EB">
      <w:pPr>
        <w:pStyle w:val="ListParagraph"/>
        <w:numPr>
          <w:ilvl w:val="0"/>
          <w:numId w:val="11"/>
        </w:numPr>
        <w:spacing w:after="120" w:line="480" w:lineRule="auto"/>
        <w:rPr>
          <w:lang w:val="en-GB"/>
        </w:rPr>
      </w:pPr>
      <w:r w:rsidRPr="003747CE">
        <w:rPr>
          <w:lang w:val="en-GB"/>
        </w:rPr>
        <w:t>Prejudice commercial interests</w:t>
      </w:r>
      <w:r w:rsidRPr="003747CE">
        <w:rPr>
          <w:lang w:val="en-GB"/>
        </w:rPr>
        <w:tab/>
      </w:r>
    </w:p>
    <w:p w14:paraId="47EF24B8" w14:textId="77777777" w:rsidR="00936F61" w:rsidRPr="003747CE" w:rsidRDefault="00936F61" w:rsidP="00D209EB">
      <w:pPr>
        <w:pStyle w:val="ListParagraph"/>
        <w:numPr>
          <w:ilvl w:val="0"/>
          <w:numId w:val="11"/>
        </w:numPr>
        <w:spacing w:after="120" w:line="480" w:lineRule="auto"/>
        <w:rPr>
          <w:lang w:val="en-GB"/>
        </w:rPr>
      </w:pPr>
      <w:r w:rsidRPr="003747CE">
        <w:rPr>
          <w:lang w:val="en-GB"/>
        </w:rPr>
        <w:t xml:space="preserve">Confidential business information </w:t>
      </w:r>
      <w:r w:rsidRPr="003747CE">
        <w:rPr>
          <w:lang w:val="en-GB"/>
        </w:rPr>
        <w:tab/>
      </w:r>
    </w:p>
    <w:p w14:paraId="3C608182" w14:textId="77777777" w:rsidR="00936F61" w:rsidRPr="003747CE" w:rsidRDefault="00936F61" w:rsidP="00D209EB">
      <w:pPr>
        <w:pStyle w:val="ListParagraph"/>
        <w:numPr>
          <w:ilvl w:val="0"/>
          <w:numId w:val="11"/>
        </w:numPr>
        <w:spacing w:after="120" w:line="480" w:lineRule="auto"/>
        <w:rPr>
          <w:lang w:val="en-GB"/>
        </w:rPr>
      </w:pPr>
      <w:r w:rsidRPr="003747CE">
        <w:rPr>
          <w:lang w:val="en-GB"/>
        </w:rPr>
        <w:t xml:space="preserve">Endanger the life, health, or safety of any individual </w:t>
      </w:r>
      <w:r w:rsidRPr="003747CE">
        <w:rPr>
          <w:lang w:val="en-GB"/>
        </w:rPr>
        <w:tab/>
      </w:r>
    </w:p>
    <w:p w14:paraId="5D5529D2" w14:textId="77777777" w:rsidR="00936F61" w:rsidRPr="003747CE" w:rsidRDefault="00936F61" w:rsidP="00D209EB">
      <w:pPr>
        <w:pStyle w:val="ListParagraph"/>
        <w:numPr>
          <w:ilvl w:val="0"/>
          <w:numId w:val="11"/>
        </w:numPr>
        <w:spacing w:after="120" w:line="480" w:lineRule="auto"/>
        <w:rPr>
          <w:lang w:val="en-GB"/>
        </w:rPr>
      </w:pPr>
      <w:r w:rsidRPr="003747CE">
        <w:rPr>
          <w:lang w:val="en-GB"/>
        </w:rPr>
        <w:t>Attorney-client / attorney-work product privilege</w:t>
      </w:r>
      <w:r w:rsidRPr="003747CE">
        <w:rPr>
          <w:lang w:val="en-GB"/>
        </w:rPr>
        <w:tab/>
      </w:r>
    </w:p>
    <w:p w14:paraId="27325613" w14:textId="77777777" w:rsidR="00936F61" w:rsidRPr="003747CE" w:rsidRDefault="00936F61" w:rsidP="00D209EB">
      <w:pPr>
        <w:pStyle w:val="ListParagraph"/>
        <w:numPr>
          <w:ilvl w:val="0"/>
          <w:numId w:val="11"/>
        </w:numPr>
        <w:spacing w:after="120" w:line="480" w:lineRule="auto"/>
        <w:rPr>
          <w:lang w:val="en-GB"/>
        </w:rPr>
      </w:pPr>
      <w:r w:rsidRPr="003747CE">
        <w:rPr>
          <w:lang w:val="en-GB"/>
        </w:rPr>
        <w:t>Drafts of all correspondence, reports, documents, etc.</w:t>
      </w:r>
      <w:r w:rsidRPr="003747CE">
        <w:rPr>
          <w:lang w:val="en-GB"/>
        </w:rPr>
        <w:tab/>
      </w:r>
    </w:p>
    <w:p w14:paraId="511CE93F" w14:textId="77777777" w:rsidR="00936F61" w:rsidRPr="003747CE" w:rsidRDefault="00936F61" w:rsidP="00D209EB">
      <w:pPr>
        <w:pStyle w:val="ListParagraph"/>
        <w:numPr>
          <w:ilvl w:val="0"/>
          <w:numId w:val="11"/>
        </w:numPr>
        <w:spacing w:after="120" w:line="480" w:lineRule="auto"/>
        <w:rPr>
          <w:lang w:val="en-GB"/>
        </w:rPr>
      </w:pPr>
      <w:r w:rsidRPr="003747CE">
        <w:rPr>
          <w:lang w:val="en-GB"/>
        </w:rPr>
        <w:t>Internet security and stability</w:t>
      </w:r>
      <w:r w:rsidRPr="003747CE">
        <w:rPr>
          <w:lang w:val="en-GB"/>
        </w:rPr>
        <w:tab/>
      </w:r>
    </w:p>
    <w:p w14:paraId="5D2D07A0" w14:textId="77777777" w:rsidR="00936F61" w:rsidRPr="003747CE" w:rsidRDefault="00936F61" w:rsidP="00D209EB">
      <w:pPr>
        <w:pStyle w:val="ListParagraph"/>
        <w:numPr>
          <w:ilvl w:val="0"/>
          <w:numId w:val="11"/>
        </w:numPr>
        <w:spacing w:after="120" w:line="480" w:lineRule="auto"/>
        <w:rPr>
          <w:lang w:val="en-GB"/>
        </w:rPr>
      </w:pPr>
      <w:r w:rsidRPr="003747CE">
        <w:rPr>
          <w:lang w:val="en-GB"/>
        </w:rPr>
        <w:t xml:space="preserve">Trade secrets </w:t>
      </w:r>
      <w:r w:rsidRPr="003747CE">
        <w:rPr>
          <w:lang w:val="en-GB"/>
        </w:rPr>
        <w:tab/>
      </w:r>
    </w:p>
    <w:p w14:paraId="238A7AFD" w14:textId="77777777" w:rsidR="00936F61" w:rsidRPr="003747CE" w:rsidRDefault="00936F61" w:rsidP="00D209EB">
      <w:pPr>
        <w:pStyle w:val="ListParagraph"/>
        <w:numPr>
          <w:ilvl w:val="0"/>
          <w:numId w:val="11"/>
        </w:numPr>
        <w:spacing w:after="120" w:line="480" w:lineRule="auto"/>
        <w:rPr>
          <w:lang w:val="en-GB"/>
        </w:rPr>
      </w:pPr>
      <w:r w:rsidRPr="003747CE">
        <w:rPr>
          <w:lang w:val="en-GB"/>
        </w:rPr>
        <w:t>Not reasonable / excessive / not feasible / abusive</w:t>
      </w:r>
    </w:p>
    <w:p w14:paraId="7C88FDA3" w14:textId="09B8A673" w:rsidR="00AA53DE" w:rsidRPr="003747CE" w:rsidRDefault="007C6C3A" w:rsidP="00D209EB">
      <w:pPr>
        <w:spacing w:after="120" w:line="480" w:lineRule="auto"/>
        <w:ind w:firstLine="720"/>
        <w:rPr>
          <w:lang w:val="en-GB"/>
        </w:rPr>
      </w:pPr>
      <w:r w:rsidRPr="003747CE">
        <w:rPr>
          <w:lang w:val="en-GB"/>
        </w:rPr>
        <w:t xml:space="preserve">I </w:t>
      </w:r>
      <w:r w:rsidR="00AA53DE" w:rsidRPr="003747CE">
        <w:rPr>
          <w:lang w:val="en-GB"/>
        </w:rPr>
        <w:t>recorded the data</w:t>
      </w:r>
      <w:r w:rsidRPr="003747CE">
        <w:rPr>
          <w:lang w:val="en-GB"/>
        </w:rPr>
        <w:t xml:space="preserve"> in two CSV files. One file contained the Request IDs (nodes) and their attributes. The second file contained the DCND </w:t>
      </w:r>
      <w:r w:rsidR="00AA53DE" w:rsidRPr="003747CE">
        <w:rPr>
          <w:lang w:val="en-GB"/>
        </w:rPr>
        <w:t xml:space="preserve">(edges) </w:t>
      </w:r>
      <w:r w:rsidRPr="003747CE">
        <w:rPr>
          <w:lang w:val="en-GB"/>
        </w:rPr>
        <w:t xml:space="preserve">for each Request ID. </w:t>
      </w:r>
      <w:r w:rsidR="00674E18" w:rsidRPr="003747CE">
        <w:rPr>
          <w:lang w:val="en-GB"/>
        </w:rPr>
        <w:t xml:space="preserve">To visualise the data, </w:t>
      </w:r>
      <w:r w:rsidR="00936F61" w:rsidRPr="003747CE">
        <w:rPr>
          <w:lang w:val="en-GB"/>
        </w:rPr>
        <w:t xml:space="preserve">I </w:t>
      </w:r>
      <w:r w:rsidR="00AA53DE" w:rsidRPr="003747CE">
        <w:rPr>
          <w:lang w:val="en-GB"/>
        </w:rPr>
        <w:t xml:space="preserve">imported the CSV files to the </w:t>
      </w:r>
      <w:proofErr w:type="spellStart"/>
      <w:r w:rsidR="00AA53DE" w:rsidRPr="003747CE">
        <w:rPr>
          <w:lang w:val="en-GB"/>
        </w:rPr>
        <w:t>igraph</w:t>
      </w:r>
      <w:proofErr w:type="spellEnd"/>
      <w:r w:rsidR="00AA53DE" w:rsidRPr="003747CE">
        <w:rPr>
          <w:lang w:val="en-GB"/>
        </w:rPr>
        <w:t xml:space="preserve"> network analysis package in R. I </w:t>
      </w:r>
      <w:r w:rsidR="00936F61" w:rsidRPr="003747CE">
        <w:rPr>
          <w:lang w:val="en-GB"/>
        </w:rPr>
        <w:t>first developed a</w:t>
      </w:r>
      <w:r w:rsidRPr="003747CE">
        <w:rPr>
          <w:lang w:val="en-GB"/>
        </w:rPr>
        <w:t>n undirected</w:t>
      </w:r>
      <w:r w:rsidR="00936F61" w:rsidRPr="003747CE">
        <w:rPr>
          <w:lang w:val="en-GB"/>
        </w:rPr>
        <w:t xml:space="preserve"> multiplex network</w:t>
      </w:r>
      <w:r w:rsidR="00B266E7" w:rsidRPr="003747CE">
        <w:rPr>
          <w:lang w:val="en-GB"/>
        </w:rPr>
        <w:t>, which comprised 91 Request IDs</w:t>
      </w:r>
      <w:r w:rsidR="00936F61" w:rsidRPr="003747CE">
        <w:rPr>
          <w:lang w:val="en-GB"/>
        </w:rPr>
        <w:t xml:space="preserve"> (nodes) that were connected by shared DCND (undirected edges). Name of Requester, Request Date, Response Date, Affiliation in Request, Category, and Word Count were attributes assigned to each request. As it is not possible to fit an </w:t>
      </w:r>
      <w:r w:rsidR="00B266E7" w:rsidRPr="003747CE">
        <w:rPr>
          <w:lang w:val="en-GB"/>
        </w:rPr>
        <w:t>exponential random graph model (</w:t>
      </w:r>
      <w:r w:rsidR="00936F61" w:rsidRPr="003747CE">
        <w:rPr>
          <w:lang w:val="en-GB"/>
        </w:rPr>
        <w:t>ERGM</w:t>
      </w:r>
      <w:r w:rsidR="00B266E7" w:rsidRPr="003747CE">
        <w:rPr>
          <w:lang w:val="en-GB"/>
        </w:rPr>
        <w:t>)</w:t>
      </w:r>
      <w:r w:rsidR="00936F61" w:rsidRPr="003747CE">
        <w:rPr>
          <w:lang w:val="en-GB"/>
        </w:rPr>
        <w:t xml:space="preserve"> to a multiplex network in R, I</w:t>
      </w:r>
      <w:r w:rsidR="00674E18" w:rsidRPr="003747CE">
        <w:rPr>
          <w:lang w:val="en-GB"/>
        </w:rPr>
        <w:t xml:space="preserve"> next</w:t>
      </w:r>
      <w:r w:rsidR="00936F61" w:rsidRPr="003747CE">
        <w:rPr>
          <w:lang w:val="en-GB"/>
        </w:rPr>
        <w:t xml:space="preserve"> split the </w:t>
      </w:r>
      <w:r w:rsidR="00A66C57">
        <w:rPr>
          <w:lang w:val="en-GB"/>
        </w:rPr>
        <w:t>DCND</w:t>
      </w:r>
      <w:r w:rsidR="00936F61" w:rsidRPr="003747CE">
        <w:rPr>
          <w:lang w:val="en-GB"/>
        </w:rPr>
        <w:t xml:space="preserve"> into four categories, and created a</w:t>
      </w:r>
      <w:r w:rsidRPr="003747CE">
        <w:rPr>
          <w:lang w:val="en-GB"/>
        </w:rPr>
        <w:t>n undirected</w:t>
      </w:r>
      <w:r w:rsidR="00277C41" w:rsidRPr="003747CE">
        <w:rPr>
          <w:lang w:val="en-GB"/>
        </w:rPr>
        <w:t>,</w:t>
      </w:r>
      <w:r w:rsidR="00936F61" w:rsidRPr="003747CE">
        <w:rPr>
          <w:lang w:val="en-GB"/>
        </w:rPr>
        <w:t xml:space="preserve"> unidimensional network for each category. Only eight requests from s</w:t>
      </w:r>
      <w:r w:rsidR="00933196" w:rsidRPr="003747CE">
        <w:rPr>
          <w:lang w:val="en-GB"/>
        </w:rPr>
        <w:t xml:space="preserve">ix </w:t>
      </w:r>
      <w:r w:rsidR="00933196" w:rsidRPr="003747CE">
        <w:rPr>
          <w:lang w:val="en-GB"/>
        </w:rPr>
        <w:lastRenderedPageBreak/>
        <w:t>organisation types received “</w:t>
      </w:r>
      <w:r w:rsidR="00936F61" w:rsidRPr="003747CE">
        <w:rPr>
          <w:lang w:val="en-GB"/>
        </w:rPr>
        <w:t>j. Internet security and stability</w:t>
      </w:r>
      <w:r w:rsidR="00933196" w:rsidRPr="003747CE">
        <w:rPr>
          <w:lang w:val="en-GB"/>
        </w:rPr>
        <w:t>”</w:t>
      </w:r>
      <w:r w:rsidR="00936F61" w:rsidRPr="003747CE">
        <w:rPr>
          <w:lang w:val="en-GB"/>
        </w:rPr>
        <w:t xml:space="preserve"> in ICANN’s response. </w:t>
      </w:r>
      <w:r w:rsidR="00B266E7" w:rsidRPr="003747CE">
        <w:rPr>
          <w:lang w:val="en-GB"/>
        </w:rPr>
        <w:t xml:space="preserve">Due to </w:t>
      </w:r>
      <w:r w:rsidR="00936F61" w:rsidRPr="003747CE">
        <w:rPr>
          <w:lang w:val="en-GB"/>
        </w:rPr>
        <w:t xml:space="preserve">a large range of organisation types receiving the internet security </w:t>
      </w:r>
      <w:r w:rsidR="00A66C57">
        <w:rPr>
          <w:lang w:val="en-GB"/>
        </w:rPr>
        <w:t>DCND</w:t>
      </w:r>
      <w:r w:rsidR="00936F61" w:rsidRPr="003747CE">
        <w:rPr>
          <w:lang w:val="en-GB"/>
        </w:rPr>
        <w:t xml:space="preserve">, and </w:t>
      </w:r>
      <w:r w:rsidR="00B266E7" w:rsidRPr="003747CE">
        <w:rPr>
          <w:lang w:val="en-GB"/>
        </w:rPr>
        <w:t>the fact that it</w:t>
      </w:r>
      <w:r w:rsidR="00936F61" w:rsidRPr="003747CE">
        <w:rPr>
          <w:lang w:val="en-GB"/>
        </w:rPr>
        <w:t xml:space="preserve"> did not easily fit into any </w:t>
      </w:r>
      <w:r w:rsidR="00933196" w:rsidRPr="003747CE">
        <w:rPr>
          <w:lang w:val="en-GB"/>
        </w:rPr>
        <w:t>group</w:t>
      </w:r>
      <w:r w:rsidR="00936F61" w:rsidRPr="003747CE">
        <w:rPr>
          <w:lang w:val="en-GB"/>
        </w:rPr>
        <w:t xml:space="preserve">, </w:t>
      </w:r>
      <w:r w:rsidR="00B266E7" w:rsidRPr="003747CE">
        <w:rPr>
          <w:lang w:val="en-GB"/>
        </w:rPr>
        <w:t xml:space="preserve">no further analysis on </w:t>
      </w:r>
      <w:r w:rsidR="00596943" w:rsidRPr="003747CE">
        <w:rPr>
          <w:lang w:val="en-GB"/>
        </w:rPr>
        <w:t>the condition</w:t>
      </w:r>
      <w:r w:rsidR="00B266E7" w:rsidRPr="003747CE">
        <w:rPr>
          <w:lang w:val="en-GB"/>
        </w:rPr>
        <w:t xml:space="preserve"> was conducted</w:t>
      </w:r>
      <w:r w:rsidR="00936F61" w:rsidRPr="003747CE">
        <w:rPr>
          <w:lang w:val="en-GB"/>
        </w:rPr>
        <w:t xml:space="preserve">. </w:t>
      </w:r>
    </w:p>
    <w:p w14:paraId="5ABD0826" w14:textId="2E775585" w:rsidR="00674E18" w:rsidRPr="003747CE" w:rsidRDefault="00674E18" w:rsidP="00D209EB">
      <w:pPr>
        <w:spacing w:after="120" w:line="480" w:lineRule="auto"/>
        <w:rPr>
          <w:lang w:val="en-GB"/>
        </w:rPr>
      </w:pPr>
      <w:r w:rsidRPr="003747CE">
        <w:rPr>
          <w:lang w:val="en-GB"/>
        </w:rPr>
        <w:t xml:space="preserve">Grouped DCND were as follows: </w:t>
      </w:r>
    </w:p>
    <w:p w14:paraId="2DBD2AEB" w14:textId="0BADBBCD" w:rsidR="00936F61" w:rsidRPr="003747CE" w:rsidRDefault="00936F61" w:rsidP="00D209EB">
      <w:pPr>
        <w:pStyle w:val="ListParagraph"/>
        <w:numPr>
          <w:ilvl w:val="0"/>
          <w:numId w:val="3"/>
        </w:numPr>
        <w:spacing w:after="120" w:line="480" w:lineRule="auto"/>
        <w:rPr>
          <w:lang w:val="en-GB"/>
        </w:rPr>
      </w:pPr>
      <w:r w:rsidRPr="003747CE">
        <w:rPr>
          <w:lang w:val="en-GB"/>
        </w:rPr>
        <w:t>Affect Individual</w:t>
      </w:r>
    </w:p>
    <w:p w14:paraId="4D243A42" w14:textId="77777777" w:rsidR="00936F61" w:rsidRPr="003747CE" w:rsidRDefault="00936F61" w:rsidP="00D209EB">
      <w:pPr>
        <w:pStyle w:val="ListParagraph"/>
        <w:numPr>
          <w:ilvl w:val="0"/>
          <w:numId w:val="3"/>
        </w:numPr>
        <w:spacing w:after="120" w:line="480" w:lineRule="auto"/>
        <w:rPr>
          <w:lang w:val="en-GB"/>
        </w:rPr>
      </w:pPr>
      <w:r w:rsidRPr="003747CE">
        <w:rPr>
          <w:lang w:val="en-GB"/>
        </w:rPr>
        <w:t>Burdensome</w:t>
      </w:r>
    </w:p>
    <w:p w14:paraId="01DBDB5C" w14:textId="77777777" w:rsidR="00936F61" w:rsidRPr="003747CE" w:rsidRDefault="00936F61" w:rsidP="00D209EB">
      <w:pPr>
        <w:pStyle w:val="ListParagraph"/>
        <w:numPr>
          <w:ilvl w:val="0"/>
          <w:numId w:val="3"/>
        </w:numPr>
        <w:spacing w:after="120" w:line="480" w:lineRule="auto"/>
        <w:rPr>
          <w:lang w:val="en-GB"/>
        </w:rPr>
      </w:pPr>
      <w:r w:rsidRPr="003747CE">
        <w:rPr>
          <w:lang w:val="en-GB"/>
        </w:rPr>
        <w:t>Compromise ICANN Integrity</w:t>
      </w:r>
      <w:r w:rsidRPr="003747CE">
        <w:rPr>
          <w:lang w:val="en-GB"/>
        </w:rPr>
        <w:tab/>
      </w:r>
    </w:p>
    <w:p w14:paraId="6A7B02AE" w14:textId="2CE65DE3" w:rsidR="00936F61" w:rsidRPr="003747CE" w:rsidRDefault="00936F61" w:rsidP="00D209EB">
      <w:pPr>
        <w:pStyle w:val="ListParagraph"/>
        <w:numPr>
          <w:ilvl w:val="0"/>
          <w:numId w:val="3"/>
        </w:numPr>
        <w:spacing w:after="120" w:line="480" w:lineRule="auto"/>
        <w:rPr>
          <w:lang w:val="en-GB"/>
        </w:rPr>
      </w:pPr>
      <w:r w:rsidRPr="003747CE">
        <w:rPr>
          <w:lang w:val="en-GB"/>
        </w:rPr>
        <w:t>Confidential External Business Info</w:t>
      </w:r>
      <w:r w:rsidR="00931D81" w:rsidRPr="003747CE">
        <w:rPr>
          <w:lang w:val="en-GB"/>
        </w:rPr>
        <w:t>rmation</w:t>
      </w:r>
    </w:p>
    <w:p w14:paraId="0C22B824" w14:textId="77777777" w:rsidR="00936F61" w:rsidRPr="003747CE" w:rsidRDefault="00936F61" w:rsidP="00D209EB">
      <w:pPr>
        <w:spacing w:after="120" w:line="480" w:lineRule="auto"/>
        <w:rPr>
          <w:lang w:val="en-GB"/>
        </w:rPr>
      </w:pPr>
      <w:r w:rsidRPr="003747CE">
        <w:rPr>
          <w:lang w:val="en-GB"/>
        </w:rPr>
        <w:t xml:space="preserve">Affect Individual included: </w:t>
      </w:r>
    </w:p>
    <w:p w14:paraId="2AFEE8EA" w14:textId="77777777" w:rsidR="00936F61" w:rsidRPr="003747CE" w:rsidRDefault="00936F61" w:rsidP="00D209EB">
      <w:pPr>
        <w:pStyle w:val="ListParagraph"/>
        <w:numPr>
          <w:ilvl w:val="0"/>
          <w:numId w:val="5"/>
        </w:numPr>
        <w:spacing w:after="120" w:line="480" w:lineRule="auto"/>
        <w:rPr>
          <w:lang w:val="en-GB"/>
        </w:rPr>
      </w:pPr>
      <w:r w:rsidRPr="003747CE">
        <w:rPr>
          <w:lang w:val="en-GB"/>
        </w:rPr>
        <w:t>Personal information</w:t>
      </w:r>
      <w:r w:rsidRPr="003747CE">
        <w:rPr>
          <w:lang w:val="en-GB"/>
        </w:rPr>
        <w:tab/>
      </w:r>
    </w:p>
    <w:p w14:paraId="103A1674" w14:textId="77777777" w:rsidR="00936F61" w:rsidRPr="003747CE" w:rsidRDefault="00936F61" w:rsidP="00D209EB">
      <w:pPr>
        <w:pStyle w:val="ListParagraph"/>
        <w:numPr>
          <w:ilvl w:val="0"/>
          <w:numId w:val="6"/>
        </w:numPr>
        <w:spacing w:after="120" w:line="480" w:lineRule="auto"/>
        <w:rPr>
          <w:lang w:val="en-GB"/>
        </w:rPr>
      </w:pPr>
      <w:r w:rsidRPr="003747CE">
        <w:rPr>
          <w:lang w:val="en-GB"/>
        </w:rPr>
        <w:t xml:space="preserve">Endanger the life, health, or safety of any individual </w:t>
      </w:r>
      <w:r w:rsidRPr="003747CE">
        <w:rPr>
          <w:lang w:val="en-GB"/>
        </w:rPr>
        <w:tab/>
      </w:r>
    </w:p>
    <w:p w14:paraId="1F7C1185" w14:textId="77777777" w:rsidR="00936F61" w:rsidRPr="003747CE" w:rsidRDefault="00936F61" w:rsidP="00D209EB">
      <w:pPr>
        <w:spacing w:after="120" w:line="480" w:lineRule="auto"/>
        <w:rPr>
          <w:lang w:val="en-GB"/>
        </w:rPr>
      </w:pPr>
      <w:r w:rsidRPr="003747CE">
        <w:rPr>
          <w:lang w:val="en-GB"/>
        </w:rPr>
        <w:t>Burdensome included:</w:t>
      </w:r>
    </w:p>
    <w:p w14:paraId="75B8E9B0" w14:textId="77777777" w:rsidR="00936F61" w:rsidRPr="003747CE" w:rsidRDefault="00936F61" w:rsidP="00D209EB">
      <w:pPr>
        <w:pStyle w:val="ListParagraph"/>
        <w:numPr>
          <w:ilvl w:val="0"/>
          <w:numId w:val="2"/>
        </w:numPr>
        <w:spacing w:after="120" w:line="480" w:lineRule="auto"/>
        <w:rPr>
          <w:lang w:val="en-GB"/>
        </w:rPr>
      </w:pPr>
      <w:r w:rsidRPr="003747CE">
        <w:rPr>
          <w:lang w:val="en-GB"/>
        </w:rPr>
        <w:t>Drafts of all correspondence, reports, documents, etc.</w:t>
      </w:r>
    </w:p>
    <w:p w14:paraId="51EA04FD" w14:textId="77777777" w:rsidR="00936F61" w:rsidRPr="003747CE" w:rsidRDefault="00936F61" w:rsidP="00D209EB">
      <w:pPr>
        <w:pStyle w:val="ListParagraph"/>
        <w:numPr>
          <w:ilvl w:val="0"/>
          <w:numId w:val="7"/>
        </w:numPr>
        <w:spacing w:after="120" w:line="480" w:lineRule="auto"/>
        <w:ind w:left="741" w:hanging="377"/>
        <w:rPr>
          <w:lang w:val="en-GB"/>
        </w:rPr>
      </w:pPr>
      <w:r w:rsidRPr="003747CE">
        <w:rPr>
          <w:lang w:val="en-GB"/>
        </w:rPr>
        <w:t>Not reasonable / excessive / not feasible / abusive</w:t>
      </w:r>
    </w:p>
    <w:p w14:paraId="19CE4816" w14:textId="77777777" w:rsidR="00936F61" w:rsidRPr="003747CE" w:rsidRDefault="00936F61" w:rsidP="00D209EB">
      <w:pPr>
        <w:spacing w:after="120" w:line="480" w:lineRule="auto"/>
        <w:rPr>
          <w:lang w:val="en-GB"/>
        </w:rPr>
      </w:pPr>
      <w:r w:rsidRPr="003747CE">
        <w:rPr>
          <w:lang w:val="en-GB"/>
        </w:rPr>
        <w:t>Compromise ICANN Integrity included:</w:t>
      </w:r>
    </w:p>
    <w:p w14:paraId="19B0363B" w14:textId="77777777" w:rsidR="00936F61" w:rsidRPr="003747CE" w:rsidRDefault="00936F61" w:rsidP="00D209EB">
      <w:pPr>
        <w:pStyle w:val="ListParagraph"/>
        <w:numPr>
          <w:ilvl w:val="0"/>
          <w:numId w:val="8"/>
        </w:numPr>
        <w:spacing w:after="120" w:line="480" w:lineRule="auto"/>
        <w:rPr>
          <w:lang w:val="en-GB"/>
        </w:rPr>
      </w:pPr>
      <w:r w:rsidRPr="003747CE">
        <w:rPr>
          <w:lang w:val="en-GB"/>
        </w:rPr>
        <w:t>Internal information</w:t>
      </w:r>
    </w:p>
    <w:p w14:paraId="181D3ECB" w14:textId="77777777" w:rsidR="00936F61" w:rsidRPr="003747CE" w:rsidRDefault="00936F61" w:rsidP="00D209EB">
      <w:pPr>
        <w:pStyle w:val="ListParagraph"/>
        <w:numPr>
          <w:ilvl w:val="0"/>
          <w:numId w:val="8"/>
        </w:numPr>
        <w:spacing w:after="120" w:line="480" w:lineRule="auto"/>
        <w:rPr>
          <w:lang w:val="en-GB"/>
        </w:rPr>
      </w:pPr>
      <w:r w:rsidRPr="003747CE">
        <w:rPr>
          <w:lang w:val="en-GB"/>
        </w:rPr>
        <w:t>Compromise decision-making process between ICANN and others</w:t>
      </w:r>
    </w:p>
    <w:p w14:paraId="34FE9E8E" w14:textId="77777777" w:rsidR="00936F61" w:rsidRPr="003747CE" w:rsidRDefault="00936F61" w:rsidP="00D209EB">
      <w:pPr>
        <w:pStyle w:val="ListParagraph"/>
        <w:numPr>
          <w:ilvl w:val="0"/>
          <w:numId w:val="9"/>
        </w:numPr>
        <w:spacing w:after="120" w:line="480" w:lineRule="auto"/>
        <w:rPr>
          <w:lang w:val="en-GB"/>
        </w:rPr>
      </w:pPr>
      <w:r w:rsidRPr="003747CE">
        <w:rPr>
          <w:lang w:val="en-GB"/>
        </w:rPr>
        <w:t xml:space="preserve">Confidential business information </w:t>
      </w:r>
      <w:r w:rsidRPr="003747CE">
        <w:rPr>
          <w:lang w:val="en-GB"/>
        </w:rPr>
        <w:tab/>
      </w:r>
    </w:p>
    <w:p w14:paraId="271578E4" w14:textId="58D6361A" w:rsidR="00936F61" w:rsidRPr="003747CE" w:rsidRDefault="00936F61" w:rsidP="00D209EB">
      <w:pPr>
        <w:spacing w:after="120" w:line="480" w:lineRule="auto"/>
        <w:rPr>
          <w:lang w:val="en-GB"/>
        </w:rPr>
      </w:pPr>
      <w:r w:rsidRPr="003747CE">
        <w:rPr>
          <w:lang w:val="en-GB"/>
        </w:rPr>
        <w:t>Confidential External Business Info</w:t>
      </w:r>
      <w:r w:rsidR="00931D81" w:rsidRPr="003747CE">
        <w:rPr>
          <w:lang w:val="en-GB"/>
        </w:rPr>
        <w:t>rmation</w:t>
      </w:r>
      <w:r w:rsidRPr="003747CE">
        <w:rPr>
          <w:lang w:val="en-GB"/>
        </w:rPr>
        <w:t xml:space="preserve"> included:</w:t>
      </w:r>
    </w:p>
    <w:p w14:paraId="7DCB8B5B" w14:textId="77777777" w:rsidR="00936F61" w:rsidRPr="003747CE" w:rsidRDefault="00936F61" w:rsidP="00D209EB">
      <w:pPr>
        <w:pStyle w:val="ListParagraph"/>
        <w:numPr>
          <w:ilvl w:val="0"/>
          <w:numId w:val="4"/>
        </w:numPr>
        <w:spacing w:after="120" w:line="480" w:lineRule="auto"/>
        <w:rPr>
          <w:lang w:val="en-GB"/>
        </w:rPr>
      </w:pPr>
      <w:r w:rsidRPr="003747CE">
        <w:rPr>
          <w:lang w:val="en-GB"/>
        </w:rPr>
        <w:t>Confidential government information</w:t>
      </w:r>
    </w:p>
    <w:p w14:paraId="04AE1BAC" w14:textId="77777777" w:rsidR="00936F61" w:rsidRPr="003747CE" w:rsidRDefault="00936F61" w:rsidP="00D209EB">
      <w:pPr>
        <w:pStyle w:val="ListParagraph"/>
        <w:numPr>
          <w:ilvl w:val="0"/>
          <w:numId w:val="5"/>
        </w:numPr>
        <w:spacing w:after="120" w:line="480" w:lineRule="auto"/>
        <w:rPr>
          <w:lang w:val="en-GB"/>
        </w:rPr>
      </w:pPr>
      <w:r w:rsidRPr="003747CE">
        <w:rPr>
          <w:lang w:val="en-GB"/>
        </w:rPr>
        <w:t>Prejudice commercial interests</w:t>
      </w:r>
    </w:p>
    <w:p w14:paraId="26684178" w14:textId="77777777" w:rsidR="00936F61" w:rsidRPr="003747CE" w:rsidRDefault="00936F61" w:rsidP="00D209EB">
      <w:pPr>
        <w:pStyle w:val="ListParagraph"/>
        <w:numPr>
          <w:ilvl w:val="0"/>
          <w:numId w:val="6"/>
        </w:numPr>
        <w:spacing w:after="120" w:line="480" w:lineRule="auto"/>
        <w:rPr>
          <w:lang w:val="en-GB"/>
        </w:rPr>
      </w:pPr>
      <w:r w:rsidRPr="003747CE">
        <w:rPr>
          <w:lang w:val="en-GB"/>
        </w:rPr>
        <w:t>Attorney-client / attorney-work product privilege</w:t>
      </w:r>
      <w:r w:rsidRPr="003747CE">
        <w:rPr>
          <w:lang w:val="en-GB"/>
        </w:rPr>
        <w:tab/>
      </w:r>
    </w:p>
    <w:p w14:paraId="45E471C4" w14:textId="77777777" w:rsidR="00AA53DE" w:rsidRPr="003747CE" w:rsidRDefault="00936F61" w:rsidP="00D209EB">
      <w:pPr>
        <w:pStyle w:val="ListParagraph"/>
        <w:numPr>
          <w:ilvl w:val="0"/>
          <w:numId w:val="10"/>
        </w:numPr>
        <w:spacing w:after="120" w:line="480" w:lineRule="auto"/>
        <w:rPr>
          <w:lang w:val="en-GB"/>
        </w:rPr>
      </w:pPr>
      <w:r w:rsidRPr="003747CE">
        <w:rPr>
          <w:lang w:val="en-GB"/>
        </w:rPr>
        <w:t xml:space="preserve">Trade secrets </w:t>
      </w:r>
      <w:r w:rsidRPr="003747CE">
        <w:rPr>
          <w:lang w:val="en-GB"/>
        </w:rPr>
        <w:tab/>
      </w:r>
    </w:p>
    <w:p w14:paraId="2A02CE64" w14:textId="4FA232D4" w:rsidR="000F776F" w:rsidRPr="003747CE" w:rsidRDefault="00B266E7" w:rsidP="00D209EB">
      <w:pPr>
        <w:spacing w:after="120" w:line="480" w:lineRule="auto"/>
        <w:ind w:firstLine="720"/>
        <w:rPr>
          <w:lang w:val="en-GB"/>
        </w:rPr>
      </w:pPr>
      <w:r w:rsidRPr="003747CE">
        <w:rPr>
          <w:lang w:val="en-GB"/>
        </w:rPr>
        <w:lastRenderedPageBreak/>
        <w:t xml:space="preserve">I used the </w:t>
      </w:r>
      <w:proofErr w:type="spellStart"/>
      <w:r w:rsidRPr="003747CE">
        <w:rPr>
          <w:lang w:val="en-GB"/>
        </w:rPr>
        <w:t>statnet</w:t>
      </w:r>
      <w:proofErr w:type="spellEnd"/>
      <w:r w:rsidRPr="003747CE">
        <w:rPr>
          <w:lang w:val="en-GB"/>
        </w:rPr>
        <w:t xml:space="preserve"> </w:t>
      </w:r>
      <w:r w:rsidR="00AA53DE" w:rsidRPr="003747CE">
        <w:rPr>
          <w:lang w:val="en-GB"/>
        </w:rPr>
        <w:t xml:space="preserve">statistical analysis </w:t>
      </w:r>
      <w:r w:rsidRPr="003747CE">
        <w:rPr>
          <w:lang w:val="en-GB"/>
        </w:rPr>
        <w:t xml:space="preserve">package in R to fit ERGMs (p* models) to the dataset, to predict the likelihood of a condition existing between two DIDP requests. I used three different ERGM functions: </w:t>
      </w:r>
      <w:proofErr w:type="spellStart"/>
      <w:r w:rsidRPr="003747CE">
        <w:rPr>
          <w:lang w:val="en-GB"/>
        </w:rPr>
        <w:t>absdiff</w:t>
      </w:r>
      <w:proofErr w:type="spellEnd"/>
      <w:r w:rsidRPr="003747CE">
        <w:rPr>
          <w:lang w:val="en-GB"/>
        </w:rPr>
        <w:t xml:space="preserve">, </w:t>
      </w:r>
      <w:proofErr w:type="spellStart"/>
      <w:r w:rsidRPr="003747CE">
        <w:rPr>
          <w:lang w:val="en-GB"/>
        </w:rPr>
        <w:t>nodecov</w:t>
      </w:r>
      <w:proofErr w:type="spellEnd"/>
      <w:r w:rsidRPr="003747CE">
        <w:rPr>
          <w:lang w:val="en-GB"/>
        </w:rPr>
        <w:t xml:space="preserve">, and </w:t>
      </w:r>
      <w:proofErr w:type="spellStart"/>
      <w:r w:rsidRPr="003747CE">
        <w:rPr>
          <w:lang w:val="en-GB"/>
        </w:rPr>
        <w:t>nodematch</w:t>
      </w:r>
      <w:proofErr w:type="spellEnd"/>
      <w:r w:rsidRPr="003747CE">
        <w:rPr>
          <w:lang w:val="en-GB"/>
        </w:rPr>
        <w:t xml:space="preserve">. </w:t>
      </w:r>
      <w:proofErr w:type="spellStart"/>
      <w:r w:rsidRPr="003747CE">
        <w:rPr>
          <w:lang w:val="en-GB"/>
        </w:rPr>
        <w:t>Abs</w:t>
      </w:r>
      <w:r w:rsidR="007C6C3A" w:rsidRPr="003747CE">
        <w:rPr>
          <w:lang w:val="en-GB"/>
        </w:rPr>
        <w:t>diff</w:t>
      </w:r>
      <w:proofErr w:type="spellEnd"/>
      <w:r w:rsidR="007C6C3A" w:rsidRPr="003747CE">
        <w:rPr>
          <w:lang w:val="en-GB"/>
        </w:rPr>
        <w:t xml:space="preserve"> was used to see whether a DCND was</w:t>
      </w:r>
      <w:r w:rsidRPr="003747CE">
        <w:rPr>
          <w:lang w:val="en-GB"/>
        </w:rPr>
        <w:t xml:space="preserve"> </w:t>
      </w:r>
      <w:r w:rsidR="00931D81" w:rsidRPr="003747CE">
        <w:rPr>
          <w:lang w:val="en-GB"/>
        </w:rPr>
        <w:t>expected</w:t>
      </w:r>
      <w:r w:rsidRPr="003747CE">
        <w:rPr>
          <w:lang w:val="en-GB"/>
        </w:rPr>
        <w:t xml:space="preserve"> to exist as the </w:t>
      </w:r>
      <w:r w:rsidR="007C6C3A" w:rsidRPr="003747CE">
        <w:rPr>
          <w:lang w:val="en-GB"/>
        </w:rPr>
        <w:t xml:space="preserve">difference between word count increased between two requests. </w:t>
      </w:r>
      <w:proofErr w:type="spellStart"/>
      <w:r w:rsidR="007C6C3A" w:rsidRPr="003747CE">
        <w:rPr>
          <w:lang w:val="en-GB"/>
        </w:rPr>
        <w:t>Nodecov</w:t>
      </w:r>
      <w:proofErr w:type="spellEnd"/>
      <w:r w:rsidR="007C6C3A" w:rsidRPr="003747CE">
        <w:rPr>
          <w:lang w:val="en-GB"/>
        </w:rPr>
        <w:t xml:space="preserve"> was used to see whether a request was more or less likely to receive a DCND as word count increased. </w:t>
      </w:r>
      <w:proofErr w:type="spellStart"/>
      <w:r w:rsidR="007C6C3A" w:rsidRPr="003747CE">
        <w:rPr>
          <w:lang w:val="en-GB"/>
        </w:rPr>
        <w:t>Nodematch</w:t>
      </w:r>
      <w:proofErr w:type="spellEnd"/>
      <w:r w:rsidR="007C6C3A" w:rsidRPr="003747CE">
        <w:rPr>
          <w:lang w:val="en-GB"/>
        </w:rPr>
        <w:t xml:space="preserve"> was used to see whether requests made by similar individuals or organisations were likely to receive a DCND.</w:t>
      </w:r>
    </w:p>
    <w:p w14:paraId="79AB45FC" w14:textId="68547784" w:rsidR="000F776F" w:rsidRPr="003747CE" w:rsidRDefault="00AC2E39" w:rsidP="00D209EB">
      <w:pPr>
        <w:spacing w:after="120" w:line="480" w:lineRule="auto"/>
        <w:jc w:val="center"/>
        <w:outlineLvl w:val="0"/>
        <w:rPr>
          <w:b/>
          <w:lang w:val="en-GB"/>
        </w:rPr>
      </w:pPr>
      <w:r w:rsidRPr="003747CE">
        <w:rPr>
          <w:b/>
          <w:lang w:val="en-GB"/>
        </w:rPr>
        <w:t>Results</w:t>
      </w:r>
    </w:p>
    <w:p w14:paraId="4413E4A8" w14:textId="29DA3F58" w:rsidR="008F0C2D" w:rsidRPr="003747CE" w:rsidRDefault="00AC2E39" w:rsidP="00D209EB">
      <w:pPr>
        <w:spacing w:after="120" w:line="480" w:lineRule="auto"/>
        <w:ind w:firstLine="720"/>
        <w:rPr>
          <w:lang w:val="en-GB"/>
        </w:rPr>
      </w:pPr>
      <w:r w:rsidRPr="003747CE">
        <w:rPr>
          <w:lang w:val="en-GB"/>
        </w:rPr>
        <w:t xml:space="preserve">The </w:t>
      </w:r>
      <w:r w:rsidR="00AA53DE" w:rsidRPr="003747CE">
        <w:rPr>
          <w:lang w:val="en-GB"/>
        </w:rPr>
        <w:t xml:space="preserve">undirected multiplex network comprised </w:t>
      </w:r>
      <w:r w:rsidRPr="003747CE">
        <w:rPr>
          <w:lang w:val="en-GB"/>
        </w:rPr>
        <w:t xml:space="preserve">91 requests </w:t>
      </w:r>
      <w:r w:rsidR="00AA53DE" w:rsidRPr="003747CE">
        <w:rPr>
          <w:lang w:val="en-GB"/>
        </w:rPr>
        <w:t xml:space="preserve">and 3453 edges. </w:t>
      </w:r>
      <w:r w:rsidR="008F0C2D" w:rsidRPr="003747CE">
        <w:rPr>
          <w:lang w:val="en-GB"/>
        </w:rPr>
        <w:t xml:space="preserve">There were 26 isolates with no DCND from nine categories of request affiliation: 9x Internet Non-Profit (33%); 3x Law Firm / Plaintiff (23.8%); 4x Journalist (50%); 3x Registrant (37.5%); 1x ICANN Stockholder Group / Working Group (12.5%); 2x Trade Association (28.57%); 1x Registry / New </w:t>
      </w:r>
      <w:proofErr w:type="spellStart"/>
      <w:r w:rsidR="008F0C2D" w:rsidRPr="003747CE">
        <w:rPr>
          <w:lang w:val="en-GB"/>
        </w:rPr>
        <w:t>gTLD</w:t>
      </w:r>
      <w:proofErr w:type="spellEnd"/>
      <w:r w:rsidR="008F0C2D" w:rsidRPr="003747CE">
        <w:rPr>
          <w:lang w:val="en-GB"/>
        </w:rPr>
        <w:t xml:space="preserve"> Applicant (20%); 2x Internet Consultancy Firm (40%); and 1x Not Known (16.67%). Percentages are relative to</w:t>
      </w:r>
      <w:r w:rsidR="00277C41" w:rsidRPr="003747CE">
        <w:rPr>
          <w:lang w:val="en-GB"/>
        </w:rPr>
        <w:t xml:space="preserve"> the</w:t>
      </w:r>
      <w:r w:rsidR="008F0C2D" w:rsidRPr="003747CE">
        <w:rPr>
          <w:lang w:val="en-GB"/>
        </w:rPr>
        <w:t xml:space="preserve"> number of Request IDs in each affiliation category. Of the requests that received DCND, ten received condition a.; 38 received condition b.; 31 received condition c.; six received condition d.; 34 received condition e.</w:t>
      </w:r>
      <w:r w:rsidR="009B631B" w:rsidRPr="003747CE">
        <w:rPr>
          <w:lang w:val="en-GB"/>
        </w:rPr>
        <w:t>;</w:t>
      </w:r>
      <w:r w:rsidR="008F0C2D" w:rsidRPr="003747CE">
        <w:rPr>
          <w:lang w:val="en-GB"/>
        </w:rPr>
        <w:t xml:space="preserve"> 36 received condition f.; one received condition g.; </w:t>
      </w:r>
      <w:r w:rsidR="00277C41" w:rsidRPr="003747CE">
        <w:rPr>
          <w:lang w:val="en-GB"/>
        </w:rPr>
        <w:t xml:space="preserve">22 received condition h.; 31 received condition </w:t>
      </w:r>
      <w:proofErr w:type="spellStart"/>
      <w:r w:rsidR="00277C41" w:rsidRPr="003747CE">
        <w:rPr>
          <w:lang w:val="en-GB"/>
        </w:rPr>
        <w:t>i</w:t>
      </w:r>
      <w:proofErr w:type="spellEnd"/>
      <w:r w:rsidR="00277C41" w:rsidRPr="003747CE">
        <w:rPr>
          <w:lang w:val="en-GB"/>
        </w:rPr>
        <w:t>.; eight received condition j.; 12 received condition k.; and 18 received condition l.</w:t>
      </w:r>
    </w:p>
    <w:p w14:paraId="08F84328" w14:textId="7B7021DF" w:rsidR="008F0C2D" w:rsidRPr="003747CE" w:rsidRDefault="008F0C2D" w:rsidP="008F0C2D">
      <w:pPr>
        <w:spacing w:after="120" w:line="360" w:lineRule="auto"/>
        <w:jc w:val="both"/>
        <w:rPr>
          <w:lang w:val="en-GB"/>
        </w:rPr>
      </w:pPr>
    </w:p>
    <w:p w14:paraId="6B68C966" w14:textId="089AE82F" w:rsidR="00AA53DE" w:rsidRPr="003747CE" w:rsidRDefault="00AD3F16" w:rsidP="00AA53DE">
      <w:pPr>
        <w:spacing w:after="120" w:line="360" w:lineRule="auto"/>
        <w:jc w:val="right"/>
        <w:rPr>
          <w:lang w:val="en-GB"/>
        </w:rPr>
      </w:pPr>
      <w:r w:rsidRPr="003747CE">
        <w:rPr>
          <w:noProof/>
        </w:rPr>
        <w:lastRenderedPageBreak/>
        <w:drawing>
          <wp:anchor distT="0" distB="0" distL="114300" distR="114300" simplePos="0" relativeHeight="251660288" behindDoc="0" locked="0" layoutInCell="1" allowOverlap="1" wp14:anchorId="09621A6A" wp14:editId="26E45E1D">
            <wp:simplePos x="0" y="0"/>
            <wp:positionH relativeFrom="column">
              <wp:posOffset>2681605</wp:posOffset>
            </wp:positionH>
            <wp:positionV relativeFrom="paragraph">
              <wp:posOffset>226060</wp:posOffset>
            </wp:positionV>
            <wp:extent cx="3281045" cy="3145790"/>
            <wp:effectExtent l="0" t="0" r="0" b="381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3281045" cy="3145790"/>
                    </a:xfrm>
                    <a:prstGeom prst="rect">
                      <a:avLst/>
                    </a:prstGeom>
                  </pic:spPr>
                </pic:pic>
              </a:graphicData>
            </a:graphic>
            <wp14:sizeRelH relativeFrom="page">
              <wp14:pctWidth>0</wp14:pctWidth>
            </wp14:sizeRelH>
            <wp14:sizeRelV relativeFrom="page">
              <wp14:pctHeight>0</wp14:pctHeight>
            </wp14:sizeRelV>
          </wp:anchor>
        </w:drawing>
      </w:r>
      <w:r w:rsidRPr="003747CE">
        <w:rPr>
          <w:noProof/>
        </w:rPr>
        <w:drawing>
          <wp:anchor distT="0" distB="0" distL="114300" distR="114300" simplePos="0" relativeHeight="251659264" behindDoc="0" locked="0" layoutInCell="1" allowOverlap="1" wp14:anchorId="37129AC1" wp14:editId="39C9FE89">
            <wp:simplePos x="0" y="0"/>
            <wp:positionH relativeFrom="column">
              <wp:posOffset>45720</wp:posOffset>
            </wp:positionH>
            <wp:positionV relativeFrom="paragraph">
              <wp:posOffset>114935</wp:posOffset>
            </wp:positionV>
            <wp:extent cx="2581275" cy="3356610"/>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2581275" cy="3356610"/>
                    </a:xfrm>
                    <a:prstGeom prst="rect">
                      <a:avLst/>
                    </a:prstGeom>
                  </pic:spPr>
                </pic:pic>
              </a:graphicData>
            </a:graphic>
            <wp14:sizeRelH relativeFrom="page">
              <wp14:pctWidth>0</wp14:pctWidth>
            </wp14:sizeRelH>
            <wp14:sizeRelV relativeFrom="page">
              <wp14:pctHeight>0</wp14:pctHeight>
            </wp14:sizeRelV>
          </wp:anchor>
        </w:drawing>
      </w:r>
    </w:p>
    <w:p w14:paraId="4FC14D04" w14:textId="77777777" w:rsidR="00AA53DE" w:rsidRPr="003747CE" w:rsidRDefault="00AA53DE" w:rsidP="00AD3F16">
      <w:pPr>
        <w:spacing w:line="360" w:lineRule="auto"/>
        <w:rPr>
          <w:b/>
          <w:lang w:val="en-GB"/>
        </w:rPr>
      </w:pPr>
    </w:p>
    <w:p w14:paraId="45B475A8" w14:textId="37967A27" w:rsidR="00AA53DE" w:rsidRPr="003747CE" w:rsidRDefault="00AA53DE" w:rsidP="00277C41">
      <w:pPr>
        <w:spacing w:after="120" w:line="360" w:lineRule="auto"/>
        <w:jc w:val="center"/>
        <w:rPr>
          <w:lang w:val="en-GB"/>
        </w:rPr>
      </w:pPr>
      <w:r w:rsidRPr="003747CE">
        <w:rPr>
          <w:b/>
          <w:lang w:val="en-GB"/>
        </w:rPr>
        <w:t>Figure 1</w:t>
      </w:r>
      <w:r w:rsidRPr="003747CE">
        <w:rPr>
          <w:lang w:val="en-GB"/>
        </w:rPr>
        <w:t xml:space="preserve"> </w:t>
      </w:r>
      <w:r w:rsidRPr="003747CE">
        <w:rPr>
          <w:b/>
          <w:lang w:val="en-GB"/>
        </w:rPr>
        <w:t xml:space="preserve">Visualisation of overall network. </w:t>
      </w:r>
      <w:r w:rsidRPr="003747CE">
        <w:rPr>
          <w:b/>
          <w:lang w:val="en-GB"/>
        </w:rPr>
        <w:br/>
        <w:t xml:space="preserve">A multiplex graph of the shared </w:t>
      </w:r>
      <w:r w:rsidR="00A66C57">
        <w:rPr>
          <w:b/>
          <w:lang w:val="en-GB"/>
        </w:rPr>
        <w:t>DCND</w:t>
      </w:r>
      <w:r w:rsidRPr="003747CE">
        <w:rPr>
          <w:b/>
          <w:lang w:val="en-GB"/>
        </w:rPr>
        <w:t xml:space="preserve"> between DIDP requests</w:t>
      </w:r>
      <w:r w:rsidR="00E71BF5" w:rsidRPr="003747CE">
        <w:rPr>
          <w:b/>
          <w:lang w:val="en-GB"/>
        </w:rPr>
        <w:t>.</w:t>
      </w:r>
    </w:p>
    <w:p w14:paraId="41F62FC7" w14:textId="28CA8E9B" w:rsidR="00AA53DE" w:rsidRPr="003747CE" w:rsidRDefault="00277C41" w:rsidP="00D209EB">
      <w:pPr>
        <w:spacing w:after="120" w:line="480" w:lineRule="auto"/>
        <w:ind w:firstLine="720"/>
        <w:rPr>
          <w:lang w:val="en-GB"/>
        </w:rPr>
      </w:pPr>
      <w:r w:rsidRPr="003747CE">
        <w:rPr>
          <w:lang w:val="en-GB"/>
        </w:rPr>
        <w:t>The individual</w:t>
      </w:r>
      <w:r w:rsidR="00F351AF">
        <w:rPr>
          <w:lang w:val="en-GB"/>
        </w:rPr>
        <w:t>,</w:t>
      </w:r>
      <w:r w:rsidRPr="003747CE">
        <w:rPr>
          <w:lang w:val="en-GB"/>
        </w:rPr>
        <w:t xml:space="preserve"> undirected, unidimensional networks for each DCND group </w:t>
      </w:r>
      <w:r w:rsidR="00F351AF" w:rsidRPr="003747CE">
        <w:rPr>
          <w:lang w:val="en-GB"/>
        </w:rPr>
        <w:t>facilitated</w:t>
      </w:r>
      <w:r w:rsidRPr="003747CE">
        <w:rPr>
          <w:lang w:val="en-GB"/>
        </w:rPr>
        <w:t xml:space="preserve"> hypothesis testing. I found some evidence for H1 that individuals and </w:t>
      </w:r>
      <w:r w:rsidR="00E71BF5" w:rsidRPr="003747CE">
        <w:rPr>
          <w:lang w:val="en-GB"/>
        </w:rPr>
        <w:t xml:space="preserve">organisations, which </w:t>
      </w:r>
      <w:r w:rsidRPr="003747CE">
        <w:rPr>
          <w:lang w:val="en-GB"/>
        </w:rPr>
        <w:t>f</w:t>
      </w:r>
      <w:r w:rsidR="00F351AF">
        <w:rPr>
          <w:lang w:val="en-GB"/>
        </w:rPr>
        <w:t>e</w:t>
      </w:r>
      <w:r w:rsidRPr="003747CE">
        <w:rPr>
          <w:lang w:val="en-GB"/>
        </w:rPr>
        <w:t>ll into the s</w:t>
      </w:r>
      <w:r w:rsidR="00E71BF5" w:rsidRPr="003747CE">
        <w:rPr>
          <w:lang w:val="en-GB"/>
        </w:rPr>
        <w:t>ame category/</w:t>
      </w:r>
      <w:r w:rsidR="00F351AF">
        <w:rPr>
          <w:lang w:val="en-GB"/>
        </w:rPr>
        <w:t>industry sector, would</w:t>
      </w:r>
      <w:r w:rsidRPr="003747CE">
        <w:rPr>
          <w:lang w:val="en-GB"/>
        </w:rPr>
        <w:t xml:space="preserve"> receive similar DCND. The hypothesis was proven for some affiliation categories, but not others.</w:t>
      </w:r>
      <w:r w:rsidR="00E71BF5" w:rsidRPr="003747CE">
        <w:rPr>
          <w:lang w:val="en-GB"/>
        </w:rPr>
        <w:t xml:space="preserve"> The affect individual DCND were not statistically significant for any affiliation category. </w:t>
      </w:r>
      <w:r w:rsidRPr="003747CE">
        <w:rPr>
          <w:lang w:val="en-GB"/>
        </w:rPr>
        <w:t>ICANN Stakeholder Groups / Working Groups</w:t>
      </w:r>
      <w:r w:rsidR="003012F8" w:rsidRPr="003747CE">
        <w:rPr>
          <w:lang w:val="en-GB"/>
        </w:rPr>
        <w:t xml:space="preserve"> were</w:t>
      </w:r>
      <w:r w:rsidRPr="003747CE">
        <w:rPr>
          <w:lang w:val="en-GB"/>
        </w:rPr>
        <w:t xml:space="preserve"> more likely to receive </w:t>
      </w:r>
      <w:r w:rsidR="00BD086E">
        <w:rPr>
          <w:lang w:val="en-GB"/>
        </w:rPr>
        <w:t>B</w:t>
      </w:r>
      <w:r w:rsidR="00E71BF5" w:rsidRPr="003747CE">
        <w:rPr>
          <w:lang w:val="en-GB"/>
        </w:rPr>
        <w:t>urdensome DCND, wh</w:t>
      </w:r>
      <w:r w:rsidR="003C6644" w:rsidRPr="003747CE">
        <w:rPr>
          <w:lang w:val="en-GB"/>
        </w:rPr>
        <w:t>ereas law firms / plaintiffs were</w:t>
      </w:r>
      <w:r w:rsidR="00BD086E">
        <w:rPr>
          <w:lang w:val="en-GB"/>
        </w:rPr>
        <w:t xml:space="preserve"> less likely to receive B</w:t>
      </w:r>
      <w:r w:rsidR="00E71BF5" w:rsidRPr="003747CE">
        <w:rPr>
          <w:lang w:val="en-GB"/>
        </w:rPr>
        <w:t xml:space="preserve">urdensome DCND. The </w:t>
      </w:r>
      <w:r w:rsidR="00BD086E">
        <w:rPr>
          <w:lang w:val="en-GB"/>
        </w:rPr>
        <w:t>B</w:t>
      </w:r>
      <w:r w:rsidR="00E71BF5" w:rsidRPr="003747CE">
        <w:rPr>
          <w:lang w:val="en-GB"/>
        </w:rPr>
        <w:t>urdensome DCND were not statistically significant for any other affiliation category.</w:t>
      </w:r>
      <w:r w:rsidR="00931D81" w:rsidRPr="003747CE">
        <w:rPr>
          <w:lang w:val="en-GB"/>
        </w:rPr>
        <w:t xml:space="preserve"> ICANN Stakeholder Groups / Working Groups</w:t>
      </w:r>
      <w:r w:rsidR="003C6644" w:rsidRPr="003747CE">
        <w:rPr>
          <w:lang w:val="en-GB"/>
        </w:rPr>
        <w:t xml:space="preserve"> were</w:t>
      </w:r>
      <w:r w:rsidR="00931D81" w:rsidRPr="003747CE">
        <w:rPr>
          <w:lang w:val="en-GB"/>
        </w:rPr>
        <w:t xml:space="preserve"> more likely to receive compromise </w:t>
      </w:r>
      <w:r w:rsidR="00BD086E">
        <w:rPr>
          <w:lang w:val="en-GB"/>
        </w:rPr>
        <w:t>ICANN Integrity</w:t>
      </w:r>
      <w:r w:rsidR="00931D81" w:rsidRPr="003747CE">
        <w:rPr>
          <w:lang w:val="en-GB"/>
        </w:rPr>
        <w:t xml:space="preserve"> DCND, whereas</w:t>
      </w:r>
      <w:r w:rsidR="003C6644" w:rsidRPr="003747CE">
        <w:rPr>
          <w:lang w:val="en-GB"/>
        </w:rPr>
        <w:t xml:space="preserve"> registrants were</w:t>
      </w:r>
      <w:r w:rsidR="00931D81" w:rsidRPr="003747CE">
        <w:rPr>
          <w:lang w:val="en-GB"/>
        </w:rPr>
        <w:t xml:space="preserve"> less likely to</w:t>
      </w:r>
      <w:r w:rsidR="00E71BF5" w:rsidRPr="003747CE">
        <w:rPr>
          <w:lang w:val="en-GB"/>
        </w:rPr>
        <w:t xml:space="preserve"> </w:t>
      </w:r>
      <w:r w:rsidR="00931D81" w:rsidRPr="003747CE">
        <w:rPr>
          <w:lang w:val="en-GB"/>
        </w:rPr>
        <w:t xml:space="preserve">receive compromise </w:t>
      </w:r>
      <w:r w:rsidR="00BD086E">
        <w:rPr>
          <w:lang w:val="en-GB"/>
        </w:rPr>
        <w:t>ICANN Integrity</w:t>
      </w:r>
      <w:r w:rsidR="00931D81" w:rsidRPr="003747CE">
        <w:rPr>
          <w:lang w:val="en-GB"/>
        </w:rPr>
        <w:t xml:space="preserve"> DCND. The compromise </w:t>
      </w:r>
      <w:r w:rsidR="00BD086E">
        <w:rPr>
          <w:lang w:val="en-GB"/>
        </w:rPr>
        <w:t>ICANN Integrity</w:t>
      </w:r>
      <w:r w:rsidR="00931D81" w:rsidRPr="003747CE">
        <w:rPr>
          <w:lang w:val="en-GB"/>
        </w:rPr>
        <w:t xml:space="preserve"> DCND were not statistically significant for any other affiliation category. ICANN Stakeholder Groups / Working Groups</w:t>
      </w:r>
      <w:r w:rsidR="003C6644" w:rsidRPr="003747CE">
        <w:rPr>
          <w:lang w:val="en-GB"/>
        </w:rPr>
        <w:t xml:space="preserve"> were</w:t>
      </w:r>
      <w:r w:rsidR="00931D81" w:rsidRPr="003747CE">
        <w:rPr>
          <w:lang w:val="en-GB"/>
        </w:rPr>
        <w:t xml:space="preserve"> more likely to receive confidential, external </w:t>
      </w:r>
      <w:r w:rsidR="00931D81" w:rsidRPr="003747CE">
        <w:rPr>
          <w:lang w:val="en-GB"/>
        </w:rPr>
        <w:lastRenderedPageBreak/>
        <w:t xml:space="preserve">business information DCND, </w:t>
      </w:r>
      <w:r w:rsidR="003C6644" w:rsidRPr="003747CE">
        <w:rPr>
          <w:lang w:val="en-GB"/>
        </w:rPr>
        <w:t>whereas internet non-profits were</w:t>
      </w:r>
      <w:r w:rsidR="00931D81" w:rsidRPr="003747CE">
        <w:rPr>
          <w:lang w:val="en-GB"/>
        </w:rPr>
        <w:t xml:space="preserve"> less likely to receive confidential, external business information DCND. The confidential, external business information DCND were not statistically significant for any other affiliation category.</w:t>
      </w:r>
    </w:p>
    <w:p w14:paraId="626C8642" w14:textId="4BAEC4B8" w:rsidR="00931D81" w:rsidRPr="003747CE" w:rsidRDefault="00931D81" w:rsidP="00D209EB">
      <w:pPr>
        <w:spacing w:after="120" w:line="480" w:lineRule="auto"/>
        <w:rPr>
          <w:lang w:val="en-GB"/>
        </w:rPr>
      </w:pPr>
      <w:r w:rsidRPr="003747CE">
        <w:rPr>
          <w:lang w:val="en-GB"/>
        </w:rPr>
        <w:tab/>
        <w:t>I also found evidence for H2 that DIDP requests with a higher word count w</w:t>
      </w:r>
      <w:r w:rsidR="00F351AF">
        <w:rPr>
          <w:lang w:val="en-GB"/>
        </w:rPr>
        <w:t>ould</w:t>
      </w:r>
      <w:r w:rsidRPr="003747CE">
        <w:rPr>
          <w:lang w:val="en-GB"/>
        </w:rPr>
        <w:t xml:space="preserve"> receive more DCND, than DIDP requests with a lower word count. This hypothesis was proven </w:t>
      </w:r>
      <w:r w:rsidR="003C6644" w:rsidRPr="003747CE">
        <w:rPr>
          <w:lang w:val="en-GB"/>
        </w:rPr>
        <w:t xml:space="preserve">as the </w:t>
      </w:r>
      <w:proofErr w:type="spellStart"/>
      <w:r w:rsidR="003C6644" w:rsidRPr="003747CE">
        <w:rPr>
          <w:lang w:val="en-GB"/>
        </w:rPr>
        <w:t>nodecov</w:t>
      </w:r>
      <w:proofErr w:type="spellEnd"/>
      <w:r w:rsidR="003C6644" w:rsidRPr="003747CE">
        <w:rPr>
          <w:lang w:val="en-GB"/>
        </w:rPr>
        <w:t xml:space="preserve"> test was statistically significant across all four networks. </w:t>
      </w:r>
      <w:r w:rsidRPr="003747CE">
        <w:rPr>
          <w:lang w:val="en-GB"/>
        </w:rPr>
        <w:t xml:space="preserve">The </w:t>
      </w:r>
      <w:proofErr w:type="spellStart"/>
      <w:r w:rsidRPr="003747CE">
        <w:rPr>
          <w:lang w:val="en-GB"/>
        </w:rPr>
        <w:t>absdiff</w:t>
      </w:r>
      <w:proofErr w:type="spellEnd"/>
      <w:r w:rsidRPr="003747CE">
        <w:rPr>
          <w:lang w:val="en-GB"/>
        </w:rPr>
        <w:t xml:space="preserve"> test was statistically significant in all networks apart from the affect individual network. This meant that a DCND was expected to exist as the differe</w:t>
      </w:r>
      <w:r w:rsidR="003C6644" w:rsidRPr="003747CE">
        <w:rPr>
          <w:lang w:val="en-GB"/>
        </w:rPr>
        <w:t>nce between word counts decreased</w:t>
      </w:r>
      <w:r w:rsidRPr="003747CE">
        <w:rPr>
          <w:lang w:val="en-GB"/>
        </w:rPr>
        <w:t xml:space="preserve"> between two requests</w:t>
      </w:r>
      <w:r w:rsidR="003C6644" w:rsidRPr="003747CE">
        <w:rPr>
          <w:lang w:val="en-GB"/>
        </w:rPr>
        <w:t xml:space="preserve"> in the Burdensome, Compromise ICANN Integrity, and Confidential External Business Information networks</w:t>
      </w:r>
      <w:r w:rsidR="00922719" w:rsidRPr="003747CE">
        <w:rPr>
          <w:lang w:val="en-GB"/>
        </w:rPr>
        <w:t xml:space="preserve">. </w:t>
      </w:r>
    </w:p>
    <w:tbl>
      <w:tblPr>
        <w:tblStyle w:val="TableGrid"/>
        <w:tblW w:w="91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76"/>
        <w:gridCol w:w="1441"/>
        <w:gridCol w:w="1236"/>
        <w:gridCol w:w="1451"/>
      </w:tblGrid>
      <w:tr w:rsidR="00931D81" w:rsidRPr="003747CE" w14:paraId="5C945281" w14:textId="77777777" w:rsidTr="00A83E39">
        <w:trPr>
          <w:trHeight w:val="103"/>
        </w:trPr>
        <w:tc>
          <w:tcPr>
            <w:tcW w:w="4976" w:type="dxa"/>
            <w:tcBorders>
              <w:top w:val="single" w:sz="4" w:space="0" w:color="auto"/>
            </w:tcBorders>
            <w:vAlign w:val="center"/>
          </w:tcPr>
          <w:p w14:paraId="786780CB" w14:textId="77777777" w:rsidR="00931D81" w:rsidRPr="003747CE" w:rsidRDefault="00931D81" w:rsidP="00A83E39">
            <w:pPr>
              <w:jc w:val="center"/>
              <w:rPr>
                <w:lang w:val="en-GB"/>
              </w:rPr>
            </w:pPr>
          </w:p>
        </w:tc>
        <w:tc>
          <w:tcPr>
            <w:tcW w:w="4128" w:type="dxa"/>
            <w:gridSpan w:val="3"/>
            <w:tcBorders>
              <w:top w:val="single" w:sz="4" w:space="0" w:color="auto"/>
              <w:bottom w:val="single" w:sz="4" w:space="0" w:color="auto"/>
            </w:tcBorders>
            <w:vAlign w:val="center"/>
          </w:tcPr>
          <w:p w14:paraId="35C4DE63" w14:textId="77777777" w:rsidR="00931D81" w:rsidRPr="003747CE" w:rsidRDefault="00931D81" w:rsidP="00A83E39">
            <w:pPr>
              <w:jc w:val="center"/>
              <w:rPr>
                <w:b/>
                <w:lang w:val="en-GB"/>
              </w:rPr>
            </w:pPr>
            <w:r w:rsidRPr="003747CE">
              <w:rPr>
                <w:b/>
                <w:lang w:val="en-GB"/>
              </w:rPr>
              <w:t>Affect Individual</w:t>
            </w:r>
          </w:p>
        </w:tc>
      </w:tr>
      <w:tr w:rsidR="00931D81" w:rsidRPr="003747CE" w14:paraId="30232CD5" w14:textId="77777777" w:rsidTr="00A83E39">
        <w:trPr>
          <w:trHeight w:val="103"/>
        </w:trPr>
        <w:tc>
          <w:tcPr>
            <w:tcW w:w="4976" w:type="dxa"/>
            <w:tcBorders>
              <w:bottom w:val="single" w:sz="4" w:space="0" w:color="auto"/>
            </w:tcBorders>
            <w:vAlign w:val="center"/>
          </w:tcPr>
          <w:p w14:paraId="412E1733" w14:textId="77777777" w:rsidR="00931D81" w:rsidRPr="003747CE" w:rsidRDefault="00931D81" w:rsidP="00A83E39">
            <w:pPr>
              <w:rPr>
                <w:lang w:val="en-GB"/>
              </w:rPr>
            </w:pPr>
          </w:p>
        </w:tc>
        <w:tc>
          <w:tcPr>
            <w:tcW w:w="1441" w:type="dxa"/>
            <w:tcBorders>
              <w:top w:val="single" w:sz="4" w:space="0" w:color="auto"/>
              <w:bottom w:val="single" w:sz="4" w:space="0" w:color="auto"/>
            </w:tcBorders>
            <w:vAlign w:val="center"/>
          </w:tcPr>
          <w:p w14:paraId="203CCE6E" w14:textId="77777777" w:rsidR="00931D81" w:rsidRPr="003747CE" w:rsidRDefault="00931D81" w:rsidP="00A83E39">
            <w:pPr>
              <w:jc w:val="center"/>
              <w:rPr>
                <w:b/>
                <w:lang w:val="en-GB"/>
              </w:rPr>
            </w:pPr>
            <w:r w:rsidRPr="003747CE">
              <w:rPr>
                <w:b/>
                <w:lang w:val="en-GB"/>
              </w:rPr>
              <w:t>Estimate</w:t>
            </w:r>
          </w:p>
        </w:tc>
        <w:tc>
          <w:tcPr>
            <w:tcW w:w="1236" w:type="dxa"/>
            <w:tcBorders>
              <w:top w:val="single" w:sz="4" w:space="0" w:color="auto"/>
              <w:bottom w:val="single" w:sz="4" w:space="0" w:color="auto"/>
            </w:tcBorders>
            <w:vAlign w:val="center"/>
          </w:tcPr>
          <w:p w14:paraId="57C80FB3" w14:textId="77777777" w:rsidR="00931D81" w:rsidRPr="003747CE" w:rsidRDefault="00931D81" w:rsidP="00A83E39">
            <w:pPr>
              <w:jc w:val="center"/>
              <w:rPr>
                <w:b/>
                <w:lang w:val="en-GB"/>
              </w:rPr>
            </w:pPr>
            <w:proofErr w:type="spellStart"/>
            <w:r w:rsidRPr="003747CE">
              <w:rPr>
                <w:b/>
                <w:lang w:val="en-GB"/>
              </w:rPr>
              <w:t>Std</w:t>
            </w:r>
            <w:proofErr w:type="spellEnd"/>
            <w:r w:rsidRPr="003747CE">
              <w:rPr>
                <w:b/>
                <w:lang w:val="en-GB"/>
              </w:rPr>
              <w:t xml:space="preserve"> Error</w:t>
            </w:r>
          </w:p>
        </w:tc>
        <w:tc>
          <w:tcPr>
            <w:tcW w:w="1451" w:type="dxa"/>
            <w:tcBorders>
              <w:top w:val="single" w:sz="4" w:space="0" w:color="auto"/>
              <w:bottom w:val="single" w:sz="4" w:space="0" w:color="auto"/>
            </w:tcBorders>
            <w:vAlign w:val="center"/>
          </w:tcPr>
          <w:p w14:paraId="310F39A5" w14:textId="77777777" w:rsidR="00931D81" w:rsidRPr="003747CE" w:rsidRDefault="00931D81" w:rsidP="00A83E39">
            <w:pPr>
              <w:jc w:val="center"/>
              <w:rPr>
                <w:b/>
                <w:lang w:val="en-GB"/>
              </w:rPr>
            </w:pPr>
            <w:r w:rsidRPr="003747CE">
              <w:rPr>
                <w:b/>
                <w:lang w:val="en-GB"/>
              </w:rPr>
              <w:t>P-value</w:t>
            </w:r>
          </w:p>
        </w:tc>
      </w:tr>
      <w:tr w:rsidR="00931D81" w:rsidRPr="003747CE" w14:paraId="1A69BA10" w14:textId="77777777" w:rsidTr="00A83E39">
        <w:trPr>
          <w:trHeight w:val="103"/>
        </w:trPr>
        <w:tc>
          <w:tcPr>
            <w:tcW w:w="4976" w:type="dxa"/>
            <w:tcBorders>
              <w:top w:val="single" w:sz="4" w:space="0" w:color="auto"/>
            </w:tcBorders>
            <w:shd w:val="clear" w:color="auto" w:fill="FFF2CC" w:themeFill="accent4" w:themeFillTint="33"/>
            <w:vAlign w:val="center"/>
          </w:tcPr>
          <w:p w14:paraId="507BC291" w14:textId="77777777" w:rsidR="00931D81" w:rsidRPr="003747CE" w:rsidRDefault="00931D81" w:rsidP="00A83E39">
            <w:pPr>
              <w:ind w:left="29"/>
              <w:rPr>
                <w:lang w:val="en-GB"/>
              </w:rPr>
            </w:pPr>
            <w:r w:rsidRPr="003747CE">
              <w:rPr>
                <w:lang w:val="en-GB"/>
              </w:rPr>
              <w:t>Edges</w:t>
            </w:r>
          </w:p>
        </w:tc>
        <w:tc>
          <w:tcPr>
            <w:tcW w:w="1441" w:type="dxa"/>
            <w:tcBorders>
              <w:top w:val="single" w:sz="4" w:space="0" w:color="auto"/>
            </w:tcBorders>
            <w:shd w:val="clear" w:color="auto" w:fill="FFF2CC" w:themeFill="accent4" w:themeFillTint="33"/>
            <w:vAlign w:val="center"/>
          </w:tcPr>
          <w:p w14:paraId="36E410B0" w14:textId="77777777" w:rsidR="00931D81" w:rsidRPr="003747CE" w:rsidRDefault="00931D81" w:rsidP="00A83E39">
            <w:pPr>
              <w:jc w:val="center"/>
              <w:rPr>
                <w:lang w:val="en-GB"/>
              </w:rPr>
            </w:pPr>
            <w:r w:rsidRPr="003747CE">
              <w:rPr>
                <w:lang w:val="en-GB"/>
              </w:rPr>
              <w:t>-5.8438381</w:t>
            </w:r>
          </w:p>
        </w:tc>
        <w:tc>
          <w:tcPr>
            <w:tcW w:w="1236" w:type="dxa"/>
            <w:tcBorders>
              <w:top w:val="single" w:sz="4" w:space="0" w:color="auto"/>
            </w:tcBorders>
            <w:shd w:val="clear" w:color="auto" w:fill="FFF2CC" w:themeFill="accent4" w:themeFillTint="33"/>
            <w:vAlign w:val="center"/>
          </w:tcPr>
          <w:p w14:paraId="66610BDF" w14:textId="77777777" w:rsidR="00931D81" w:rsidRPr="003747CE" w:rsidRDefault="00931D81" w:rsidP="00A83E39">
            <w:pPr>
              <w:jc w:val="center"/>
              <w:rPr>
                <w:lang w:val="en-GB"/>
              </w:rPr>
            </w:pPr>
            <w:r w:rsidRPr="003747CE">
              <w:rPr>
                <w:lang w:val="en-GB"/>
              </w:rPr>
              <w:t>0.3550127</w:t>
            </w:r>
          </w:p>
        </w:tc>
        <w:tc>
          <w:tcPr>
            <w:tcW w:w="1451" w:type="dxa"/>
            <w:tcBorders>
              <w:top w:val="single" w:sz="4" w:space="0" w:color="auto"/>
            </w:tcBorders>
            <w:shd w:val="clear" w:color="auto" w:fill="FFF2CC" w:themeFill="accent4" w:themeFillTint="33"/>
            <w:vAlign w:val="center"/>
          </w:tcPr>
          <w:p w14:paraId="34116558" w14:textId="77777777" w:rsidR="00931D81" w:rsidRPr="003747CE" w:rsidRDefault="00931D81" w:rsidP="00A83E39">
            <w:pPr>
              <w:jc w:val="center"/>
              <w:rPr>
                <w:lang w:val="en-GB"/>
              </w:rPr>
            </w:pPr>
            <w:r w:rsidRPr="003747CE">
              <w:rPr>
                <w:lang w:val="en-GB"/>
              </w:rPr>
              <w:t>&lt;0.0001 ***</w:t>
            </w:r>
          </w:p>
        </w:tc>
      </w:tr>
      <w:tr w:rsidR="00931D81" w:rsidRPr="003747CE" w14:paraId="2A214DA7" w14:textId="77777777" w:rsidTr="00A83E39">
        <w:trPr>
          <w:trHeight w:val="103"/>
        </w:trPr>
        <w:tc>
          <w:tcPr>
            <w:tcW w:w="4976" w:type="dxa"/>
            <w:vAlign w:val="center"/>
          </w:tcPr>
          <w:p w14:paraId="6513AA2A" w14:textId="77777777" w:rsidR="00931D81" w:rsidRPr="003747CE" w:rsidRDefault="00931D81" w:rsidP="00A83E39">
            <w:pPr>
              <w:ind w:left="29"/>
              <w:rPr>
                <w:lang w:val="en-GB"/>
              </w:rPr>
            </w:pPr>
            <w:proofErr w:type="spellStart"/>
            <w:r w:rsidRPr="003747CE">
              <w:rPr>
                <w:lang w:val="en-GB"/>
              </w:rPr>
              <w:t>Absdiff.word.count</w:t>
            </w:r>
            <w:proofErr w:type="spellEnd"/>
          </w:p>
        </w:tc>
        <w:tc>
          <w:tcPr>
            <w:tcW w:w="1441" w:type="dxa"/>
            <w:vAlign w:val="center"/>
          </w:tcPr>
          <w:p w14:paraId="3E73E97F" w14:textId="77777777" w:rsidR="00931D81" w:rsidRPr="003747CE" w:rsidRDefault="00931D81" w:rsidP="00A83E39">
            <w:pPr>
              <w:jc w:val="center"/>
              <w:rPr>
                <w:lang w:val="en-GB"/>
              </w:rPr>
            </w:pPr>
            <w:r w:rsidRPr="003747CE">
              <w:rPr>
                <w:lang w:val="en-GB"/>
              </w:rPr>
              <w:t>-0.0007214</w:t>
            </w:r>
          </w:p>
        </w:tc>
        <w:tc>
          <w:tcPr>
            <w:tcW w:w="1236" w:type="dxa"/>
            <w:vAlign w:val="center"/>
          </w:tcPr>
          <w:p w14:paraId="7FD1779D" w14:textId="77777777" w:rsidR="00931D81" w:rsidRPr="003747CE" w:rsidRDefault="00931D81" w:rsidP="00A83E39">
            <w:pPr>
              <w:jc w:val="center"/>
              <w:rPr>
                <w:lang w:val="en-GB"/>
              </w:rPr>
            </w:pPr>
            <w:r w:rsidRPr="003747CE">
              <w:rPr>
                <w:lang w:val="en-GB"/>
              </w:rPr>
              <w:t>0.0004766</w:t>
            </w:r>
          </w:p>
        </w:tc>
        <w:tc>
          <w:tcPr>
            <w:tcW w:w="1451" w:type="dxa"/>
            <w:vAlign w:val="center"/>
          </w:tcPr>
          <w:p w14:paraId="21E6B102" w14:textId="77777777" w:rsidR="00931D81" w:rsidRPr="003747CE" w:rsidRDefault="00931D81" w:rsidP="00A83E39">
            <w:pPr>
              <w:jc w:val="center"/>
              <w:rPr>
                <w:lang w:val="en-GB"/>
              </w:rPr>
            </w:pPr>
            <w:r w:rsidRPr="003747CE">
              <w:rPr>
                <w:lang w:val="en-GB"/>
              </w:rPr>
              <w:t>0.1302</w:t>
            </w:r>
          </w:p>
        </w:tc>
      </w:tr>
      <w:tr w:rsidR="00931D81" w:rsidRPr="003747CE" w14:paraId="32A02F96" w14:textId="77777777" w:rsidTr="00A83E39">
        <w:trPr>
          <w:trHeight w:val="103"/>
        </w:trPr>
        <w:tc>
          <w:tcPr>
            <w:tcW w:w="4976" w:type="dxa"/>
            <w:shd w:val="clear" w:color="auto" w:fill="FFF2CC" w:themeFill="accent4" w:themeFillTint="33"/>
            <w:vAlign w:val="center"/>
          </w:tcPr>
          <w:p w14:paraId="5AACD4C9" w14:textId="77777777" w:rsidR="00931D81" w:rsidRPr="003747CE" w:rsidRDefault="00931D81" w:rsidP="00A83E39">
            <w:pPr>
              <w:ind w:left="29"/>
              <w:rPr>
                <w:lang w:val="en-GB"/>
              </w:rPr>
            </w:pPr>
            <w:proofErr w:type="spellStart"/>
            <w:r w:rsidRPr="003747CE">
              <w:rPr>
                <w:lang w:val="en-GB"/>
              </w:rPr>
              <w:t>Nodecov.word.count</w:t>
            </w:r>
            <w:proofErr w:type="spellEnd"/>
          </w:p>
        </w:tc>
        <w:tc>
          <w:tcPr>
            <w:tcW w:w="1441" w:type="dxa"/>
            <w:shd w:val="clear" w:color="auto" w:fill="FFF2CC" w:themeFill="accent4" w:themeFillTint="33"/>
            <w:vAlign w:val="center"/>
          </w:tcPr>
          <w:p w14:paraId="336C0A0C" w14:textId="77777777" w:rsidR="00931D81" w:rsidRPr="003747CE" w:rsidRDefault="00931D81" w:rsidP="00A83E39">
            <w:pPr>
              <w:jc w:val="center"/>
              <w:rPr>
                <w:lang w:val="en-GB"/>
              </w:rPr>
            </w:pPr>
            <w:r w:rsidRPr="003747CE">
              <w:rPr>
                <w:lang w:val="en-GB"/>
              </w:rPr>
              <w:t>0.0007325</w:t>
            </w:r>
          </w:p>
        </w:tc>
        <w:tc>
          <w:tcPr>
            <w:tcW w:w="1236" w:type="dxa"/>
            <w:shd w:val="clear" w:color="auto" w:fill="FFF2CC" w:themeFill="accent4" w:themeFillTint="33"/>
            <w:vAlign w:val="center"/>
          </w:tcPr>
          <w:p w14:paraId="52CA3ED5" w14:textId="77777777" w:rsidR="00931D81" w:rsidRPr="003747CE" w:rsidRDefault="00931D81" w:rsidP="00A83E39">
            <w:pPr>
              <w:jc w:val="center"/>
              <w:rPr>
                <w:lang w:val="en-GB"/>
              </w:rPr>
            </w:pPr>
            <w:r w:rsidRPr="003747CE">
              <w:rPr>
                <w:lang w:val="en-GB"/>
              </w:rPr>
              <w:t>0.0002945</w:t>
            </w:r>
          </w:p>
        </w:tc>
        <w:tc>
          <w:tcPr>
            <w:tcW w:w="1451" w:type="dxa"/>
            <w:shd w:val="clear" w:color="auto" w:fill="FFF2CC" w:themeFill="accent4" w:themeFillTint="33"/>
            <w:vAlign w:val="center"/>
          </w:tcPr>
          <w:p w14:paraId="33D94E5E" w14:textId="77777777" w:rsidR="00931D81" w:rsidRPr="003747CE" w:rsidRDefault="00931D81" w:rsidP="00A83E39">
            <w:pPr>
              <w:jc w:val="center"/>
              <w:rPr>
                <w:lang w:val="en-GB"/>
              </w:rPr>
            </w:pPr>
            <w:r w:rsidRPr="003747CE">
              <w:rPr>
                <w:lang w:val="en-GB"/>
              </w:rPr>
              <w:t>0.0129 *</w:t>
            </w:r>
          </w:p>
        </w:tc>
      </w:tr>
      <w:tr w:rsidR="00931D81" w:rsidRPr="003747CE" w14:paraId="2EA86734" w14:textId="77777777" w:rsidTr="00A83E39">
        <w:trPr>
          <w:trHeight w:val="252"/>
        </w:trPr>
        <w:tc>
          <w:tcPr>
            <w:tcW w:w="4976" w:type="dxa"/>
            <w:vAlign w:val="center"/>
          </w:tcPr>
          <w:p w14:paraId="464E5340" w14:textId="77777777" w:rsidR="00931D81" w:rsidRPr="003747CE" w:rsidRDefault="00931D81" w:rsidP="00A83E39">
            <w:pPr>
              <w:ind w:left="29"/>
              <w:rPr>
                <w:lang w:val="en-GB"/>
              </w:rPr>
            </w:pPr>
            <w:proofErr w:type="spellStart"/>
            <w:r w:rsidRPr="003747CE">
              <w:rPr>
                <w:lang w:val="en-GB"/>
              </w:rPr>
              <w:t>Nodematch.category</w:t>
            </w:r>
            <w:proofErr w:type="spellEnd"/>
          </w:p>
        </w:tc>
        <w:tc>
          <w:tcPr>
            <w:tcW w:w="1441" w:type="dxa"/>
            <w:vAlign w:val="center"/>
          </w:tcPr>
          <w:p w14:paraId="45DC9C36" w14:textId="77777777" w:rsidR="00931D81" w:rsidRPr="003747CE" w:rsidRDefault="00931D81" w:rsidP="00A83E39">
            <w:pPr>
              <w:jc w:val="center"/>
              <w:rPr>
                <w:lang w:val="en-GB"/>
              </w:rPr>
            </w:pPr>
          </w:p>
        </w:tc>
        <w:tc>
          <w:tcPr>
            <w:tcW w:w="1236" w:type="dxa"/>
            <w:vAlign w:val="center"/>
          </w:tcPr>
          <w:p w14:paraId="3B6194EA" w14:textId="77777777" w:rsidR="00931D81" w:rsidRPr="003747CE" w:rsidRDefault="00931D81" w:rsidP="00A83E39">
            <w:pPr>
              <w:jc w:val="center"/>
              <w:rPr>
                <w:lang w:val="en-GB"/>
              </w:rPr>
            </w:pPr>
          </w:p>
        </w:tc>
        <w:tc>
          <w:tcPr>
            <w:tcW w:w="1451" w:type="dxa"/>
            <w:vAlign w:val="center"/>
          </w:tcPr>
          <w:p w14:paraId="299AB1EC" w14:textId="77777777" w:rsidR="00931D81" w:rsidRPr="003747CE" w:rsidRDefault="00931D81" w:rsidP="00A83E39">
            <w:pPr>
              <w:jc w:val="center"/>
              <w:rPr>
                <w:lang w:val="en-GB"/>
              </w:rPr>
            </w:pPr>
          </w:p>
        </w:tc>
      </w:tr>
      <w:tr w:rsidR="00931D81" w:rsidRPr="003747CE" w14:paraId="630E31C5" w14:textId="77777777" w:rsidTr="00A83E39">
        <w:trPr>
          <w:trHeight w:val="367"/>
        </w:trPr>
        <w:tc>
          <w:tcPr>
            <w:tcW w:w="4976" w:type="dxa"/>
            <w:vAlign w:val="center"/>
          </w:tcPr>
          <w:p w14:paraId="0D8BFFC6" w14:textId="77777777" w:rsidR="00931D81" w:rsidRPr="003747CE" w:rsidRDefault="00931D81" w:rsidP="00A83E39">
            <w:pPr>
              <w:ind w:left="313"/>
              <w:rPr>
                <w:lang w:val="en-GB"/>
              </w:rPr>
            </w:pPr>
            <w:r w:rsidRPr="003747CE">
              <w:rPr>
                <w:lang w:val="en-GB"/>
              </w:rPr>
              <w:t>ICANN Stakeholder Group / Working Group</w:t>
            </w:r>
          </w:p>
        </w:tc>
        <w:tc>
          <w:tcPr>
            <w:tcW w:w="1441" w:type="dxa"/>
            <w:vAlign w:val="center"/>
          </w:tcPr>
          <w:p w14:paraId="4EE00627" w14:textId="77777777" w:rsidR="00931D81" w:rsidRPr="003747CE" w:rsidRDefault="00931D81" w:rsidP="00A83E39">
            <w:pPr>
              <w:jc w:val="center"/>
              <w:rPr>
                <w:lang w:val="en-GB"/>
              </w:rPr>
            </w:pPr>
            <w:r w:rsidRPr="003747CE">
              <w:rPr>
                <w:lang w:val="en-GB"/>
              </w:rPr>
              <w:t>-</w:t>
            </w:r>
            <w:proofErr w:type="spellStart"/>
            <w:r w:rsidRPr="003747CE">
              <w:rPr>
                <w:lang w:val="en-GB"/>
              </w:rPr>
              <w:t>Inf</w:t>
            </w:r>
            <w:proofErr w:type="spellEnd"/>
          </w:p>
        </w:tc>
        <w:tc>
          <w:tcPr>
            <w:tcW w:w="1236" w:type="dxa"/>
            <w:vAlign w:val="center"/>
          </w:tcPr>
          <w:p w14:paraId="0358DAFE" w14:textId="77777777" w:rsidR="00931D81" w:rsidRPr="003747CE" w:rsidRDefault="00931D81" w:rsidP="00A83E39">
            <w:pPr>
              <w:jc w:val="center"/>
              <w:rPr>
                <w:lang w:val="en-GB"/>
              </w:rPr>
            </w:pPr>
            <w:r w:rsidRPr="003747CE">
              <w:rPr>
                <w:lang w:val="en-GB"/>
              </w:rPr>
              <w:t>0.0000000</w:t>
            </w:r>
          </w:p>
        </w:tc>
        <w:tc>
          <w:tcPr>
            <w:tcW w:w="1451" w:type="dxa"/>
            <w:vAlign w:val="center"/>
          </w:tcPr>
          <w:p w14:paraId="02D5E711" w14:textId="77777777" w:rsidR="00931D81" w:rsidRPr="003747CE" w:rsidRDefault="00931D81" w:rsidP="00A83E39">
            <w:pPr>
              <w:jc w:val="center"/>
              <w:rPr>
                <w:lang w:val="en-GB"/>
              </w:rPr>
            </w:pPr>
            <w:r w:rsidRPr="003747CE">
              <w:rPr>
                <w:lang w:val="en-GB"/>
              </w:rPr>
              <w:t>&lt;0.0001 ***</w:t>
            </w:r>
          </w:p>
        </w:tc>
      </w:tr>
      <w:tr w:rsidR="00931D81" w:rsidRPr="003747CE" w14:paraId="2FC517F9" w14:textId="77777777" w:rsidTr="00A83E39">
        <w:trPr>
          <w:trHeight w:val="229"/>
        </w:trPr>
        <w:tc>
          <w:tcPr>
            <w:tcW w:w="4976" w:type="dxa"/>
            <w:vAlign w:val="center"/>
          </w:tcPr>
          <w:p w14:paraId="32982E0F" w14:textId="77777777" w:rsidR="00931D81" w:rsidRPr="003747CE" w:rsidRDefault="00931D81" w:rsidP="00A83E39">
            <w:pPr>
              <w:ind w:left="313"/>
              <w:rPr>
                <w:lang w:val="en-GB"/>
              </w:rPr>
            </w:pPr>
            <w:r w:rsidRPr="003747CE">
              <w:rPr>
                <w:lang w:val="en-GB"/>
              </w:rPr>
              <w:t>Internet Consultancy Firm</w:t>
            </w:r>
          </w:p>
        </w:tc>
        <w:tc>
          <w:tcPr>
            <w:tcW w:w="1441" w:type="dxa"/>
            <w:vAlign w:val="center"/>
          </w:tcPr>
          <w:p w14:paraId="132BB79D" w14:textId="77777777" w:rsidR="00931D81" w:rsidRPr="003747CE" w:rsidRDefault="00931D81" w:rsidP="00A83E39">
            <w:pPr>
              <w:jc w:val="center"/>
              <w:rPr>
                <w:lang w:val="en-GB"/>
              </w:rPr>
            </w:pPr>
            <w:r w:rsidRPr="003747CE">
              <w:rPr>
                <w:lang w:val="en-GB"/>
              </w:rPr>
              <w:t>-</w:t>
            </w:r>
            <w:proofErr w:type="spellStart"/>
            <w:r w:rsidRPr="003747CE">
              <w:rPr>
                <w:lang w:val="en-GB"/>
              </w:rPr>
              <w:t>Inf</w:t>
            </w:r>
            <w:proofErr w:type="spellEnd"/>
          </w:p>
        </w:tc>
        <w:tc>
          <w:tcPr>
            <w:tcW w:w="1236" w:type="dxa"/>
            <w:vAlign w:val="center"/>
          </w:tcPr>
          <w:p w14:paraId="0F2FC46D" w14:textId="77777777" w:rsidR="00931D81" w:rsidRPr="003747CE" w:rsidRDefault="00931D81" w:rsidP="00A83E39">
            <w:pPr>
              <w:jc w:val="center"/>
              <w:rPr>
                <w:lang w:val="en-GB"/>
              </w:rPr>
            </w:pPr>
            <w:r w:rsidRPr="003747CE">
              <w:rPr>
                <w:lang w:val="en-GB"/>
              </w:rPr>
              <w:t>0.0000000</w:t>
            </w:r>
          </w:p>
        </w:tc>
        <w:tc>
          <w:tcPr>
            <w:tcW w:w="1451" w:type="dxa"/>
            <w:vAlign w:val="center"/>
          </w:tcPr>
          <w:p w14:paraId="368F3A87" w14:textId="77777777" w:rsidR="00931D81" w:rsidRPr="003747CE" w:rsidRDefault="00931D81" w:rsidP="00A83E39">
            <w:pPr>
              <w:jc w:val="center"/>
              <w:rPr>
                <w:lang w:val="en-GB"/>
              </w:rPr>
            </w:pPr>
            <w:r w:rsidRPr="003747CE">
              <w:rPr>
                <w:lang w:val="en-GB"/>
              </w:rPr>
              <w:t>&lt;0.0001 ***</w:t>
            </w:r>
          </w:p>
        </w:tc>
      </w:tr>
      <w:tr w:rsidR="00931D81" w:rsidRPr="003747CE" w14:paraId="678CE9D9" w14:textId="77777777" w:rsidTr="00A83E39">
        <w:trPr>
          <w:trHeight w:val="229"/>
        </w:trPr>
        <w:tc>
          <w:tcPr>
            <w:tcW w:w="4976" w:type="dxa"/>
            <w:vAlign w:val="center"/>
          </w:tcPr>
          <w:p w14:paraId="37357783" w14:textId="77777777" w:rsidR="00931D81" w:rsidRPr="003747CE" w:rsidRDefault="00931D81" w:rsidP="00A83E39">
            <w:pPr>
              <w:ind w:left="313"/>
              <w:rPr>
                <w:lang w:val="en-GB"/>
              </w:rPr>
            </w:pPr>
            <w:r w:rsidRPr="003747CE">
              <w:rPr>
                <w:lang w:val="en-GB"/>
              </w:rPr>
              <w:t>Internet Non-Profit</w:t>
            </w:r>
          </w:p>
        </w:tc>
        <w:tc>
          <w:tcPr>
            <w:tcW w:w="1441" w:type="dxa"/>
            <w:vAlign w:val="center"/>
          </w:tcPr>
          <w:p w14:paraId="19369E14" w14:textId="77777777" w:rsidR="00931D81" w:rsidRPr="003747CE" w:rsidRDefault="00931D81" w:rsidP="00A83E39">
            <w:pPr>
              <w:jc w:val="center"/>
              <w:rPr>
                <w:lang w:val="en-GB"/>
              </w:rPr>
            </w:pPr>
            <w:r w:rsidRPr="003747CE">
              <w:rPr>
                <w:lang w:val="en-GB"/>
              </w:rPr>
              <w:t>-0.2825324</w:t>
            </w:r>
          </w:p>
        </w:tc>
        <w:tc>
          <w:tcPr>
            <w:tcW w:w="1236" w:type="dxa"/>
            <w:vAlign w:val="center"/>
          </w:tcPr>
          <w:p w14:paraId="5F5B35A9" w14:textId="77777777" w:rsidR="00931D81" w:rsidRPr="003747CE" w:rsidRDefault="00931D81" w:rsidP="00A83E39">
            <w:pPr>
              <w:jc w:val="center"/>
              <w:rPr>
                <w:lang w:val="en-GB"/>
              </w:rPr>
            </w:pPr>
            <w:r w:rsidRPr="003747CE">
              <w:rPr>
                <w:lang w:val="en-GB"/>
              </w:rPr>
              <w:t>1.0423642</w:t>
            </w:r>
          </w:p>
        </w:tc>
        <w:tc>
          <w:tcPr>
            <w:tcW w:w="1451" w:type="dxa"/>
            <w:vAlign w:val="center"/>
          </w:tcPr>
          <w:p w14:paraId="492690C6" w14:textId="77777777" w:rsidR="00931D81" w:rsidRPr="003747CE" w:rsidRDefault="00931D81" w:rsidP="00A83E39">
            <w:pPr>
              <w:jc w:val="center"/>
              <w:rPr>
                <w:lang w:val="en-GB"/>
              </w:rPr>
            </w:pPr>
            <w:r w:rsidRPr="003747CE">
              <w:rPr>
                <w:lang w:val="en-GB"/>
              </w:rPr>
              <w:t>0.7864</w:t>
            </w:r>
          </w:p>
        </w:tc>
      </w:tr>
      <w:tr w:rsidR="00931D81" w:rsidRPr="003747CE" w14:paraId="43AE934F" w14:textId="77777777" w:rsidTr="00A83E39">
        <w:trPr>
          <w:trHeight w:val="229"/>
        </w:trPr>
        <w:tc>
          <w:tcPr>
            <w:tcW w:w="4976" w:type="dxa"/>
            <w:vAlign w:val="center"/>
          </w:tcPr>
          <w:p w14:paraId="23F41595" w14:textId="77777777" w:rsidR="00931D81" w:rsidRPr="003747CE" w:rsidRDefault="00931D81" w:rsidP="00A83E39">
            <w:pPr>
              <w:ind w:left="313"/>
              <w:rPr>
                <w:lang w:val="en-GB"/>
              </w:rPr>
            </w:pPr>
            <w:r w:rsidRPr="003747CE">
              <w:rPr>
                <w:lang w:val="en-GB"/>
              </w:rPr>
              <w:t>Journalist</w:t>
            </w:r>
          </w:p>
        </w:tc>
        <w:tc>
          <w:tcPr>
            <w:tcW w:w="1441" w:type="dxa"/>
            <w:vAlign w:val="center"/>
          </w:tcPr>
          <w:p w14:paraId="65ECB03F" w14:textId="77777777" w:rsidR="00931D81" w:rsidRPr="003747CE" w:rsidRDefault="00931D81" w:rsidP="00A83E39">
            <w:pPr>
              <w:jc w:val="center"/>
              <w:rPr>
                <w:lang w:val="en-GB"/>
              </w:rPr>
            </w:pPr>
            <w:r w:rsidRPr="003747CE">
              <w:rPr>
                <w:lang w:val="en-GB"/>
              </w:rPr>
              <w:t>-</w:t>
            </w:r>
            <w:proofErr w:type="spellStart"/>
            <w:r w:rsidRPr="003747CE">
              <w:rPr>
                <w:lang w:val="en-GB"/>
              </w:rPr>
              <w:t>Inf</w:t>
            </w:r>
            <w:proofErr w:type="spellEnd"/>
          </w:p>
        </w:tc>
        <w:tc>
          <w:tcPr>
            <w:tcW w:w="1236" w:type="dxa"/>
            <w:vAlign w:val="center"/>
          </w:tcPr>
          <w:p w14:paraId="443246CA" w14:textId="77777777" w:rsidR="00931D81" w:rsidRPr="003747CE" w:rsidRDefault="00931D81" w:rsidP="00A83E39">
            <w:pPr>
              <w:jc w:val="center"/>
              <w:rPr>
                <w:lang w:val="en-GB"/>
              </w:rPr>
            </w:pPr>
            <w:r w:rsidRPr="003747CE">
              <w:rPr>
                <w:lang w:val="en-GB"/>
              </w:rPr>
              <w:t>0.0000000</w:t>
            </w:r>
          </w:p>
        </w:tc>
        <w:tc>
          <w:tcPr>
            <w:tcW w:w="1451" w:type="dxa"/>
            <w:vAlign w:val="center"/>
          </w:tcPr>
          <w:p w14:paraId="57D28E6B" w14:textId="77777777" w:rsidR="00931D81" w:rsidRPr="003747CE" w:rsidRDefault="00931D81" w:rsidP="00A83E39">
            <w:pPr>
              <w:jc w:val="center"/>
              <w:rPr>
                <w:lang w:val="en-GB"/>
              </w:rPr>
            </w:pPr>
            <w:r w:rsidRPr="003747CE">
              <w:rPr>
                <w:lang w:val="en-GB"/>
              </w:rPr>
              <w:t>&lt;0.0001 ***</w:t>
            </w:r>
          </w:p>
        </w:tc>
      </w:tr>
      <w:tr w:rsidR="00931D81" w:rsidRPr="003747CE" w14:paraId="4E0A2548" w14:textId="77777777" w:rsidTr="00A83E39">
        <w:trPr>
          <w:trHeight w:val="229"/>
        </w:trPr>
        <w:tc>
          <w:tcPr>
            <w:tcW w:w="4976" w:type="dxa"/>
            <w:vAlign w:val="center"/>
          </w:tcPr>
          <w:p w14:paraId="1B5621E2" w14:textId="77777777" w:rsidR="00931D81" w:rsidRPr="003747CE" w:rsidRDefault="00931D81" w:rsidP="00A83E39">
            <w:pPr>
              <w:ind w:left="313"/>
              <w:rPr>
                <w:lang w:val="en-GB"/>
              </w:rPr>
            </w:pPr>
            <w:r w:rsidRPr="003747CE">
              <w:rPr>
                <w:lang w:val="en-GB"/>
              </w:rPr>
              <w:t>Law Firm / Plaintiff</w:t>
            </w:r>
          </w:p>
        </w:tc>
        <w:tc>
          <w:tcPr>
            <w:tcW w:w="1441" w:type="dxa"/>
            <w:vAlign w:val="center"/>
          </w:tcPr>
          <w:p w14:paraId="525E88F5" w14:textId="77777777" w:rsidR="00931D81" w:rsidRPr="003747CE" w:rsidRDefault="00931D81" w:rsidP="00A83E39">
            <w:pPr>
              <w:jc w:val="center"/>
              <w:rPr>
                <w:lang w:val="en-GB"/>
              </w:rPr>
            </w:pPr>
            <w:r w:rsidRPr="003747CE">
              <w:rPr>
                <w:lang w:val="en-GB"/>
              </w:rPr>
              <w:t>-</w:t>
            </w:r>
            <w:proofErr w:type="spellStart"/>
            <w:r w:rsidRPr="003747CE">
              <w:rPr>
                <w:lang w:val="en-GB"/>
              </w:rPr>
              <w:t>Inf</w:t>
            </w:r>
            <w:proofErr w:type="spellEnd"/>
          </w:p>
        </w:tc>
        <w:tc>
          <w:tcPr>
            <w:tcW w:w="1236" w:type="dxa"/>
            <w:vAlign w:val="center"/>
          </w:tcPr>
          <w:p w14:paraId="0FB8FF24" w14:textId="77777777" w:rsidR="00931D81" w:rsidRPr="003747CE" w:rsidRDefault="00931D81" w:rsidP="00A83E39">
            <w:pPr>
              <w:jc w:val="center"/>
              <w:rPr>
                <w:lang w:val="en-GB"/>
              </w:rPr>
            </w:pPr>
            <w:r w:rsidRPr="003747CE">
              <w:rPr>
                <w:lang w:val="en-GB"/>
              </w:rPr>
              <w:t>0.0000000</w:t>
            </w:r>
          </w:p>
        </w:tc>
        <w:tc>
          <w:tcPr>
            <w:tcW w:w="1451" w:type="dxa"/>
            <w:vAlign w:val="center"/>
          </w:tcPr>
          <w:p w14:paraId="4720BD47" w14:textId="77777777" w:rsidR="00931D81" w:rsidRPr="003747CE" w:rsidRDefault="00931D81" w:rsidP="00A83E39">
            <w:pPr>
              <w:jc w:val="center"/>
              <w:rPr>
                <w:lang w:val="en-GB"/>
              </w:rPr>
            </w:pPr>
            <w:r w:rsidRPr="003747CE">
              <w:rPr>
                <w:lang w:val="en-GB"/>
              </w:rPr>
              <w:t>&lt;0.0001 ***</w:t>
            </w:r>
          </w:p>
        </w:tc>
      </w:tr>
      <w:tr w:rsidR="00931D81" w:rsidRPr="003747CE" w14:paraId="4C5266B5" w14:textId="77777777" w:rsidTr="00A83E39">
        <w:trPr>
          <w:trHeight w:val="229"/>
        </w:trPr>
        <w:tc>
          <w:tcPr>
            <w:tcW w:w="4976" w:type="dxa"/>
            <w:vAlign w:val="center"/>
          </w:tcPr>
          <w:p w14:paraId="764528D9" w14:textId="77777777" w:rsidR="00931D81" w:rsidRPr="003747CE" w:rsidRDefault="00931D81" w:rsidP="00A83E39">
            <w:pPr>
              <w:ind w:left="313"/>
              <w:rPr>
                <w:lang w:val="en-GB"/>
              </w:rPr>
            </w:pPr>
            <w:r w:rsidRPr="003747CE">
              <w:rPr>
                <w:lang w:val="en-GB"/>
              </w:rPr>
              <w:t>Not Known</w:t>
            </w:r>
          </w:p>
        </w:tc>
        <w:tc>
          <w:tcPr>
            <w:tcW w:w="1441" w:type="dxa"/>
            <w:vAlign w:val="center"/>
          </w:tcPr>
          <w:p w14:paraId="563D0A09" w14:textId="77777777" w:rsidR="00931D81" w:rsidRPr="003747CE" w:rsidRDefault="00931D81" w:rsidP="00A83E39">
            <w:pPr>
              <w:jc w:val="center"/>
              <w:rPr>
                <w:lang w:val="en-GB"/>
              </w:rPr>
            </w:pPr>
            <w:r w:rsidRPr="003747CE">
              <w:rPr>
                <w:lang w:val="en-GB"/>
              </w:rPr>
              <w:t>-</w:t>
            </w:r>
            <w:proofErr w:type="spellStart"/>
            <w:r w:rsidRPr="003747CE">
              <w:rPr>
                <w:lang w:val="en-GB"/>
              </w:rPr>
              <w:t>Inf</w:t>
            </w:r>
            <w:proofErr w:type="spellEnd"/>
          </w:p>
        </w:tc>
        <w:tc>
          <w:tcPr>
            <w:tcW w:w="1236" w:type="dxa"/>
            <w:vAlign w:val="center"/>
          </w:tcPr>
          <w:p w14:paraId="7EB6E930" w14:textId="77777777" w:rsidR="00931D81" w:rsidRPr="003747CE" w:rsidRDefault="00931D81" w:rsidP="00A83E39">
            <w:pPr>
              <w:jc w:val="center"/>
              <w:rPr>
                <w:lang w:val="en-GB"/>
              </w:rPr>
            </w:pPr>
            <w:r w:rsidRPr="003747CE">
              <w:rPr>
                <w:lang w:val="en-GB"/>
              </w:rPr>
              <w:t>0.0000000</w:t>
            </w:r>
          </w:p>
        </w:tc>
        <w:tc>
          <w:tcPr>
            <w:tcW w:w="1451" w:type="dxa"/>
            <w:vAlign w:val="center"/>
          </w:tcPr>
          <w:p w14:paraId="4A1CC22F" w14:textId="77777777" w:rsidR="00931D81" w:rsidRPr="003747CE" w:rsidRDefault="00931D81" w:rsidP="00A83E39">
            <w:pPr>
              <w:jc w:val="center"/>
              <w:rPr>
                <w:lang w:val="en-GB"/>
              </w:rPr>
            </w:pPr>
            <w:r w:rsidRPr="003747CE">
              <w:rPr>
                <w:lang w:val="en-GB"/>
              </w:rPr>
              <w:t>&lt;0.0001 ***</w:t>
            </w:r>
          </w:p>
        </w:tc>
      </w:tr>
      <w:tr w:rsidR="00931D81" w:rsidRPr="003747CE" w14:paraId="59E8D9E8" w14:textId="77777777" w:rsidTr="00A83E39">
        <w:trPr>
          <w:trHeight w:val="229"/>
        </w:trPr>
        <w:tc>
          <w:tcPr>
            <w:tcW w:w="4976" w:type="dxa"/>
            <w:vAlign w:val="center"/>
          </w:tcPr>
          <w:p w14:paraId="103AFB3C" w14:textId="77777777" w:rsidR="00931D81" w:rsidRPr="003747CE" w:rsidRDefault="00931D81" w:rsidP="00A83E39">
            <w:pPr>
              <w:ind w:left="313"/>
              <w:rPr>
                <w:lang w:val="en-GB"/>
              </w:rPr>
            </w:pPr>
            <w:r w:rsidRPr="003747CE">
              <w:rPr>
                <w:lang w:val="en-GB"/>
              </w:rPr>
              <w:t>Regional At-Large Organization</w:t>
            </w:r>
          </w:p>
        </w:tc>
        <w:tc>
          <w:tcPr>
            <w:tcW w:w="1441" w:type="dxa"/>
            <w:vAlign w:val="center"/>
          </w:tcPr>
          <w:p w14:paraId="41C4D93B" w14:textId="77777777" w:rsidR="00931D81" w:rsidRPr="003747CE" w:rsidRDefault="00931D81" w:rsidP="00A83E39">
            <w:pPr>
              <w:jc w:val="center"/>
              <w:rPr>
                <w:lang w:val="en-GB"/>
              </w:rPr>
            </w:pPr>
            <w:r w:rsidRPr="003747CE">
              <w:rPr>
                <w:lang w:val="en-GB"/>
              </w:rPr>
              <w:t>-</w:t>
            </w:r>
            <w:proofErr w:type="spellStart"/>
            <w:r w:rsidRPr="003747CE">
              <w:rPr>
                <w:lang w:val="en-GB"/>
              </w:rPr>
              <w:t>Inf</w:t>
            </w:r>
            <w:proofErr w:type="spellEnd"/>
          </w:p>
        </w:tc>
        <w:tc>
          <w:tcPr>
            <w:tcW w:w="1236" w:type="dxa"/>
            <w:vAlign w:val="center"/>
          </w:tcPr>
          <w:p w14:paraId="37CE7B42" w14:textId="77777777" w:rsidR="00931D81" w:rsidRPr="003747CE" w:rsidRDefault="00931D81" w:rsidP="00A83E39">
            <w:pPr>
              <w:jc w:val="center"/>
              <w:rPr>
                <w:lang w:val="en-GB"/>
              </w:rPr>
            </w:pPr>
            <w:r w:rsidRPr="003747CE">
              <w:rPr>
                <w:lang w:val="en-GB"/>
              </w:rPr>
              <w:t>0.0000000</w:t>
            </w:r>
          </w:p>
        </w:tc>
        <w:tc>
          <w:tcPr>
            <w:tcW w:w="1451" w:type="dxa"/>
            <w:vAlign w:val="center"/>
          </w:tcPr>
          <w:p w14:paraId="075B701E" w14:textId="77777777" w:rsidR="00931D81" w:rsidRPr="003747CE" w:rsidRDefault="00931D81" w:rsidP="00A83E39">
            <w:pPr>
              <w:jc w:val="center"/>
              <w:rPr>
                <w:lang w:val="en-GB"/>
              </w:rPr>
            </w:pPr>
            <w:r w:rsidRPr="003747CE">
              <w:rPr>
                <w:lang w:val="en-GB"/>
              </w:rPr>
              <w:t>&lt;0.0001 ***</w:t>
            </w:r>
          </w:p>
        </w:tc>
      </w:tr>
      <w:tr w:rsidR="00931D81" w:rsidRPr="003747CE" w14:paraId="68535F52" w14:textId="77777777" w:rsidTr="00A83E39">
        <w:trPr>
          <w:trHeight w:val="229"/>
        </w:trPr>
        <w:tc>
          <w:tcPr>
            <w:tcW w:w="4976" w:type="dxa"/>
            <w:vAlign w:val="center"/>
          </w:tcPr>
          <w:p w14:paraId="54FC7D29" w14:textId="77777777" w:rsidR="00931D81" w:rsidRPr="003747CE" w:rsidRDefault="00931D81" w:rsidP="00A83E39">
            <w:pPr>
              <w:ind w:left="313"/>
              <w:rPr>
                <w:lang w:val="en-GB"/>
              </w:rPr>
            </w:pPr>
            <w:r w:rsidRPr="003747CE">
              <w:rPr>
                <w:lang w:val="en-GB"/>
              </w:rPr>
              <w:t>Registrant</w:t>
            </w:r>
          </w:p>
        </w:tc>
        <w:tc>
          <w:tcPr>
            <w:tcW w:w="1441" w:type="dxa"/>
            <w:vAlign w:val="center"/>
          </w:tcPr>
          <w:p w14:paraId="755A6C9A" w14:textId="77777777" w:rsidR="00931D81" w:rsidRPr="003747CE" w:rsidRDefault="00931D81" w:rsidP="00A83E39">
            <w:pPr>
              <w:jc w:val="center"/>
              <w:rPr>
                <w:lang w:val="en-GB"/>
              </w:rPr>
            </w:pPr>
            <w:r w:rsidRPr="003747CE">
              <w:rPr>
                <w:lang w:val="en-GB"/>
              </w:rPr>
              <w:t>-</w:t>
            </w:r>
            <w:proofErr w:type="spellStart"/>
            <w:r w:rsidRPr="003747CE">
              <w:rPr>
                <w:lang w:val="en-GB"/>
              </w:rPr>
              <w:t>Inf</w:t>
            </w:r>
            <w:proofErr w:type="spellEnd"/>
          </w:p>
        </w:tc>
        <w:tc>
          <w:tcPr>
            <w:tcW w:w="1236" w:type="dxa"/>
            <w:vAlign w:val="center"/>
          </w:tcPr>
          <w:p w14:paraId="29054090" w14:textId="77777777" w:rsidR="00931D81" w:rsidRPr="003747CE" w:rsidRDefault="00931D81" w:rsidP="00A83E39">
            <w:pPr>
              <w:jc w:val="center"/>
              <w:rPr>
                <w:lang w:val="en-GB"/>
              </w:rPr>
            </w:pPr>
            <w:r w:rsidRPr="003747CE">
              <w:rPr>
                <w:lang w:val="en-GB"/>
              </w:rPr>
              <w:t>0.0000000</w:t>
            </w:r>
          </w:p>
        </w:tc>
        <w:tc>
          <w:tcPr>
            <w:tcW w:w="1451" w:type="dxa"/>
            <w:vAlign w:val="center"/>
          </w:tcPr>
          <w:p w14:paraId="498AAE73" w14:textId="77777777" w:rsidR="00931D81" w:rsidRPr="003747CE" w:rsidRDefault="00931D81" w:rsidP="00A83E39">
            <w:pPr>
              <w:jc w:val="center"/>
              <w:rPr>
                <w:lang w:val="en-GB"/>
              </w:rPr>
            </w:pPr>
            <w:r w:rsidRPr="003747CE">
              <w:rPr>
                <w:lang w:val="en-GB"/>
              </w:rPr>
              <w:t>&lt;0.0001 ***</w:t>
            </w:r>
          </w:p>
        </w:tc>
      </w:tr>
      <w:tr w:rsidR="00931D81" w:rsidRPr="003747CE" w14:paraId="0273BAAD" w14:textId="77777777" w:rsidTr="00A83E39">
        <w:trPr>
          <w:trHeight w:val="229"/>
        </w:trPr>
        <w:tc>
          <w:tcPr>
            <w:tcW w:w="4976" w:type="dxa"/>
            <w:vAlign w:val="center"/>
          </w:tcPr>
          <w:p w14:paraId="617CBC0E" w14:textId="77777777" w:rsidR="00931D81" w:rsidRPr="003747CE" w:rsidRDefault="00931D81" w:rsidP="00A83E39">
            <w:pPr>
              <w:ind w:left="313"/>
              <w:rPr>
                <w:lang w:val="en-GB"/>
              </w:rPr>
            </w:pPr>
            <w:r w:rsidRPr="003747CE">
              <w:rPr>
                <w:lang w:val="en-GB"/>
              </w:rPr>
              <w:t>Registrar</w:t>
            </w:r>
          </w:p>
        </w:tc>
        <w:tc>
          <w:tcPr>
            <w:tcW w:w="1441" w:type="dxa"/>
            <w:vAlign w:val="center"/>
          </w:tcPr>
          <w:p w14:paraId="09475B2D" w14:textId="77777777" w:rsidR="00931D81" w:rsidRPr="003747CE" w:rsidRDefault="00931D81" w:rsidP="00A83E39">
            <w:pPr>
              <w:jc w:val="center"/>
              <w:rPr>
                <w:lang w:val="en-GB"/>
              </w:rPr>
            </w:pPr>
            <w:r w:rsidRPr="003747CE">
              <w:rPr>
                <w:lang w:val="en-GB"/>
              </w:rPr>
              <w:t>-</w:t>
            </w:r>
            <w:proofErr w:type="spellStart"/>
            <w:r w:rsidRPr="003747CE">
              <w:rPr>
                <w:lang w:val="en-GB"/>
              </w:rPr>
              <w:t>Inf</w:t>
            </w:r>
            <w:proofErr w:type="spellEnd"/>
          </w:p>
        </w:tc>
        <w:tc>
          <w:tcPr>
            <w:tcW w:w="1236" w:type="dxa"/>
            <w:vAlign w:val="center"/>
          </w:tcPr>
          <w:p w14:paraId="11818B04" w14:textId="77777777" w:rsidR="00931D81" w:rsidRPr="003747CE" w:rsidRDefault="00931D81" w:rsidP="00A83E39">
            <w:pPr>
              <w:jc w:val="center"/>
              <w:rPr>
                <w:lang w:val="en-GB"/>
              </w:rPr>
            </w:pPr>
            <w:r w:rsidRPr="003747CE">
              <w:rPr>
                <w:lang w:val="en-GB"/>
              </w:rPr>
              <w:t>0.0000000</w:t>
            </w:r>
          </w:p>
        </w:tc>
        <w:tc>
          <w:tcPr>
            <w:tcW w:w="1451" w:type="dxa"/>
            <w:vAlign w:val="center"/>
          </w:tcPr>
          <w:p w14:paraId="31BEDEBD" w14:textId="77777777" w:rsidR="00931D81" w:rsidRPr="003747CE" w:rsidRDefault="00931D81" w:rsidP="00A83E39">
            <w:pPr>
              <w:jc w:val="center"/>
              <w:rPr>
                <w:lang w:val="en-GB"/>
              </w:rPr>
            </w:pPr>
            <w:r w:rsidRPr="003747CE">
              <w:rPr>
                <w:lang w:val="en-GB"/>
              </w:rPr>
              <w:t>&lt;0.0001 ***</w:t>
            </w:r>
          </w:p>
        </w:tc>
      </w:tr>
      <w:tr w:rsidR="00931D81" w:rsidRPr="003747CE" w14:paraId="1395B5B1" w14:textId="77777777" w:rsidTr="00A83E39">
        <w:trPr>
          <w:trHeight w:val="229"/>
        </w:trPr>
        <w:tc>
          <w:tcPr>
            <w:tcW w:w="4976" w:type="dxa"/>
            <w:vAlign w:val="center"/>
          </w:tcPr>
          <w:p w14:paraId="2CCD334D" w14:textId="77777777" w:rsidR="00931D81" w:rsidRPr="003747CE" w:rsidRDefault="00931D81" w:rsidP="00A83E39">
            <w:pPr>
              <w:ind w:left="313"/>
              <w:rPr>
                <w:lang w:val="en-GB"/>
              </w:rPr>
            </w:pPr>
            <w:r w:rsidRPr="003747CE">
              <w:rPr>
                <w:lang w:val="en-GB"/>
              </w:rPr>
              <w:t xml:space="preserve">Registry / New </w:t>
            </w:r>
            <w:proofErr w:type="spellStart"/>
            <w:r w:rsidRPr="003747CE">
              <w:rPr>
                <w:lang w:val="en-GB"/>
              </w:rPr>
              <w:t>gTLD</w:t>
            </w:r>
            <w:proofErr w:type="spellEnd"/>
            <w:r w:rsidRPr="003747CE">
              <w:rPr>
                <w:lang w:val="en-GB"/>
              </w:rPr>
              <w:t xml:space="preserve"> Applicant</w:t>
            </w:r>
          </w:p>
        </w:tc>
        <w:tc>
          <w:tcPr>
            <w:tcW w:w="1441" w:type="dxa"/>
            <w:vAlign w:val="center"/>
          </w:tcPr>
          <w:p w14:paraId="5735CA25" w14:textId="77777777" w:rsidR="00931D81" w:rsidRPr="003747CE" w:rsidRDefault="00931D81" w:rsidP="00A83E39">
            <w:pPr>
              <w:jc w:val="center"/>
              <w:rPr>
                <w:lang w:val="en-GB"/>
              </w:rPr>
            </w:pPr>
            <w:r w:rsidRPr="003747CE">
              <w:rPr>
                <w:lang w:val="en-GB"/>
              </w:rPr>
              <w:t>-</w:t>
            </w:r>
            <w:proofErr w:type="spellStart"/>
            <w:r w:rsidRPr="003747CE">
              <w:rPr>
                <w:lang w:val="en-GB"/>
              </w:rPr>
              <w:t>Inf</w:t>
            </w:r>
            <w:proofErr w:type="spellEnd"/>
          </w:p>
        </w:tc>
        <w:tc>
          <w:tcPr>
            <w:tcW w:w="1236" w:type="dxa"/>
            <w:vAlign w:val="center"/>
          </w:tcPr>
          <w:p w14:paraId="4598CEA0" w14:textId="77777777" w:rsidR="00931D81" w:rsidRPr="003747CE" w:rsidRDefault="00931D81" w:rsidP="00A83E39">
            <w:pPr>
              <w:jc w:val="center"/>
              <w:rPr>
                <w:lang w:val="en-GB"/>
              </w:rPr>
            </w:pPr>
            <w:r w:rsidRPr="003747CE">
              <w:rPr>
                <w:lang w:val="en-GB"/>
              </w:rPr>
              <w:t>0.0000000</w:t>
            </w:r>
          </w:p>
        </w:tc>
        <w:tc>
          <w:tcPr>
            <w:tcW w:w="1451" w:type="dxa"/>
            <w:vAlign w:val="center"/>
          </w:tcPr>
          <w:p w14:paraId="123B9A28" w14:textId="77777777" w:rsidR="00931D81" w:rsidRPr="003747CE" w:rsidRDefault="00931D81" w:rsidP="00A83E39">
            <w:pPr>
              <w:jc w:val="center"/>
              <w:rPr>
                <w:lang w:val="en-GB"/>
              </w:rPr>
            </w:pPr>
            <w:r w:rsidRPr="003747CE">
              <w:rPr>
                <w:lang w:val="en-GB"/>
              </w:rPr>
              <w:t>&lt;0.0001 ***</w:t>
            </w:r>
          </w:p>
        </w:tc>
      </w:tr>
      <w:tr w:rsidR="00931D81" w:rsidRPr="003747CE" w14:paraId="0B3E5AAC" w14:textId="77777777" w:rsidTr="00A83E39">
        <w:trPr>
          <w:trHeight w:val="229"/>
        </w:trPr>
        <w:tc>
          <w:tcPr>
            <w:tcW w:w="4976" w:type="dxa"/>
            <w:tcBorders>
              <w:bottom w:val="single" w:sz="4" w:space="0" w:color="auto"/>
            </w:tcBorders>
            <w:vAlign w:val="center"/>
          </w:tcPr>
          <w:p w14:paraId="716813E0" w14:textId="77777777" w:rsidR="00931D81" w:rsidRPr="003747CE" w:rsidRDefault="00931D81" w:rsidP="00A83E39">
            <w:pPr>
              <w:ind w:left="313"/>
              <w:rPr>
                <w:lang w:val="en-GB"/>
              </w:rPr>
            </w:pPr>
            <w:r w:rsidRPr="003747CE">
              <w:rPr>
                <w:lang w:val="en-GB"/>
              </w:rPr>
              <w:t>Trade Association</w:t>
            </w:r>
          </w:p>
        </w:tc>
        <w:tc>
          <w:tcPr>
            <w:tcW w:w="1441" w:type="dxa"/>
            <w:tcBorders>
              <w:bottom w:val="single" w:sz="4" w:space="0" w:color="auto"/>
            </w:tcBorders>
            <w:vAlign w:val="center"/>
          </w:tcPr>
          <w:p w14:paraId="40CF6AA4" w14:textId="77777777" w:rsidR="00931D81" w:rsidRPr="003747CE" w:rsidRDefault="00931D81" w:rsidP="00A83E39">
            <w:pPr>
              <w:jc w:val="center"/>
              <w:rPr>
                <w:lang w:val="en-GB"/>
              </w:rPr>
            </w:pPr>
            <w:r w:rsidRPr="003747CE">
              <w:rPr>
                <w:lang w:val="en-GB"/>
              </w:rPr>
              <w:t>-</w:t>
            </w:r>
            <w:proofErr w:type="spellStart"/>
            <w:r w:rsidRPr="003747CE">
              <w:rPr>
                <w:lang w:val="en-GB"/>
              </w:rPr>
              <w:t>Inf</w:t>
            </w:r>
            <w:proofErr w:type="spellEnd"/>
          </w:p>
        </w:tc>
        <w:tc>
          <w:tcPr>
            <w:tcW w:w="1236" w:type="dxa"/>
            <w:tcBorders>
              <w:bottom w:val="single" w:sz="4" w:space="0" w:color="auto"/>
            </w:tcBorders>
            <w:vAlign w:val="center"/>
          </w:tcPr>
          <w:p w14:paraId="703AEF90" w14:textId="77777777" w:rsidR="00931D81" w:rsidRPr="003747CE" w:rsidRDefault="00931D81" w:rsidP="00A83E39">
            <w:pPr>
              <w:jc w:val="center"/>
              <w:rPr>
                <w:lang w:val="en-GB"/>
              </w:rPr>
            </w:pPr>
            <w:r w:rsidRPr="003747CE">
              <w:rPr>
                <w:lang w:val="en-GB"/>
              </w:rPr>
              <w:t>0.0000000</w:t>
            </w:r>
          </w:p>
        </w:tc>
        <w:tc>
          <w:tcPr>
            <w:tcW w:w="1451" w:type="dxa"/>
            <w:tcBorders>
              <w:bottom w:val="single" w:sz="4" w:space="0" w:color="auto"/>
            </w:tcBorders>
            <w:vAlign w:val="center"/>
          </w:tcPr>
          <w:p w14:paraId="20056D49" w14:textId="77777777" w:rsidR="00931D81" w:rsidRPr="003747CE" w:rsidRDefault="00931D81" w:rsidP="00A83E39">
            <w:pPr>
              <w:jc w:val="center"/>
              <w:rPr>
                <w:lang w:val="en-GB"/>
              </w:rPr>
            </w:pPr>
            <w:r w:rsidRPr="003747CE">
              <w:rPr>
                <w:lang w:val="en-GB"/>
              </w:rPr>
              <w:t>&lt;0.0001 ***</w:t>
            </w:r>
          </w:p>
        </w:tc>
      </w:tr>
    </w:tbl>
    <w:p w14:paraId="60A3FC6E" w14:textId="7A3F351C" w:rsidR="005611EE" w:rsidRDefault="00922719" w:rsidP="00922719">
      <w:pPr>
        <w:spacing w:before="120" w:after="240" w:line="360" w:lineRule="auto"/>
        <w:jc w:val="center"/>
        <w:rPr>
          <w:b/>
          <w:lang w:val="en-GB"/>
        </w:rPr>
      </w:pPr>
      <w:r w:rsidRPr="003747CE">
        <w:rPr>
          <w:b/>
          <w:lang w:val="en-GB"/>
        </w:rPr>
        <w:t xml:space="preserve">Table 1 p*/ERGM Results for network with Affect Individual </w:t>
      </w:r>
      <w:r w:rsidR="00A66C57">
        <w:rPr>
          <w:b/>
          <w:lang w:val="en-GB"/>
        </w:rPr>
        <w:t>DCND</w:t>
      </w:r>
      <w:r w:rsidR="005611EE">
        <w:rPr>
          <w:b/>
          <w:lang w:val="en-GB"/>
        </w:rPr>
        <w:br w:type="page"/>
      </w:r>
    </w:p>
    <w:tbl>
      <w:tblPr>
        <w:tblStyle w:val="TableGrid"/>
        <w:tblW w:w="91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1359"/>
        <w:gridCol w:w="1236"/>
        <w:gridCol w:w="1547"/>
      </w:tblGrid>
      <w:tr w:rsidR="00277C41" w:rsidRPr="003747CE" w14:paraId="090557D9" w14:textId="77777777" w:rsidTr="00A83E39">
        <w:trPr>
          <w:trHeight w:val="409"/>
        </w:trPr>
        <w:tc>
          <w:tcPr>
            <w:tcW w:w="4962" w:type="dxa"/>
            <w:tcBorders>
              <w:top w:val="single" w:sz="4" w:space="0" w:color="auto"/>
            </w:tcBorders>
            <w:vAlign w:val="center"/>
          </w:tcPr>
          <w:p w14:paraId="1EA3A34D" w14:textId="77777777" w:rsidR="00277C41" w:rsidRPr="003747CE" w:rsidRDefault="00277C41" w:rsidP="00A83E39">
            <w:pPr>
              <w:jc w:val="center"/>
              <w:rPr>
                <w:lang w:val="en-GB"/>
              </w:rPr>
            </w:pPr>
          </w:p>
        </w:tc>
        <w:tc>
          <w:tcPr>
            <w:tcW w:w="4142" w:type="dxa"/>
            <w:gridSpan w:val="3"/>
            <w:tcBorders>
              <w:top w:val="single" w:sz="4" w:space="0" w:color="auto"/>
              <w:bottom w:val="single" w:sz="4" w:space="0" w:color="auto"/>
            </w:tcBorders>
            <w:vAlign w:val="center"/>
          </w:tcPr>
          <w:p w14:paraId="06BC834A" w14:textId="77777777" w:rsidR="00277C41" w:rsidRPr="003747CE" w:rsidRDefault="00277C41" w:rsidP="00A83E39">
            <w:pPr>
              <w:jc w:val="center"/>
              <w:rPr>
                <w:b/>
                <w:lang w:val="en-GB"/>
              </w:rPr>
            </w:pPr>
            <w:r w:rsidRPr="003747CE">
              <w:rPr>
                <w:b/>
                <w:lang w:val="en-GB"/>
              </w:rPr>
              <w:t>Burdensome</w:t>
            </w:r>
          </w:p>
        </w:tc>
      </w:tr>
      <w:tr w:rsidR="00277C41" w:rsidRPr="003747CE" w14:paraId="48A3760F" w14:textId="77777777" w:rsidTr="00A83E39">
        <w:trPr>
          <w:trHeight w:val="325"/>
        </w:trPr>
        <w:tc>
          <w:tcPr>
            <w:tcW w:w="4962" w:type="dxa"/>
            <w:tcBorders>
              <w:bottom w:val="single" w:sz="4" w:space="0" w:color="auto"/>
            </w:tcBorders>
            <w:vAlign w:val="center"/>
          </w:tcPr>
          <w:p w14:paraId="2D07C885" w14:textId="77777777" w:rsidR="00277C41" w:rsidRPr="003747CE" w:rsidRDefault="00277C41" w:rsidP="00A83E39">
            <w:pPr>
              <w:rPr>
                <w:lang w:val="en-GB"/>
              </w:rPr>
            </w:pPr>
          </w:p>
        </w:tc>
        <w:tc>
          <w:tcPr>
            <w:tcW w:w="1359" w:type="dxa"/>
            <w:tcBorders>
              <w:top w:val="single" w:sz="4" w:space="0" w:color="auto"/>
              <w:bottom w:val="single" w:sz="4" w:space="0" w:color="auto"/>
            </w:tcBorders>
            <w:vAlign w:val="center"/>
          </w:tcPr>
          <w:p w14:paraId="1EA461FF" w14:textId="77777777" w:rsidR="00277C41" w:rsidRPr="003747CE" w:rsidRDefault="00277C41" w:rsidP="00A83E39">
            <w:pPr>
              <w:jc w:val="center"/>
              <w:rPr>
                <w:b/>
                <w:lang w:val="en-GB"/>
              </w:rPr>
            </w:pPr>
            <w:r w:rsidRPr="003747CE">
              <w:rPr>
                <w:b/>
                <w:lang w:val="en-GB"/>
              </w:rPr>
              <w:t>Estimate</w:t>
            </w:r>
          </w:p>
        </w:tc>
        <w:tc>
          <w:tcPr>
            <w:tcW w:w="1236" w:type="dxa"/>
            <w:tcBorders>
              <w:top w:val="single" w:sz="4" w:space="0" w:color="auto"/>
              <w:bottom w:val="single" w:sz="4" w:space="0" w:color="auto"/>
            </w:tcBorders>
            <w:vAlign w:val="center"/>
          </w:tcPr>
          <w:p w14:paraId="235038A6" w14:textId="77777777" w:rsidR="00277C41" w:rsidRPr="003747CE" w:rsidRDefault="00277C41" w:rsidP="00A83E39">
            <w:pPr>
              <w:jc w:val="center"/>
              <w:rPr>
                <w:b/>
                <w:lang w:val="en-GB"/>
              </w:rPr>
            </w:pPr>
            <w:proofErr w:type="spellStart"/>
            <w:r w:rsidRPr="003747CE">
              <w:rPr>
                <w:b/>
                <w:lang w:val="en-GB"/>
              </w:rPr>
              <w:t>Std</w:t>
            </w:r>
            <w:proofErr w:type="spellEnd"/>
            <w:r w:rsidRPr="003747CE">
              <w:rPr>
                <w:b/>
                <w:lang w:val="en-GB"/>
              </w:rPr>
              <w:t xml:space="preserve"> Error</w:t>
            </w:r>
          </w:p>
        </w:tc>
        <w:tc>
          <w:tcPr>
            <w:tcW w:w="1547" w:type="dxa"/>
            <w:tcBorders>
              <w:top w:val="single" w:sz="4" w:space="0" w:color="auto"/>
              <w:bottom w:val="single" w:sz="4" w:space="0" w:color="auto"/>
            </w:tcBorders>
            <w:vAlign w:val="center"/>
          </w:tcPr>
          <w:p w14:paraId="5799F6F2" w14:textId="77777777" w:rsidR="00277C41" w:rsidRPr="003747CE" w:rsidRDefault="00277C41" w:rsidP="00A83E39">
            <w:pPr>
              <w:jc w:val="center"/>
              <w:rPr>
                <w:b/>
                <w:lang w:val="en-GB"/>
              </w:rPr>
            </w:pPr>
            <w:r w:rsidRPr="003747CE">
              <w:rPr>
                <w:b/>
                <w:lang w:val="en-GB"/>
              </w:rPr>
              <w:t>P-value</w:t>
            </w:r>
          </w:p>
        </w:tc>
      </w:tr>
      <w:tr w:rsidR="00277C41" w:rsidRPr="003747CE" w14:paraId="4B6965CA" w14:textId="77777777" w:rsidTr="00A83E39">
        <w:trPr>
          <w:trHeight w:val="144"/>
        </w:trPr>
        <w:tc>
          <w:tcPr>
            <w:tcW w:w="4962" w:type="dxa"/>
            <w:tcBorders>
              <w:top w:val="single" w:sz="4" w:space="0" w:color="auto"/>
            </w:tcBorders>
            <w:shd w:val="clear" w:color="auto" w:fill="FFF2CC" w:themeFill="accent4" w:themeFillTint="33"/>
            <w:vAlign w:val="center"/>
          </w:tcPr>
          <w:p w14:paraId="41F4F69D" w14:textId="77777777" w:rsidR="00277C41" w:rsidRPr="003747CE" w:rsidRDefault="00277C41" w:rsidP="00A83E39">
            <w:pPr>
              <w:ind w:left="29"/>
              <w:rPr>
                <w:lang w:val="en-GB"/>
              </w:rPr>
            </w:pPr>
            <w:r w:rsidRPr="003747CE">
              <w:rPr>
                <w:lang w:val="en-GB"/>
              </w:rPr>
              <w:t>Edges</w:t>
            </w:r>
          </w:p>
        </w:tc>
        <w:tc>
          <w:tcPr>
            <w:tcW w:w="1359" w:type="dxa"/>
            <w:tcBorders>
              <w:top w:val="single" w:sz="4" w:space="0" w:color="auto"/>
            </w:tcBorders>
            <w:shd w:val="clear" w:color="auto" w:fill="FFF2CC" w:themeFill="accent4" w:themeFillTint="33"/>
            <w:vAlign w:val="center"/>
          </w:tcPr>
          <w:p w14:paraId="6DA5C4B7" w14:textId="77777777" w:rsidR="00277C41" w:rsidRPr="003747CE" w:rsidRDefault="00277C41" w:rsidP="00A83E39">
            <w:pPr>
              <w:jc w:val="center"/>
              <w:rPr>
                <w:lang w:val="en-GB"/>
              </w:rPr>
            </w:pPr>
            <w:r w:rsidRPr="003747CE">
              <w:rPr>
                <w:lang w:val="en-GB"/>
              </w:rPr>
              <w:t xml:space="preserve">-2.3452261 </w:t>
            </w:r>
          </w:p>
        </w:tc>
        <w:tc>
          <w:tcPr>
            <w:tcW w:w="1236" w:type="dxa"/>
            <w:tcBorders>
              <w:top w:val="single" w:sz="4" w:space="0" w:color="auto"/>
            </w:tcBorders>
            <w:shd w:val="clear" w:color="auto" w:fill="FFF2CC" w:themeFill="accent4" w:themeFillTint="33"/>
            <w:vAlign w:val="center"/>
          </w:tcPr>
          <w:p w14:paraId="0B789EF7" w14:textId="77777777" w:rsidR="00277C41" w:rsidRPr="003747CE" w:rsidRDefault="00277C41" w:rsidP="00A83E39">
            <w:pPr>
              <w:jc w:val="center"/>
              <w:rPr>
                <w:lang w:val="en-GB"/>
              </w:rPr>
            </w:pPr>
            <w:r w:rsidRPr="003747CE">
              <w:rPr>
                <w:lang w:val="en-GB"/>
              </w:rPr>
              <w:t xml:space="preserve">0.0713213     </w:t>
            </w:r>
          </w:p>
        </w:tc>
        <w:tc>
          <w:tcPr>
            <w:tcW w:w="1547" w:type="dxa"/>
            <w:tcBorders>
              <w:top w:val="single" w:sz="4" w:space="0" w:color="auto"/>
            </w:tcBorders>
            <w:shd w:val="clear" w:color="auto" w:fill="FFF2CC" w:themeFill="accent4" w:themeFillTint="33"/>
            <w:vAlign w:val="center"/>
          </w:tcPr>
          <w:p w14:paraId="2D770E39" w14:textId="77777777" w:rsidR="00277C41" w:rsidRPr="003747CE" w:rsidRDefault="00277C41" w:rsidP="00A83E39">
            <w:pPr>
              <w:jc w:val="center"/>
              <w:rPr>
                <w:lang w:val="en-GB"/>
              </w:rPr>
            </w:pPr>
            <w:r w:rsidRPr="003747CE">
              <w:rPr>
                <w:lang w:val="en-GB"/>
              </w:rPr>
              <w:t>&lt; 0.0001 ***</w:t>
            </w:r>
          </w:p>
        </w:tc>
      </w:tr>
      <w:tr w:rsidR="00277C41" w:rsidRPr="003747CE" w14:paraId="2482D388" w14:textId="77777777" w:rsidTr="00A83E39">
        <w:trPr>
          <w:trHeight w:val="103"/>
        </w:trPr>
        <w:tc>
          <w:tcPr>
            <w:tcW w:w="4962" w:type="dxa"/>
            <w:shd w:val="clear" w:color="auto" w:fill="FFF2CC" w:themeFill="accent4" w:themeFillTint="33"/>
            <w:vAlign w:val="center"/>
          </w:tcPr>
          <w:p w14:paraId="2572E25B" w14:textId="77777777" w:rsidR="00277C41" w:rsidRPr="003747CE" w:rsidRDefault="00277C41" w:rsidP="00A83E39">
            <w:pPr>
              <w:ind w:left="29"/>
              <w:rPr>
                <w:lang w:val="en-GB"/>
              </w:rPr>
            </w:pPr>
            <w:proofErr w:type="spellStart"/>
            <w:r w:rsidRPr="003747CE">
              <w:rPr>
                <w:lang w:val="en-GB"/>
              </w:rPr>
              <w:t>Absdiff.word.count</w:t>
            </w:r>
            <w:proofErr w:type="spellEnd"/>
          </w:p>
        </w:tc>
        <w:tc>
          <w:tcPr>
            <w:tcW w:w="1359" w:type="dxa"/>
            <w:shd w:val="clear" w:color="auto" w:fill="FFF2CC" w:themeFill="accent4" w:themeFillTint="33"/>
            <w:vAlign w:val="center"/>
          </w:tcPr>
          <w:p w14:paraId="43628D15" w14:textId="77777777" w:rsidR="00277C41" w:rsidRPr="003747CE" w:rsidRDefault="00277C41" w:rsidP="00A83E39">
            <w:pPr>
              <w:jc w:val="center"/>
              <w:rPr>
                <w:lang w:val="en-GB"/>
              </w:rPr>
            </w:pPr>
            <w:r w:rsidRPr="003747CE">
              <w:rPr>
                <w:lang w:val="en-GB"/>
              </w:rPr>
              <w:t xml:space="preserve">-0.0004322 </w:t>
            </w:r>
          </w:p>
        </w:tc>
        <w:tc>
          <w:tcPr>
            <w:tcW w:w="1236" w:type="dxa"/>
            <w:shd w:val="clear" w:color="auto" w:fill="FFF2CC" w:themeFill="accent4" w:themeFillTint="33"/>
            <w:vAlign w:val="center"/>
          </w:tcPr>
          <w:p w14:paraId="36CB382B" w14:textId="77777777" w:rsidR="00277C41" w:rsidRPr="003747CE" w:rsidRDefault="00277C41" w:rsidP="00A83E39">
            <w:pPr>
              <w:jc w:val="center"/>
              <w:rPr>
                <w:lang w:val="en-GB"/>
              </w:rPr>
            </w:pPr>
            <w:r w:rsidRPr="003747CE">
              <w:rPr>
                <w:lang w:val="en-GB"/>
              </w:rPr>
              <w:t xml:space="preserve">0.0001192      </w:t>
            </w:r>
          </w:p>
        </w:tc>
        <w:tc>
          <w:tcPr>
            <w:tcW w:w="1547" w:type="dxa"/>
            <w:shd w:val="clear" w:color="auto" w:fill="FFF2CC" w:themeFill="accent4" w:themeFillTint="33"/>
            <w:vAlign w:val="center"/>
          </w:tcPr>
          <w:p w14:paraId="2D36A5C9" w14:textId="77777777" w:rsidR="00277C41" w:rsidRPr="003747CE" w:rsidRDefault="00277C41" w:rsidP="00A83E39">
            <w:pPr>
              <w:jc w:val="center"/>
              <w:rPr>
                <w:lang w:val="en-GB"/>
              </w:rPr>
            </w:pPr>
            <w:r w:rsidRPr="003747CE">
              <w:rPr>
                <w:lang w:val="en-GB"/>
              </w:rPr>
              <w:t>0.000291 ***</w:t>
            </w:r>
          </w:p>
        </w:tc>
      </w:tr>
      <w:tr w:rsidR="00277C41" w:rsidRPr="003747CE" w14:paraId="56CA238E" w14:textId="77777777" w:rsidTr="00A83E39">
        <w:trPr>
          <w:trHeight w:val="103"/>
        </w:trPr>
        <w:tc>
          <w:tcPr>
            <w:tcW w:w="4962" w:type="dxa"/>
            <w:shd w:val="clear" w:color="auto" w:fill="FFF2CC" w:themeFill="accent4" w:themeFillTint="33"/>
            <w:vAlign w:val="center"/>
          </w:tcPr>
          <w:p w14:paraId="49F9D522" w14:textId="77777777" w:rsidR="00277C41" w:rsidRPr="003747CE" w:rsidRDefault="00277C41" w:rsidP="00A83E39">
            <w:pPr>
              <w:ind w:left="29"/>
              <w:rPr>
                <w:lang w:val="en-GB"/>
              </w:rPr>
            </w:pPr>
            <w:proofErr w:type="spellStart"/>
            <w:r w:rsidRPr="003747CE">
              <w:rPr>
                <w:lang w:val="en-GB"/>
              </w:rPr>
              <w:t>Nodecov.word.count</w:t>
            </w:r>
            <w:proofErr w:type="spellEnd"/>
          </w:p>
        </w:tc>
        <w:tc>
          <w:tcPr>
            <w:tcW w:w="1359" w:type="dxa"/>
            <w:shd w:val="clear" w:color="auto" w:fill="FFF2CC" w:themeFill="accent4" w:themeFillTint="33"/>
            <w:vAlign w:val="center"/>
          </w:tcPr>
          <w:p w14:paraId="10725332" w14:textId="77777777" w:rsidR="00277C41" w:rsidRPr="003747CE" w:rsidRDefault="00277C41" w:rsidP="00A83E39">
            <w:pPr>
              <w:jc w:val="center"/>
              <w:rPr>
                <w:lang w:val="en-GB"/>
              </w:rPr>
            </w:pPr>
            <w:r w:rsidRPr="003747CE">
              <w:rPr>
                <w:lang w:val="en-GB"/>
              </w:rPr>
              <w:t xml:space="preserve">0.0008265 </w:t>
            </w:r>
          </w:p>
        </w:tc>
        <w:tc>
          <w:tcPr>
            <w:tcW w:w="1236" w:type="dxa"/>
            <w:shd w:val="clear" w:color="auto" w:fill="FFF2CC" w:themeFill="accent4" w:themeFillTint="33"/>
            <w:vAlign w:val="center"/>
          </w:tcPr>
          <w:p w14:paraId="0CEE507A" w14:textId="77777777" w:rsidR="00277C41" w:rsidRPr="003747CE" w:rsidRDefault="00277C41" w:rsidP="00A83E39">
            <w:pPr>
              <w:jc w:val="center"/>
              <w:rPr>
                <w:lang w:val="en-GB"/>
              </w:rPr>
            </w:pPr>
            <w:r w:rsidRPr="003747CE">
              <w:rPr>
                <w:lang w:val="en-GB"/>
              </w:rPr>
              <w:t xml:space="preserve">0.0001041      </w:t>
            </w:r>
          </w:p>
        </w:tc>
        <w:tc>
          <w:tcPr>
            <w:tcW w:w="1547" w:type="dxa"/>
            <w:shd w:val="clear" w:color="auto" w:fill="FFF2CC" w:themeFill="accent4" w:themeFillTint="33"/>
            <w:vAlign w:val="center"/>
          </w:tcPr>
          <w:p w14:paraId="2D920B59" w14:textId="77777777" w:rsidR="00277C41" w:rsidRPr="003747CE" w:rsidRDefault="00277C41" w:rsidP="00A83E39">
            <w:pPr>
              <w:jc w:val="center"/>
              <w:rPr>
                <w:lang w:val="en-GB"/>
              </w:rPr>
            </w:pPr>
            <w:r w:rsidRPr="003747CE">
              <w:rPr>
                <w:lang w:val="en-GB"/>
              </w:rPr>
              <w:t>&lt; 0.0001 ***</w:t>
            </w:r>
          </w:p>
        </w:tc>
      </w:tr>
      <w:tr w:rsidR="00277C41" w:rsidRPr="003747CE" w14:paraId="172B6E3E" w14:textId="77777777" w:rsidTr="00A83E39">
        <w:trPr>
          <w:trHeight w:val="103"/>
        </w:trPr>
        <w:tc>
          <w:tcPr>
            <w:tcW w:w="4962" w:type="dxa"/>
            <w:shd w:val="clear" w:color="auto" w:fill="auto"/>
            <w:vAlign w:val="center"/>
          </w:tcPr>
          <w:p w14:paraId="23C2F0B4" w14:textId="77777777" w:rsidR="00277C41" w:rsidRPr="003747CE" w:rsidRDefault="00277C41" w:rsidP="00A83E39">
            <w:pPr>
              <w:ind w:left="29"/>
              <w:rPr>
                <w:lang w:val="en-GB"/>
              </w:rPr>
            </w:pPr>
            <w:proofErr w:type="spellStart"/>
            <w:r w:rsidRPr="003747CE">
              <w:rPr>
                <w:lang w:val="en-GB"/>
              </w:rPr>
              <w:t>Nodematch.category</w:t>
            </w:r>
            <w:proofErr w:type="spellEnd"/>
          </w:p>
        </w:tc>
        <w:tc>
          <w:tcPr>
            <w:tcW w:w="1359" w:type="dxa"/>
            <w:shd w:val="clear" w:color="auto" w:fill="auto"/>
            <w:vAlign w:val="center"/>
          </w:tcPr>
          <w:p w14:paraId="0898F55F" w14:textId="77777777" w:rsidR="00277C41" w:rsidRPr="003747CE" w:rsidRDefault="00277C41" w:rsidP="00A83E39">
            <w:pPr>
              <w:jc w:val="center"/>
              <w:rPr>
                <w:lang w:val="en-GB"/>
              </w:rPr>
            </w:pPr>
          </w:p>
        </w:tc>
        <w:tc>
          <w:tcPr>
            <w:tcW w:w="1236" w:type="dxa"/>
            <w:shd w:val="clear" w:color="auto" w:fill="auto"/>
            <w:vAlign w:val="center"/>
          </w:tcPr>
          <w:p w14:paraId="6F09F807" w14:textId="77777777" w:rsidR="00277C41" w:rsidRPr="003747CE" w:rsidRDefault="00277C41" w:rsidP="00A83E39">
            <w:pPr>
              <w:jc w:val="center"/>
              <w:rPr>
                <w:lang w:val="en-GB"/>
              </w:rPr>
            </w:pPr>
          </w:p>
        </w:tc>
        <w:tc>
          <w:tcPr>
            <w:tcW w:w="1547" w:type="dxa"/>
            <w:shd w:val="clear" w:color="auto" w:fill="auto"/>
            <w:vAlign w:val="center"/>
          </w:tcPr>
          <w:p w14:paraId="6C7D1F6C" w14:textId="77777777" w:rsidR="00277C41" w:rsidRPr="003747CE" w:rsidRDefault="00277C41" w:rsidP="00A83E39">
            <w:pPr>
              <w:jc w:val="center"/>
              <w:rPr>
                <w:lang w:val="en-GB"/>
              </w:rPr>
            </w:pPr>
          </w:p>
        </w:tc>
      </w:tr>
      <w:tr w:rsidR="00277C41" w:rsidRPr="003747CE" w14:paraId="7D8E2F15" w14:textId="77777777" w:rsidTr="00A83E39">
        <w:trPr>
          <w:trHeight w:val="103"/>
        </w:trPr>
        <w:tc>
          <w:tcPr>
            <w:tcW w:w="4962" w:type="dxa"/>
            <w:shd w:val="clear" w:color="auto" w:fill="FFF2CC" w:themeFill="accent4" w:themeFillTint="33"/>
            <w:vAlign w:val="center"/>
          </w:tcPr>
          <w:p w14:paraId="78310BAC" w14:textId="77777777" w:rsidR="00277C41" w:rsidRPr="003747CE" w:rsidRDefault="00277C41" w:rsidP="00A83E39">
            <w:pPr>
              <w:ind w:left="313"/>
              <w:rPr>
                <w:lang w:val="en-GB"/>
              </w:rPr>
            </w:pPr>
            <w:r w:rsidRPr="003747CE">
              <w:rPr>
                <w:lang w:val="en-GB"/>
              </w:rPr>
              <w:t>ICANN Stakeholder Group / Working Group</w:t>
            </w:r>
          </w:p>
        </w:tc>
        <w:tc>
          <w:tcPr>
            <w:tcW w:w="1359" w:type="dxa"/>
            <w:shd w:val="clear" w:color="auto" w:fill="FFF2CC" w:themeFill="accent4" w:themeFillTint="33"/>
            <w:vAlign w:val="center"/>
          </w:tcPr>
          <w:p w14:paraId="0C99CCCF" w14:textId="77777777" w:rsidR="00277C41" w:rsidRPr="003747CE" w:rsidRDefault="00277C41" w:rsidP="00A83E39">
            <w:pPr>
              <w:jc w:val="center"/>
              <w:rPr>
                <w:lang w:val="en-GB"/>
              </w:rPr>
            </w:pPr>
            <w:r w:rsidRPr="003747CE">
              <w:rPr>
                <w:lang w:val="en-GB"/>
              </w:rPr>
              <w:t xml:space="preserve">2.0432571 </w:t>
            </w:r>
          </w:p>
        </w:tc>
        <w:tc>
          <w:tcPr>
            <w:tcW w:w="1236" w:type="dxa"/>
            <w:shd w:val="clear" w:color="auto" w:fill="FFF2CC" w:themeFill="accent4" w:themeFillTint="33"/>
            <w:vAlign w:val="center"/>
          </w:tcPr>
          <w:p w14:paraId="0352D67A" w14:textId="77777777" w:rsidR="00277C41" w:rsidRPr="003747CE" w:rsidRDefault="00277C41" w:rsidP="00A83E39">
            <w:pPr>
              <w:jc w:val="center"/>
              <w:rPr>
                <w:lang w:val="en-GB"/>
              </w:rPr>
            </w:pPr>
            <w:r w:rsidRPr="003747CE">
              <w:rPr>
                <w:lang w:val="en-GB"/>
              </w:rPr>
              <w:t xml:space="preserve">0.3862606      </w:t>
            </w:r>
          </w:p>
        </w:tc>
        <w:tc>
          <w:tcPr>
            <w:tcW w:w="1547" w:type="dxa"/>
            <w:shd w:val="clear" w:color="auto" w:fill="FFF2CC" w:themeFill="accent4" w:themeFillTint="33"/>
            <w:vAlign w:val="center"/>
          </w:tcPr>
          <w:p w14:paraId="1BFABF6B" w14:textId="77777777" w:rsidR="00277C41" w:rsidRPr="003747CE" w:rsidRDefault="00277C41" w:rsidP="00A83E39">
            <w:pPr>
              <w:jc w:val="center"/>
              <w:rPr>
                <w:lang w:val="en-GB"/>
              </w:rPr>
            </w:pPr>
            <w:r w:rsidRPr="003747CE">
              <w:rPr>
                <w:lang w:val="en-GB"/>
              </w:rPr>
              <w:t>&lt; 0.0001 ***</w:t>
            </w:r>
          </w:p>
        </w:tc>
      </w:tr>
      <w:tr w:rsidR="00277C41" w:rsidRPr="003747CE" w14:paraId="3A898EFA" w14:textId="77777777" w:rsidTr="00A83E39">
        <w:trPr>
          <w:trHeight w:val="229"/>
        </w:trPr>
        <w:tc>
          <w:tcPr>
            <w:tcW w:w="4962" w:type="dxa"/>
            <w:shd w:val="clear" w:color="auto" w:fill="auto"/>
            <w:vAlign w:val="center"/>
          </w:tcPr>
          <w:p w14:paraId="52B126D9" w14:textId="77777777" w:rsidR="00277C41" w:rsidRPr="003747CE" w:rsidRDefault="00277C41" w:rsidP="00A83E39">
            <w:pPr>
              <w:ind w:left="313"/>
              <w:rPr>
                <w:lang w:val="en-GB"/>
              </w:rPr>
            </w:pPr>
            <w:r w:rsidRPr="003747CE">
              <w:rPr>
                <w:lang w:val="en-GB"/>
              </w:rPr>
              <w:t>Internet Consultancy Firm</w:t>
            </w:r>
          </w:p>
        </w:tc>
        <w:tc>
          <w:tcPr>
            <w:tcW w:w="1359" w:type="dxa"/>
            <w:shd w:val="clear" w:color="auto" w:fill="auto"/>
            <w:vAlign w:val="center"/>
          </w:tcPr>
          <w:p w14:paraId="712C3429" w14:textId="77777777" w:rsidR="00277C41" w:rsidRPr="003747CE" w:rsidRDefault="00277C41" w:rsidP="00A83E39">
            <w:pPr>
              <w:jc w:val="center"/>
              <w:rPr>
                <w:lang w:val="en-GB"/>
              </w:rPr>
            </w:pPr>
            <w:r w:rsidRPr="003747CE">
              <w:rPr>
                <w:lang w:val="en-GB"/>
              </w:rPr>
              <w:t>-</w:t>
            </w:r>
            <w:proofErr w:type="spellStart"/>
            <w:r w:rsidRPr="003747CE">
              <w:rPr>
                <w:lang w:val="en-GB"/>
              </w:rPr>
              <w:t>Inf</w:t>
            </w:r>
            <w:proofErr w:type="spellEnd"/>
          </w:p>
        </w:tc>
        <w:tc>
          <w:tcPr>
            <w:tcW w:w="1236" w:type="dxa"/>
            <w:shd w:val="clear" w:color="auto" w:fill="auto"/>
            <w:vAlign w:val="center"/>
          </w:tcPr>
          <w:p w14:paraId="47DA0739" w14:textId="77777777" w:rsidR="00277C41" w:rsidRPr="003747CE" w:rsidRDefault="00277C41" w:rsidP="00A83E39">
            <w:pPr>
              <w:jc w:val="center"/>
              <w:rPr>
                <w:lang w:val="en-GB"/>
              </w:rPr>
            </w:pPr>
            <w:r w:rsidRPr="003747CE">
              <w:rPr>
                <w:lang w:val="en-GB"/>
              </w:rPr>
              <w:t>0.0000000</w:t>
            </w:r>
          </w:p>
        </w:tc>
        <w:tc>
          <w:tcPr>
            <w:tcW w:w="1547" w:type="dxa"/>
            <w:shd w:val="clear" w:color="auto" w:fill="auto"/>
            <w:vAlign w:val="center"/>
          </w:tcPr>
          <w:p w14:paraId="1253F924" w14:textId="77777777" w:rsidR="00277C41" w:rsidRPr="003747CE" w:rsidRDefault="00277C41" w:rsidP="00A83E39">
            <w:pPr>
              <w:jc w:val="center"/>
              <w:rPr>
                <w:lang w:val="en-GB"/>
              </w:rPr>
            </w:pPr>
            <w:r w:rsidRPr="003747CE">
              <w:rPr>
                <w:lang w:val="en-GB"/>
              </w:rPr>
              <w:t>&lt;0.0001 ***</w:t>
            </w:r>
          </w:p>
        </w:tc>
      </w:tr>
      <w:tr w:rsidR="00277C41" w:rsidRPr="003747CE" w14:paraId="36C6208F" w14:textId="77777777" w:rsidTr="00A83E39">
        <w:trPr>
          <w:trHeight w:val="229"/>
        </w:trPr>
        <w:tc>
          <w:tcPr>
            <w:tcW w:w="4962" w:type="dxa"/>
            <w:shd w:val="clear" w:color="auto" w:fill="auto"/>
            <w:vAlign w:val="center"/>
          </w:tcPr>
          <w:p w14:paraId="4A3EEFCD" w14:textId="77777777" w:rsidR="00277C41" w:rsidRPr="003747CE" w:rsidRDefault="00277C41" w:rsidP="00A83E39">
            <w:pPr>
              <w:ind w:left="313"/>
              <w:rPr>
                <w:lang w:val="en-GB"/>
              </w:rPr>
            </w:pPr>
            <w:r w:rsidRPr="003747CE">
              <w:rPr>
                <w:lang w:val="en-GB"/>
              </w:rPr>
              <w:t>Internet Non-Profit</w:t>
            </w:r>
          </w:p>
        </w:tc>
        <w:tc>
          <w:tcPr>
            <w:tcW w:w="1359" w:type="dxa"/>
            <w:shd w:val="clear" w:color="auto" w:fill="auto"/>
            <w:vAlign w:val="center"/>
          </w:tcPr>
          <w:p w14:paraId="6B826349" w14:textId="77777777" w:rsidR="00277C41" w:rsidRPr="003747CE" w:rsidRDefault="00277C41" w:rsidP="00A83E39">
            <w:pPr>
              <w:jc w:val="center"/>
              <w:rPr>
                <w:lang w:val="en-GB"/>
              </w:rPr>
            </w:pPr>
            <w:r w:rsidRPr="003747CE">
              <w:rPr>
                <w:lang w:val="en-GB"/>
              </w:rPr>
              <w:t xml:space="preserve">0.1083298 </w:t>
            </w:r>
          </w:p>
        </w:tc>
        <w:tc>
          <w:tcPr>
            <w:tcW w:w="1236" w:type="dxa"/>
            <w:shd w:val="clear" w:color="auto" w:fill="auto"/>
            <w:vAlign w:val="center"/>
          </w:tcPr>
          <w:p w14:paraId="0427E33B" w14:textId="77777777" w:rsidR="00277C41" w:rsidRPr="003747CE" w:rsidRDefault="00277C41" w:rsidP="00A83E39">
            <w:pPr>
              <w:jc w:val="center"/>
              <w:rPr>
                <w:lang w:val="en-GB"/>
              </w:rPr>
            </w:pPr>
            <w:r w:rsidRPr="003747CE">
              <w:rPr>
                <w:lang w:val="en-GB"/>
              </w:rPr>
              <w:t xml:space="preserve">0.1635329      </w:t>
            </w:r>
          </w:p>
        </w:tc>
        <w:tc>
          <w:tcPr>
            <w:tcW w:w="1547" w:type="dxa"/>
            <w:shd w:val="clear" w:color="auto" w:fill="auto"/>
            <w:vAlign w:val="center"/>
          </w:tcPr>
          <w:p w14:paraId="0944FDB8" w14:textId="77777777" w:rsidR="00277C41" w:rsidRPr="003747CE" w:rsidRDefault="00277C41" w:rsidP="00A83E39">
            <w:pPr>
              <w:jc w:val="center"/>
              <w:rPr>
                <w:lang w:val="en-GB"/>
              </w:rPr>
            </w:pPr>
            <w:r w:rsidRPr="003747CE">
              <w:rPr>
                <w:lang w:val="en-GB"/>
              </w:rPr>
              <w:t>0.507730</w:t>
            </w:r>
          </w:p>
        </w:tc>
      </w:tr>
      <w:tr w:rsidR="00277C41" w:rsidRPr="003747CE" w14:paraId="62A07F59" w14:textId="77777777" w:rsidTr="00A83E39">
        <w:trPr>
          <w:trHeight w:val="199"/>
        </w:trPr>
        <w:tc>
          <w:tcPr>
            <w:tcW w:w="4962" w:type="dxa"/>
            <w:shd w:val="clear" w:color="auto" w:fill="auto"/>
            <w:vAlign w:val="center"/>
          </w:tcPr>
          <w:p w14:paraId="69DBE7F0" w14:textId="77777777" w:rsidR="00277C41" w:rsidRPr="003747CE" w:rsidRDefault="00277C41" w:rsidP="00A83E39">
            <w:pPr>
              <w:ind w:left="313"/>
              <w:rPr>
                <w:lang w:val="en-GB"/>
              </w:rPr>
            </w:pPr>
            <w:r w:rsidRPr="003747CE">
              <w:rPr>
                <w:lang w:val="en-GB"/>
              </w:rPr>
              <w:t>Journalist</w:t>
            </w:r>
          </w:p>
        </w:tc>
        <w:tc>
          <w:tcPr>
            <w:tcW w:w="1359" w:type="dxa"/>
            <w:shd w:val="clear" w:color="auto" w:fill="auto"/>
            <w:vAlign w:val="center"/>
          </w:tcPr>
          <w:p w14:paraId="345DC1CC" w14:textId="77777777" w:rsidR="00277C41" w:rsidRPr="003747CE" w:rsidRDefault="00277C41" w:rsidP="00A83E39">
            <w:pPr>
              <w:jc w:val="center"/>
              <w:rPr>
                <w:lang w:val="en-GB"/>
              </w:rPr>
            </w:pPr>
            <w:r w:rsidRPr="003747CE">
              <w:rPr>
                <w:lang w:val="en-GB"/>
              </w:rPr>
              <w:t xml:space="preserve">-1.2803246 </w:t>
            </w:r>
          </w:p>
        </w:tc>
        <w:tc>
          <w:tcPr>
            <w:tcW w:w="1236" w:type="dxa"/>
            <w:shd w:val="clear" w:color="auto" w:fill="auto"/>
            <w:vAlign w:val="center"/>
          </w:tcPr>
          <w:p w14:paraId="0BE08043" w14:textId="77777777" w:rsidR="00277C41" w:rsidRPr="003747CE" w:rsidRDefault="00277C41" w:rsidP="00A83E39">
            <w:pPr>
              <w:jc w:val="center"/>
              <w:rPr>
                <w:lang w:val="en-GB"/>
              </w:rPr>
            </w:pPr>
            <w:r w:rsidRPr="003747CE">
              <w:rPr>
                <w:lang w:val="en-GB"/>
              </w:rPr>
              <w:t xml:space="preserve">1.0198018      </w:t>
            </w:r>
          </w:p>
        </w:tc>
        <w:tc>
          <w:tcPr>
            <w:tcW w:w="1547" w:type="dxa"/>
            <w:shd w:val="clear" w:color="auto" w:fill="auto"/>
            <w:vAlign w:val="center"/>
          </w:tcPr>
          <w:p w14:paraId="3EA532F4" w14:textId="77777777" w:rsidR="00277C41" w:rsidRPr="003747CE" w:rsidRDefault="00277C41" w:rsidP="00A83E39">
            <w:pPr>
              <w:jc w:val="center"/>
              <w:rPr>
                <w:lang w:val="en-GB"/>
              </w:rPr>
            </w:pPr>
            <w:r w:rsidRPr="003747CE">
              <w:rPr>
                <w:lang w:val="en-GB"/>
              </w:rPr>
              <w:t>0.209382</w:t>
            </w:r>
          </w:p>
        </w:tc>
      </w:tr>
      <w:tr w:rsidR="00277C41" w:rsidRPr="003747CE" w14:paraId="7F040B42" w14:textId="77777777" w:rsidTr="00A83E39">
        <w:trPr>
          <w:trHeight w:val="103"/>
        </w:trPr>
        <w:tc>
          <w:tcPr>
            <w:tcW w:w="4962" w:type="dxa"/>
            <w:shd w:val="clear" w:color="auto" w:fill="FFF2CC" w:themeFill="accent4" w:themeFillTint="33"/>
            <w:vAlign w:val="center"/>
          </w:tcPr>
          <w:p w14:paraId="424268D3" w14:textId="77777777" w:rsidR="00277C41" w:rsidRPr="003747CE" w:rsidRDefault="00277C41" w:rsidP="00A83E39">
            <w:pPr>
              <w:ind w:left="313"/>
              <w:rPr>
                <w:lang w:val="en-GB"/>
              </w:rPr>
            </w:pPr>
            <w:r w:rsidRPr="003747CE">
              <w:rPr>
                <w:lang w:val="en-GB"/>
              </w:rPr>
              <w:t>Law Firm / Plaintiff</w:t>
            </w:r>
          </w:p>
        </w:tc>
        <w:tc>
          <w:tcPr>
            <w:tcW w:w="1359" w:type="dxa"/>
            <w:shd w:val="clear" w:color="auto" w:fill="FFF2CC" w:themeFill="accent4" w:themeFillTint="33"/>
            <w:vAlign w:val="center"/>
          </w:tcPr>
          <w:p w14:paraId="08BC4B49" w14:textId="77777777" w:rsidR="00277C41" w:rsidRPr="003747CE" w:rsidRDefault="00277C41" w:rsidP="00A83E39">
            <w:pPr>
              <w:jc w:val="center"/>
              <w:rPr>
                <w:lang w:val="en-GB"/>
              </w:rPr>
            </w:pPr>
            <w:r w:rsidRPr="003747CE">
              <w:rPr>
                <w:lang w:val="en-GB"/>
              </w:rPr>
              <w:t xml:space="preserve">-0.9980504 </w:t>
            </w:r>
          </w:p>
        </w:tc>
        <w:tc>
          <w:tcPr>
            <w:tcW w:w="1236" w:type="dxa"/>
            <w:shd w:val="clear" w:color="auto" w:fill="FFF2CC" w:themeFill="accent4" w:themeFillTint="33"/>
            <w:vAlign w:val="center"/>
          </w:tcPr>
          <w:p w14:paraId="3AA0E0D3" w14:textId="77777777" w:rsidR="00277C41" w:rsidRPr="003747CE" w:rsidRDefault="00277C41" w:rsidP="00A83E39">
            <w:pPr>
              <w:jc w:val="center"/>
              <w:rPr>
                <w:lang w:val="en-GB"/>
              </w:rPr>
            </w:pPr>
            <w:r w:rsidRPr="003747CE">
              <w:rPr>
                <w:lang w:val="en-GB"/>
              </w:rPr>
              <w:t xml:space="preserve">0.3846324      </w:t>
            </w:r>
          </w:p>
        </w:tc>
        <w:tc>
          <w:tcPr>
            <w:tcW w:w="1547" w:type="dxa"/>
            <w:shd w:val="clear" w:color="auto" w:fill="FFF2CC" w:themeFill="accent4" w:themeFillTint="33"/>
            <w:vAlign w:val="center"/>
          </w:tcPr>
          <w:p w14:paraId="48DDC60F" w14:textId="77777777" w:rsidR="00277C41" w:rsidRPr="003747CE" w:rsidRDefault="00277C41" w:rsidP="00A83E39">
            <w:pPr>
              <w:jc w:val="center"/>
              <w:rPr>
                <w:lang w:val="en-GB"/>
              </w:rPr>
            </w:pPr>
            <w:r w:rsidRPr="003747CE">
              <w:rPr>
                <w:lang w:val="en-GB"/>
              </w:rPr>
              <w:t>0.009498 **</w:t>
            </w:r>
          </w:p>
        </w:tc>
      </w:tr>
      <w:tr w:rsidR="00277C41" w:rsidRPr="003747CE" w14:paraId="283536C2" w14:textId="77777777" w:rsidTr="00A83E39">
        <w:trPr>
          <w:trHeight w:val="229"/>
        </w:trPr>
        <w:tc>
          <w:tcPr>
            <w:tcW w:w="4962" w:type="dxa"/>
            <w:shd w:val="clear" w:color="auto" w:fill="auto"/>
            <w:vAlign w:val="center"/>
          </w:tcPr>
          <w:p w14:paraId="5930CCB3" w14:textId="77777777" w:rsidR="00277C41" w:rsidRPr="003747CE" w:rsidRDefault="00277C41" w:rsidP="00A83E39">
            <w:pPr>
              <w:ind w:left="313"/>
              <w:rPr>
                <w:lang w:val="en-GB"/>
              </w:rPr>
            </w:pPr>
            <w:r w:rsidRPr="003747CE">
              <w:rPr>
                <w:lang w:val="en-GB"/>
              </w:rPr>
              <w:t>Not Known</w:t>
            </w:r>
          </w:p>
        </w:tc>
        <w:tc>
          <w:tcPr>
            <w:tcW w:w="1359" w:type="dxa"/>
            <w:shd w:val="clear" w:color="auto" w:fill="auto"/>
            <w:vAlign w:val="center"/>
          </w:tcPr>
          <w:p w14:paraId="4029D441" w14:textId="77777777" w:rsidR="00277C41" w:rsidRPr="003747CE" w:rsidRDefault="00277C41" w:rsidP="00A83E39">
            <w:pPr>
              <w:jc w:val="center"/>
              <w:rPr>
                <w:lang w:val="en-GB"/>
              </w:rPr>
            </w:pPr>
            <w:r w:rsidRPr="003747CE">
              <w:rPr>
                <w:lang w:val="en-GB"/>
              </w:rPr>
              <w:t xml:space="preserve">0.3737011 </w:t>
            </w:r>
          </w:p>
        </w:tc>
        <w:tc>
          <w:tcPr>
            <w:tcW w:w="1236" w:type="dxa"/>
            <w:shd w:val="clear" w:color="auto" w:fill="auto"/>
            <w:vAlign w:val="center"/>
          </w:tcPr>
          <w:p w14:paraId="1FC0AAAA" w14:textId="77777777" w:rsidR="00277C41" w:rsidRPr="003747CE" w:rsidRDefault="00277C41" w:rsidP="00A83E39">
            <w:pPr>
              <w:jc w:val="center"/>
              <w:rPr>
                <w:lang w:val="en-GB"/>
              </w:rPr>
            </w:pPr>
            <w:r w:rsidRPr="003747CE">
              <w:rPr>
                <w:lang w:val="en-GB"/>
              </w:rPr>
              <w:t xml:space="preserve">0.7624666      </w:t>
            </w:r>
          </w:p>
        </w:tc>
        <w:tc>
          <w:tcPr>
            <w:tcW w:w="1547" w:type="dxa"/>
            <w:shd w:val="clear" w:color="auto" w:fill="auto"/>
            <w:vAlign w:val="center"/>
          </w:tcPr>
          <w:p w14:paraId="3D60088F" w14:textId="77777777" w:rsidR="00277C41" w:rsidRPr="003747CE" w:rsidRDefault="00277C41" w:rsidP="00A83E39">
            <w:pPr>
              <w:jc w:val="center"/>
              <w:rPr>
                <w:lang w:val="en-GB"/>
              </w:rPr>
            </w:pPr>
            <w:r w:rsidRPr="003747CE">
              <w:rPr>
                <w:lang w:val="en-GB"/>
              </w:rPr>
              <w:t>0.624074</w:t>
            </w:r>
          </w:p>
        </w:tc>
      </w:tr>
      <w:tr w:rsidR="00277C41" w:rsidRPr="003747CE" w14:paraId="3823D950" w14:textId="77777777" w:rsidTr="00A83E39">
        <w:trPr>
          <w:trHeight w:val="185"/>
        </w:trPr>
        <w:tc>
          <w:tcPr>
            <w:tcW w:w="4962" w:type="dxa"/>
            <w:vAlign w:val="center"/>
          </w:tcPr>
          <w:p w14:paraId="1C827E08" w14:textId="77777777" w:rsidR="00277C41" w:rsidRPr="003747CE" w:rsidRDefault="00277C41" w:rsidP="00A83E39">
            <w:pPr>
              <w:ind w:left="313"/>
              <w:rPr>
                <w:lang w:val="en-GB"/>
              </w:rPr>
            </w:pPr>
            <w:r w:rsidRPr="003747CE">
              <w:rPr>
                <w:lang w:val="en-GB"/>
              </w:rPr>
              <w:t>Regional At-Large Organization</w:t>
            </w:r>
          </w:p>
        </w:tc>
        <w:tc>
          <w:tcPr>
            <w:tcW w:w="1359" w:type="dxa"/>
            <w:shd w:val="clear" w:color="auto" w:fill="auto"/>
            <w:vAlign w:val="center"/>
          </w:tcPr>
          <w:p w14:paraId="5529AC4E" w14:textId="77777777" w:rsidR="00277C41" w:rsidRPr="003747CE" w:rsidRDefault="00277C41" w:rsidP="00A83E39">
            <w:pPr>
              <w:jc w:val="center"/>
              <w:rPr>
                <w:lang w:val="en-GB"/>
              </w:rPr>
            </w:pPr>
            <w:r w:rsidRPr="003747CE">
              <w:rPr>
                <w:lang w:val="en-GB"/>
              </w:rPr>
              <w:t xml:space="preserve">1.3752830 </w:t>
            </w:r>
          </w:p>
        </w:tc>
        <w:tc>
          <w:tcPr>
            <w:tcW w:w="1236" w:type="dxa"/>
            <w:shd w:val="clear" w:color="auto" w:fill="auto"/>
            <w:vAlign w:val="center"/>
          </w:tcPr>
          <w:p w14:paraId="3AC41D67" w14:textId="77777777" w:rsidR="00277C41" w:rsidRPr="003747CE" w:rsidRDefault="00277C41" w:rsidP="00A83E39">
            <w:pPr>
              <w:jc w:val="center"/>
              <w:rPr>
                <w:lang w:val="en-GB"/>
              </w:rPr>
            </w:pPr>
            <w:r w:rsidRPr="003747CE">
              <w:rPr>
                <w:lang w:val="en-GB"/>
              </w:rPr>
              <w:t>1.2262259</w:t>
            </w:r>
          </w:p>
        </w:tc>
        <w:tc>
          <w:tcPr>
            <w:tcW w:w="1547" w:type="dxa"/>
            <w:shd w:val="clear" w:color="auto" w:fill="auto"/>
            <w:vAlign w:val="center"/>
          </w:tcPr>
          <w:p w14:paraId="10A8D5EF" w14:textId="77777777" w:rsidR="00277C41" w:rsidRPr="003747CE" w:rsidRDefault="00277C41" w:rsidP="00A83E39">
            <w:pPr>
              <w:jc w:val="center"/>
              <w:rPr>
                <w:lang w:val="en-GB"/>
              </w:rPr>
            </w:pPr>
            <w:r w:rsidRPr="003747CE">
              <w:rPr>
                <w:lang w:val="en-GB"/>
              </w:rPr>
              <w:t>0.262117</w:t>
            </w:r>
          </w:p>
        </w:tc>
      </w:tr>
      <w:tr w:rsidR="00277C41" w:rsidRPr="003747CE" w14:paraId="5A67F842" w14:textId="77777777" w:rsidTr="00A83E39">
        <w:trPr>
          <w:trHeight w:val="229"/>
        </w:trPr>
        <w:tc>
          <w:tcPr>
            <w:tcW w:w="4962" w:type="dxa"/>
            <w:vAlign w:val="center"/>
          </w:tcPr>
          <w:p w14:paraId="5254A156" w14:textId="77777777" w:rsidR="00277C41" w:rsidRPr="003747CE" w:rsidRDefault="00277C41" w:rsidP="00A83E39">
            <w:pPr>
              <w:ind w:left="313"/>
              <w:rPr>
                <w:lang w:val="en-GB"/>
              </w:rPr>
            </w:pPr>
            <w:r w:rsidRPr="003747CE">
              <w:rPr>
                <w:lang w:val="en-GB"/>
              </w:rPr>
              <w:t>Registrant</w:t>
            </w:r>
          </w:p>
        </w:tc>
        <w:tc>
          <w:tcPr>
            <w:tcW w:w="1359" w:type="dxa"/>
            <w:shd w:val="clear" w:color="auto" w:fill="auto"/>
            <w:vAlign w:val="center"/>
          </w:tcPr>
          <w:p w14:paraId="13BE40D4" w14:textId="77777777" w:rsidR="00277C41" w:rsidRPr="003747CE" w:rsidRDefault="00277C41" w:rsidP="00A83E39">
            <w:pPr>
              <w:jc w:val="center"/>
              <w:rPr>
                <w:lang w:val="en-GB"/>
              </w:rPr>
            </w:pPr>
            <w:r w:rsidRPr="003747CE">
              <w:rPr>
                <w:lang w:val="en-GB"/>
              </w:rPr>
              <w:t xml:space="preserve">-1.3037815 </w:t>
            </w:r>
          </w:p>
        </w:tc>
        <w:tc>
          <w:tcPr>
            <w:tcW w:w="1236" w:type="dxa"/>
            <w:shd w:val="clear" w:color="auto" w:fill="auto"/>
            <w:vAlign w:val="center"/>
          </w:tcPr>
          <w:p w14:paraId="04C9BDAA" w14:textId="77777777" w:rsidR="00277C41" w:rsidRPr="003747CE" w:rsidRDefault="00277C41" w:rsidP="00A83E39">
            <w:pPr>
              <w:jc w:val="center"/>
              <w:rPr>
                <w:lang w:val="en-GB"/>
              </w:rPr>
            </w:pPr>
            <w:r w:rsidRPr="003747CE">
              <w:rPr>
                <w:lang w:val="en-GB"/>
              </w:rPr>
              <w:t xml:space="preserve">1.0198265      </w:t>
            </w:r>
          </w:p>
        </w:tc>
        <w:tc>
          <w:tcPr>
            <w:tcW w:w="1547" w:type="dxa"/>
            <w:shd w:val="clear" w:color="auto" w:fill="auto"/>
            <w:vAlign w:val="center"/>
          </w:tcPr>
          <w:p w14:paraId="4A7DE285" w14:textId="77777777" w:rsidR="00277C41" w:rsidRPr="003747CE" w:rsidRDefault="00277C41" w:rsidP="00A83E39">
            <w:pPr>
              <w:jc w:val="center"/>
              <w:rPr>
                <w:lang w:val="en-GB"/>
              </w:rPr>
            </w:pPr>
            <w:r w:rsidRPr="003747CE">
              <w:rPr>
                <w:lang w:val="en-GB"/>
              </w:rPr>
              <w:t xml:space="preserve">0.201169   </w:t>
            </w:r>
          </w:p>
        </w:tc>
      </w:tr>
      <w:tr w:rsidR="00277C41" w:rsidRPr="003747CE" w14:paraId="26A4CD70" w14:textId="77777777" w:rsidTr="00A83E39">
        <w:trPr>
          <w:trHeight w:val="229"/>
        </w:trPr>
        <w:tc>
          <w:tcPr>
            <w:tcW w:w="4962" w:type="dxa"/>
            <w:vAlign w:val="center"/>
          </w:tcPr>
          <w:p w14:paraId="61ABE40D" w14:textId="77777777" w:rsidR="00277C41" w:rsidRPr="003747CE" w:rsidRDefault="00277C41" w:rsidP="00A83E39">
            <w:pPr>
              <w:ind w:left="313"/>
              <w:rPr>
                <w:lang w:val="en-GB"/>
              </w:rPr>
            </w:pPr>
            <w:r w:rsidRPr="003747CE">
              <w:rPr>
                <w:lang w:val="en-GB"/>
              </w:rPr>
              <w:t>Registrar</w:t>
            </w:r>
          </w:p>
        </w:tc>
        <w:tc>
          <w:tcPr>
            <w:tcW w:w="1359" w:type="dxa"/>
            <w:shd w:val="clear" w:color="auto" w:fill="auto"/>
            <w:vAlign w:val="center"/>
          </w:tcPr>
          <w:p w14:paraId="1A58AC07" w14:textId="77777777" w:rsidR="00277C41" w:rsidRPr="003747CE" w:rsidRDefault="00277C41" w:rsidP="00A83E39">
            <w:pPr>
              <w:jc w:val="center"/>
              <w:rPr>
                <w:lang w:val="en-GB"/>
              </w:rPr>
            </w:pPr>
            <w:r w:rsidRPr="003747CE">
              <w:rPr>
                <w:lang w:val="en-GB"/>
              </w:rPr>
              <w:t>-</w:t>
            </w:r>
            <w:proofErr w:type="spellStart"/>
            <w:r w:rsidRPr="003747CE">
              <w:rPr>
                <w:lang w:val="en-GB"/>
              </w:rPr>
              <w:t>Inf</w:t>
            </w:r>
            <w:proofErr w:type="spellEnd"/>
          </w:p>
        </w:tc>
        <w:tc>
          <w:tcPr>
            <w:tcW w:w="1236" w:type="dxa"/>
            <w:shd w:val="clear" w:color="auto" w:fill="auto"/>
            <w:vAlign w:val="center"/>
          </w:tcPr>
          <w:p w14:paraId="56CC5232" w14:textId="77777777" w:rsidR="00277C41" w:rsidRPr="003747CE" w:rsidRDefault="00277C41" w:rsidP="00A83E39">
            <w:pPr>
              <w:jc w:val="center"/>
              <w:rPr>
                <w:lang w:val="en-GB"/>
              </w:rPr>
            </w:pPr>
            <w:r w:rsidRPr="003747CE">
              <w:rPr>
                <w:lang w:val="en-GB"/>
              </w:rPr>
              <w:t>0.0000000</w:t>
            </w:r>
          </w:p>
        </w:tc>
        <w:tc>
          <w:tcPr>
            <w:tcW w:w="1547" w:type="dxa"/>
            <w:shd w:val="clear" w:color="auto" w:fill="auto"/>
            <w:vAlign w:val="center"/>
          </w:tcPr>
          <w:p w14:paraId="777A3734" w14:textId="77777777" w:rsidR="00277C41" w:rsidRPr="003747CE" w:rsidRDefault="00277C41" w:rsidP="00A83E39">
            <w:pPr>
              <w:jc w:val="center"/>
              <w:rPr>
                <w:lang w:val="en-GB"/>
              </w:rPr>
            </w:pPr>
            <w:r w:rsidRPr="003747CE">
              <w:rPr>
                <w:lang w:val="en-GB"/>
              </w:rPr>
              <w:t>&lt;0.0001 ***</w:t>
            </w:r>
          </w:p>
        </w:tc>
      </w:tr>
      <w:tr w:rsidR="00277C41" w:rsidRPr="003747CE" w14:paraId="1F776D6D" w14:textId="77777777" w:rsidTr="00A83E39">
        <w:trPr>
          <w:trHeight w:val="103"/>
        </w:trPr>
        <w:tc>
          <w:tcPr>
            <w:tcW w:w="4962" w:type="dxa"/>
            <w:vAlign w:val="center"/>
          </w:tcPr>
          <w:p w14:paraId="1B6A0BCB" w14:textId="77777777" w:rsidR="00277C41" w:rsidRPr="003747CE" w:rsidRDefault="00277C41" w:rsidP="00A83E39">
            <w:pPr>
              <w:ind w:left="313"/>
              <w:rPr>
                <w:lang w:val="en-GB"/>
              </w:rPr>
            </w:pPr>
            <w:r w:rsidRPr="003747CE">
              <w:rPr>
                <w:lang w:val="en-GB"/>
              </w:rPr>
              <w:t xml:space="preserve">Registry / New </w:t>
            </w:r>
            <w:proofErr w:type="spellStart"/>
            <w:r w:rsidRPr="003747CE">
              <w:rPr>
                <w:lang w:val="en-GB"/>
              </w:rPr>
              <w:t>gTLD</w:t>
            </w:r>
            <w:proofErr w:type="spellEnd"/>
            <w:r w:rsidRPr="003747CE">
              <w:rPr>
                <w:lang w:val="en-GB"/>
              </w:rPr>
              <w:t xml:space="preserve"> Applicant</w:t>
            </w:r>
          </w:p>
        </w:tc>
        <w:tc>
          <w:tcPr>
            <w:tcW w:w="1359" w:type="dxa"/>
            <w:shd w:val="clear" w:color="auto" w:fill="auto"/>
            <w:vAlign w:val="center"/>
          </w:tcPr>
          <w:p w14:paraId="4E5336DF" w14:textId="77777777" w:rsidR="00277C41" w:rsidRPr="003747CE" w:rsidRDefault="00277C41" w:rsidP="00A83E39">
            <w:pPr>
              <w:jc w:val="center"/>
              <w:rPr>
                <w:lang w:val="en-GB"/>
              </w:rPr>
            </w:pPr>
            <w:r w:rsidRPr="003747CE">
              <w:rPr>
                <w:lang w:val="en-GB"/>
              </w:rPr>
              <w:t xml:space="preserve">0.5951858 </w:t>
            </w:r>
          </w:p>
        </w:tc>
        <w:tc>
          <w:tcPr>
            <w:tcW w:w="1236" w:type="dxa"/>
            <w:shd w:val="clear" w:color="auto" w:fill="auto"/>
            <w:vAlign w:val="center"/>
          </w:tcPr>
          <w:p w14:paraId="696CF7D4" w14:textId="77777777" w:rsidR="00277C41" w:rsidRPr="003747CE" w:rsidRDefault="00277C41" w:rsidP="00A83E39">
            <w:pPr>
              <w:jc w:val="center"/>
              <w:rPr>
                <w:lang w:val="en-GB"/>
              </w:rPr>
            </w:pPr>
            <w:r w:rsidRPr="003747CE">
              <w:rPr>
                <w:lang w:val="en-GB"/>
              </w:rPr>
              <w:t xml:space="preserve">0.7300227      </w:t>
            </w:r>
          </w:p>
        </w:tc>
        <w:tc>
          <w:tcPr>
            <w:tcW w:w="1547" w:type="dxa"/>
            <w:shd w:val="clear" w:color="auto" w:fill="auto"/>
            <w:vAlign w:val="center"/>
          </w:tcPr>
          <w:p w14:paraId="146C72A9" w14:textId="77777777" w:rsidR="00277C41" w:rsidRPr="003747CE" w:rsidRDefault="00277C41" w:rsidP="00A83E39">
            <w:pPr>
              <w:jc w:val="center"/>
              <w:rPr>
                <w:lang w:val="en-GB"/>
              </w:rPr>
            </w:pPr>
            <w:r w:rsidRPr="003747CE">
              <w:rPr>
                <w:lang w:val="en-GB"/>
              </w:rPr>
              <w:t>0.414950</w:t>
            </w:r>
          </w:p>
        </w:tc>
      </w:tr>
      <w:tr w:rsidR="00277C41" w:rsidRPr="003747CE" w14:paraId="0A0AF181" w14:textId="77777777" w:rsidTr="00A83E39">
        <w:trPr>
          <w:trHeight w:val="103"/>
        </w:trPr>
        <w:tc>
          <w:tcPr>
            <w:tcW w:w="4962" w:type="dxa"/>
            <w:tcBorders>
              <w:bottom w:val="single" w:sz="4" w:space="0" w:color="auto"/>
            </w:tcBorders>
            <w:vAlign w:val="center"/>
          </w:tcPr>
          <w:p w14:paraId="43ADB2A2" w14:textId="77777777" w:rsidR="00277C41" w:rsidRPr="003747CE" w:rsidRDefault="00277C41" w:rsidP="00A83E39">
            <w:pPr>
              <w:ind w:left="313"/>
              <w:rPr>
                <w:lang w:val="en-GB"/>
              </w:rPr>
            </w:pPr>
            <w:r w:rsidRPr="003747CE">
              <w:rPr>
                <w:lang w:val="en-GB"/>
              </w:rPr>
              <w:t>Trade Association</w:t>
            </w:r>
          </w:p>
        </w:tc>
        <w:tc>
          <w:tcPr>
            <w:tcW w:w="1359" w:type="dxa"/>
            <w:tcBorders>
              <w:bottom w:val="single" w:sz="4" w:space="0" w:color="auto"/>
            </w:tcBorders>
            <w:shd w:val="clear" w:color="auto" w:fill="auto"/>
            <w:vAlign w:val="center"/>
          </w:tcPr>
          <w:p w14:paraId="79AAC7FD" w14:textId="77777777" w:rsidR="00277C41" w:rsidRPr="003747CE" w:rsidRDefault="00277C41" w:rsidP="00A83E39">
            <w:pPr>
              <w:jc w:val="center"/>
              <w:rPr>
                <w:lang w:val="en-GB"/>
              </w:rPr>
            </w:pPr>
            <w:r w:rsidRPr="003747CE">
              <w:rPr>
                <w:lang w:val="en-GB"/>
              </w:rPr>
              <w:t>-</w:t>
            </w:r>
            <w:proofErr w:type="spellStart"/>
            <w:r w:rsidRPr="003747CE">
              <w:rPr>
                <w:lang w:val="en-GB"/>
              </w:rPr>
              <w:t>Inf</w:t>
            </w:r>
            <w:proofErr w:type="spellEnd"/>
          </w:p>
        </w:tc>
        <w:tc>
          <w:tcPr>
            <w:tcW w:w="1236" w:type="dxa"/>
            <w:tcBorders>
              <w:bottom w:val="single" w:sz="4" w:space="0" w:color="auto"/>
            </w:tcBorders>
            <w:shd w:val="clear" w:color="auto" w:fill="auto"/>
            <w:vAlign w:val="center"/>
          </w:tcPr>
          <w:p w14:paraId="27C73EA1" w14:textId="77777777" w:rsidR="00277C41" w:rsidRPr="003747CE" w:rsidRDefault="00277C41" w:rsidP="00A83E39">
            <w:pPr>
              <w:jc w:val="center"/>
              <w:rPr>
                <w:lang w:val="en-GB"/>
              </w:rPr>
            </w:pPr>
            <w:r w:rsidRPr="003747CE">
              <w:rPr>
                <w:lang w:val="en-GB"/>
              </w:rPr>
              <w:t>0.0000000</w:t>
            </w:r>
          </w:p>
        </w:tc>
        <w:tc>
          <w:tcPr>
            <w:tcW w:w="1547" w:type="dxa"/>
            <w:tcBorders>
              <w:bottom w:val="single" w:sz="4" w:space="0" w:color="auto"/>
            </w:tcBorders>
            <w:shd w:val="clear" w:color="auto" w:fill="auto"/>
            <w:vAlign w:val="center"/>
          </w:tcPr>
          <w:p w14:paraId="21BA7AEF" w14:textId="77777777" w:rsidR="00277C41" w:rsidRPr="003747CE" w:rsidRDefault="00277C41" w:rsidP="00A83E39">
            <w:pPr>
              <w:jc w:val="center"/>
              <w:rPr>
                <w:lang w:val="en-GB"/>
              </w:rPr>
            </w:pPr>
            <w:r w:rsidRPr="003747CE">
              <w:rPr>
                <w:lang w:val="en-GB"/>
              </w:rPr>
              <w:t>&lt;0.0001 ***</w:t>
            </w:r>
          </w:p>
        </w:tc>
      </w:tr>
    </w:tbl>
    <w:p w14:paraId="1C280465" w14:textId="74A805B1" w:rsidR="003C6644" w:rsidRPr="003747CE" w:rsidRDefault="00922719" w:rsidP="00922719">
      <w:pPr>
        <w:spacing w:before="120" w:after="240" w:line="360" w:lineRule="auto"/>
        <w:jc w:val="center"/>
        <w:rPr>
          <w:b/>
          <w:lang w:val="en-GB"/>
        </w:rPr>
      </w:pPr>
      <w:r w:rsidRPr="003747CE">
        <w:rPr>
          <w:b/>
          <w:lang w:val="en-GB"/>
        </w:rPr>
        <w:t xml:space="preserve">Table 2 p*/ERGM Results </w:t>
      </w:r>
      <w:r w:rsidR="009C3C34">
        <w:rPr>
          <w:b/>
          <w:lang w:val="en-GB"/>
        </w:rPr>
        <w:t>for network with Burdensome DCND</w:t>
      </w:r>
    </w:p>
    <w:tbl>
      <w:tblPr>
        <w:tblStyle w:val="TableGrid"/>
        <w:tblW w:w="91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1464"/>
        <w:gridCol w:w="1236"/>
        <w:gridCol w:w="1442"/>
      </w:tblGrid>
      <w:tr w:rsidR="00907B87" w:rsidRPr="003747CE" w14:paraId="796016DB" w14:textId="77777777" w:rsidTr="00907B87">
        <w:trPr>
          <w:trHeight w:val="409"/>
        </w:trPr>
        <w:tc>
          <w:tcPr>
            <w:tcW w:w="4962" w:type="dxa"/>
            <w:tcBorders>
              <w:top w:val="single" w:sz="4" w:space="0" w:color="auto"/>
            </w:tcBorders>
            <w:vAlign w:val="center"/>
          </w:tcPr>
          <w:p w14:paraId="52B1EB9D" w14:textId="77777777" w:rsidR="00885D14" w:rsidRPr="003747CE" w:rsidRDefault="00885D14" w:rsidP="00933196">
            <w:pPr>
              <w:jc w:val="center"/>
              <w:rPr>
                <w:lang w:val="en-GB"/>
              </w:rPr>
            </w:pPr>
          </w:p>
        </w:tc>
        <w:tc>
          <w:tcPr>
            <w:tcW w:w="4142" w:type="dxa"/>
            <w:gridSpan w:val="3"/>
            <w:tcBorders>
              <w:top w:val="single" w:sz="4" w:space="0" w:color="auto"/>
              <w:bottom w:val="single" w:sz="4" w:space="0" w:color="auto"/>
            </w:tcBorders>
            <w:vAlign w:val="center"/>
          </w:tcPr>
          <w:p w14:paraId="0EA8B623" w14:textId="77777777" w:rsidR="00885D14" w:rsidRPr="003747CE" w:rsidRDefault="00885D14" w:rsidP="00933196">
            <w:pPr>
              <w:jc w:val="center"/>
              <w:rPr>
                <w:b/>
                <w:lang w:val="en-GB"/>
              </w:rPr>
            </w:pPr>
            <w:r w:rsidRPr="003747CE">
              <w:rPr>
                <w:b/>
                <w:lang w:val="en-GB"/>
              </w:rPr>
              <w:t>Compromise ICANN Integrity</w:t>
            </w:r>
          </w:p>
        </w:tc>
      </w:tr>
      <w:tr w:rsidR="00907B87" w:rsidRPr="003747CE" w14:paraId="569FCB01" w14:textId="77777777" w:rsidTr="00907B87">
        <w:trPr>
          <w:trHeight w:val="325"/>
        </w:trPr>
        <w:tc>
          <w:tcPr>
            <w:tcW w:w="4962" w:type="dxa"/>
            <w:tcBorders>
              <w:bottom w:val="single" w:sz="4" w:space="0" w:color="auto"/>
            </w:tcBorders>
            <w:vAlign w:val="center"/>
          </w:tcPr>
          <w:p w14:paraId="7659CDF6" w14:textId="77777777" w:rsidR="00885D14" w:rsidRPr="003747CE" w:rsidRDefault="00885D14" w:rsidP="00933196">
            <w:pPr>
              <w:rPr>
                <w:lang w:val="en-GB"/>
              </w:rPr>
            </w:pPr>
          </w:p>
        </w:tc>
        <w:tc>
          <w:tcPr>
            <w:tcW w:w="1464" w:type="dxa"/>
            <w:tcBorders>
              <w:top w:val="single" w:sz="4" w:space="0" w:color="auto"/>
              <w:bottom w:val="single" w:sz="4" w:space="0" w:color="auto"/>
            </w:tcBorders>
            <w:vAlign w:val="center"/>
          </w:tcPr>
          <w:p w14:paraId="6E3F40B0" w14:textId="77777777" w:rsidR="00885D14" w:rsidRPr="003747CE" w:rsidRDefault="00885D14" w:rsidP="00933196">
            <w:pPr>
              <w:jc w:val="center"/>
              <w:rPr>
                <w:b/>
                <w:lang w:val="en-GB"/>
              </w:rPr>
            </w:pPr>
            <w:r w:rsidRPr="003747CE">
              <w:rPr>
                <w:b/>
                <w:lang w:val="en-GB"/>
              </w:rPr>
              <w:t>Estimate</w:t>
            </w:r>
          </w:p>
        </w:tc>
        <w:tc>
          <w:tcPr>
            <w:tcW w:w="1236" w:type="dxa"/>
            <w:tcBorders>
              <w:top w:val="single" w:sz="4" w:space="0" w:color="auto"/>
              <w:bottom w:val="single" w:sz="4" w:space="0" w:color="auto"/>
            </w:tcBorders>
            <w:vAlign w:val="center"/>
          </w:tcPr>
          <w:p w14:paraId="0BA1968D" w14:textId="77777777" w:rsidR="00885D14" w:rsidRPr="003747CE" w:rsidRDefault="00885D14" w:rsidP="00933196">
            <w:pPr>
              <w:jc w:val="center"/>
              <w:rPr>
                <w:b/>
                <w:lang w:val="en-GB"/>
              </w:rPr>
            </w:pPr>
            <w:proofErr w:type="spellStart"/>
            <w:r w:rsidRPr="003747CE">
              <w:rPr>
                <w:b/>
                <w:lang w:val="en-GB"/>
              </w:rPr>
              <w:t>Std</w:t>
            </w:r>
            <w:proofErr w:type="spellEnd"/>
            <w:r w:rsidRPr="003747CE">
              <w:rPr>
                <w:b/>
                <w:lang w:val="en-GB"/>
              </w:rPr>
              <w:t xml:space="preserve"> Error</w:t>
            </w:r>
          </w:p>
        </w:tc>
        <w:tc>
          <w:tcPr>
            <w:tcW w:w="1442" w:type="dxa"/>
            <w:tcBorders>
              <w:top w:val="single" w:sz="4" w:space="0" w:color="auto"/>
              <w:bottom w:val="single" w:sz="4" w:space="0" w:color="auto"/>
            </w:tcBorders>
            <w:vAlign w:val="center"/>
          </w:tcPr>
          <w:p w14:paraId="51196761" w14:textId="77777777" w:rsidR="00885D14" w:rsidRPr="003747CE" w:rsidRDefault="00885D14" w:rsidP="00933196">
            <w:pPr>
              <w:jc w:val="center"/>
              <w:rPr>
                <w:b/>
                <w:lang w:val="en-GB"/>
              </w:rPr>
            </w:pPr>
            <w:r w:rsidRPr="003747CE">
              <w:rPr>
                <w:b/>
                <w:lang w:val="en-GB"/>
              </w:rPr>
              <w:t>P-value</w:t>
            </w:r>
          </w:p>
        </w:tc>
      </w:tr>
      <w:tr w:rsidR="00907B87" w:rsidRPr="003747CE" w14:paraId="77DBB65A" w14:textId="77777777" w:rsidTr="00907B87">
        <w:trPr>
          <w:trHeight w:val="103"/>
        </w:trPr>
        <w:tc>
          <w:tcPr>
            <w:tcW w:w="4962" w:type="dxa"/>
            <w:tcBorders>
              <w:top w:val="single" w:sz="4" w:space="0" w:color="auto"/>
            </w:tcBorders>
            <w:shd w:val="clear" w:color="auto" w:fill="FFF2CC" w:themeFill="accent4" w:themeFillTint="33"/>
            <w:vAlign w:val="center"/>
          </w:tcPr>
          <w:p w14:paraId="4B3BCC3D" w14:textId="77777777" w:rsidR="00885D14" w:rsidRPr="003747CE" w:rsidRDefault="00885D14" w:rsidP="00933196">
            <w:pPr>
              <w:ind w:left="29"/>
              <w:rPr>
                <w:lang w:val="en-GB"/>
              </w:rPr>
            </w:pPr>
            <w:r w:rsidRPr="003747CE">
              <w:rPr>
                <w:lang w:val="en-GB"/>
              </w:rPr>
              <w:t>Edges</w:t>
            </w:r>
          </w:p>
        </w:tc>
        <w:tc>
          <w:tcPr>
            <w:tcW w:w="1464" w:type="dxa"/>
            <w:tcBorders>
              <w:top w:val="single" w:sz="4" w:space="0" w:color="auto"/>
            </w:tcBorders>
            <w:shd w:val="clear" w:color="auto" w:fill="FFF2CC" w:themeFill="accent4" w:themeFillTint="33"/>
            <w:vAlign w:val="center"/>
          </w:tcPr>
          <w:p w14:paraId="5017290F" w14:textId="77777777" w:rsidR="00885D14" w:rsidRPr="003747CE" w:rsidRDefault="00E9650F" w:rsidP="00933196">
            <w:pPr>
              <w:jc w:val="center"/>
              <w:rPr>
                <w:lang w:val="en-GB"/>
              </w:rPr>
            </w:pPr>
            <w:r w:rsidRPr="003747CE">
              <w:rPr>
                <w:lang w:val="en-GB"/>
              </w:rPr>
              <w:t>-1.8008523</w:t>
            </w:r>
          </w:p>
        </w:tc>
        <w:tc>
          <w:tcPr>
            <w:tcW w:w="1236" w:type="dxa"/>
            <w:tcBorders>
              <w:top w:val="single" w:sz="4" w:space="0" w:color="auto"/>
            </w:tcBorders>
            <w:shd w:val="clear" w:color="auto" w:fill="FFF2CC" w:themeFill="accent4" w:themeFillTint="33"/>
            <w:vAlign w:val="center"/>
          </w:tcPr>
          <w:p w14:paraId="238F09AE" w14:textId="77777777" w:rsidR="00885D14" w:rsidRPr="003747CE" w:rsidRDefault="00E9650F" w:rsidP="00933196">
            <w:pPr>
              <w:jc w:val="center"/>
              <w:rPr>
                <w:lang w:val="en-GB"/>
              </w:rPr>
            </w:pPr>
            <w:r w:rsidRPr="003747CE">
              <w:rPr>
                <w:lang w:val="en-GB"/>
              </w:rPr>
              <w:t>0.0648339</w:t>
            </w:r>
          </w:p>
        </w:tc>
        <w:tc>
          <w:tcPr>
            <w:tcW w:w="1442" w:type="dxa"/>
            <w:tcBorders>
              <w:top w:val="single" w:sz="4" w:space="0" w:color="auto"/>
            </w:tcBorders>
            <w:shd w:val="clear" w:color="auto" w:fill="FFF2CC" w:themeFill="accent4" w:themeFillTint="33"/>
            <w:vAlign w:val="center"/>
          </w:tcPr>
          <w:p w14:paraId="41731AE6" w14:textId="77777777" w:rsidR="00885D14" w:rsidRPr="003747CE" w:rsidRDefault="00E9650F" w:rsidP="00933196">
            <w:pPr>
              <w:jc w:val="center"/>
              <w:rPr>
                <w:lang w:val="en-GB"/>
              </w:rPr>
            </w:pPr>
            <w:r w:rsidRPr="003747CE">
              <w:rPr>
                <w:lang w:val="en-GB"/>
              </w:rPr>
              <w:t>&lt;0.0001 ***</w:t>
            </w:r>
          </w:p>
        </w:tc>
      </w:tr>
      <w:tr w:rsidR="00907B87" w:rsidRPr="003747CE" w14:paraId="75784B87" w14:textId="77777777" w:rsidTr="00907B87">
        <w:trPr>
          <w:trHeight w:val="103"/>
        </w:trPr>
        <w:tc>
          <w:tcPr>
            <w:tcW w:w="4962" w:type="dxa"/>
            <w:shd w:val="clear" w:color="auto" w:fill="FFF2CC" w:themeFill="accent4" w:themeFillTint="33"/>
            <w:vAlign w:val="center"/>
          </w:tcPr>
          <w:p w14:paraId="42EFA1DE" w14:textId="77777777" w:rsidR="00885D14" w:rsidRPr="003747CE" w:rsidRDefault="00885D14" w:rsidP="00933196">
            <w:pPr>
              <w:ind w:left="29"/>
              <w:rPr>
                <w:lang w:val="en-GB"/>
              </w:rPr>
            </w:pPr>
            <w:proofErr w:type="spellStart"/>
            <w:r w:rsidRPr="003747CE">
              <w:rPr>
                <w:lang w:val="en-GB"/>
              </w:rPr>
              <w:t>Absdiff.word.count</w:t>
            </w:r>
            <w:proofErr w:type="spellEnd"/>
          </w:p>
        </w:tc>
        <w:tc>
          <w:tcPr>
            <w:tcW w:w="1464" w:type="dxa"/>
            <w:shd w:val="clear" w:color="auto" w:fill="FFF2CC" w:themeFill="accent4" w:themeFillTint="33"/>
            <w:vAlign w:val="center"/>
          </w:tcPr>
          <w:p w14:paraId="7E218F32" w14:textId="77777777" w:rsidR="00885D14" w:rsidRPr="003747CE" w:rsidRDefault="00E9650F" w:rsidP="00933196">
            <w:pPr>
              <w:jc w:val="center"/>
              <w:rPr>
                <w:lang w:val="en-GB"/>
              </w:rPr>
            </w:pPr>
            <w:r w:rsidRPr="003747CE">
              <w:rPr>
                <w:lang w:val="en-GB"/>
              </w:rPr>
              <w:t>-0.0016290</w:t>
            </w:r>
          </w:p>
        </w:tc>
        <w:tc>
          <w:tcPr>
            <w:tcW w:w="1236" w:type="dxa"/>
            <w:shd w:val="clear" w:color="auto" w:fill="FFF2CC" w:themeFill="accent4" w:themeFillTint="33"/>
            <w:vAlign w:val="center"/>
          </w:tcPr>
          <w:p w14:paraId="687F714A" w14:textId="77777777" w:rsidR="00885D14" w:rsidRPr="003747CE" w:rsidRDefault="00E9650F" w:rsidP="00933196">
            <w:pPr>
              <w:jc w:val="center"/>
              <w:rPr>
                <w:lang w:val="en-GB"/>
              </w:rPr>
            </w:pPr>
            <w:r w:rsidRPr="003747CE">
              <w:rPr>
                <w:lang w:val="en-GB"/>
              </w:rPr>
              <w:t>0.0001488</w:t>
            </w:r>
          </w:p>
        </w:tc>
        <w:tc>
          <w:tcPr>
            <w:tcW w:w="1442" w:type="dxa"/>
            <w:shd w:val="clear" w:color="auto" w:fill="FFF2CC" w:themeFill="accent4" w:themeFillTint="33"/>
            <w:vAlign w:val="center"/>
          </w:tcPr>
          <w:p w14:paraId="7C2A1519" w14:textId="77777777" w:rsidR="00885D14" w:rsidRPr="003747CE" w:rsidRDefault="00E9650F" w:rsidP="00933196">
            <w:pPr>
              <w:jc w:val="center"/>
              <w:rPr>
                <w:lang w:val="en-GB"/>
              </w:rPr>
            </w:pPr>
            <w:r w:rsidRPr="003747CE">
              <w:rPr>
                <w:lang w:val="en-GB"/>
              </w:rPr>
              <w:t>&lt;0.0001 ***</w:t>
            </w:r>
          </w:p>
        </w:tc>
      </w:tr>
      <w:tr w:rsidR="00907B87" w:rsidRPr="003747CE" w14:paraId="39084E72" w14:textId="77777777" w:rsidTr="00907B87">
        <w:trPr>
          <w:trHeight w:val="103"/>
        </w:trPr>
        <w:tc>
          <w:tcPr>
            <w:tcW w:w="4962" w:type="dxa"/>
            <w:shd w:val="clear" w:color="auto" w:fill="FFF2CC" w:themeFill="accent4" w:themeFillTint="33"/>
            <w:vAlign w:val="center"/>
          </w:tcPr>
          <w:p w14:paraId="22F6662B" w14:textId="77777777" w:rsidR="00885D14" w:rsidRPr="003747CE" w:rsidRDefault="00885D14" w:rsidP="00933196">
            <w:pPr>
              <w:ind w:left="29"/>
              <w:rPr>
                <w:lang w:val="en-GB"/>
              </w:rPr>
            </w:pPr>
            <w:proofErr w:type="spellStart"/>
            <w:r w:rsidRPr="003747CE">
              <w:rPr>
                <w:lang w:val="en-GB"/>
              </w:rPr>
              <w:t>Nodecov.word.count</w:t>
            </w:r>
            <w:proofErr w:type="spellEnd"/>
          </w:p>
        </w:tc>
        <w:tc>
          <w:tcPr>
            <w:tcW w:w="1464" w:type="dxa"/>
            <w:shd w:val="clear" w:color="auto" w:fill="FFF2CC" w:themeFill="accent4" w:themeFillTint="33"/>
            <w:vAlign w:val="center"/>
          </w:tcPr>
          <w:p w14:paraId="61BA374B" w14:textId="77777777" w:rsidR="00885D14" w:rsidRPr="003747CE" w:rsidRDefault="00E9650F" w:rsidP="00933196">
            <w:pPr>
              <w:jc w:val="center"/>
              <w:rPr>
                <w:lang w:val="en-GB"/>
              </w:rPr>
            </w:pPr>
            <w:r w:rsidRPr="003747CE">
              <w:rPr>
                <w:lang w:val="en-GB"/>
              </w:rPr>
              <w:t>0.0019364</w:t>
            </w:r>
          </w:p>
        </w:tc>
        <w:tc>
          <w:tcPr>
            <w:tcW w:w="1236" w:type="dxa"/>
            <w:shd w:val="clear" w:color="auto" w:fill="FFF2CC" w:themeFill="accent4" w:themeFillTint="33"/>
            <w:vAlign w:val="center"/>
          </w:tcPr>
          <w:p w14:paraId="3FE81083" w14:textId="77777777" w:rsidR="00885D14" w:rsidRPr="003747CE" w:rsidRDefault="00E9650F" w:rsidP="00933196">
            <w:pPr>
              <w:jc w:val="center"/>
              <w:rPr>
                <w:lang w:val="en-GB"/>
              </w:rPr>
            </w:pPr>
            <w:r w:rsidRPr="003747CE">
              <w:rPr>
                <w:lang w:val="en-GB"/>
              </w:rPr>
              <w:t>0.0001381</w:t>
            </w:r>
          </w:p>
        </w:tc>
        <w:tc>
          <w:tcPr>
            <w:tcW w:w="1442" w:type="dxa"/>
            <w:shd w:val="clear" w:color="auto" w:fill="FFF2CC" w:themeFill="accent4" w:themeFillTint="33"/>
            <w:vAlign w:val="center"/>
          </w:tcPr>
          <w:p w14:paraId="44CE4A61" w14:textId="77777777" w:rsidR="00885D14" w:rsidRPr="003747CE" w:rsidRDefault="00E9650F" w:rsidP="00933196">
            <w:pPr>
              <w:jc w:val="center"/>
              <w:rPr>
                <w:lang w:val="en-GB"/>
              </w:rPr>
            </w:pPr>
            <w:r w:rsidRPr="003747CE">
              <w:rPr>
                <w:lang w:val="en-GB"/>
              </w:rPr>
              <w:t>&lt;0.0001 ***</w:t>
            </w:r>
          </w:p>
        </w:tc>
      </w:tr>
      <w:tr w:rsidR="00907B87" w:rsidRPr="003747CE" w14:paraId="1E4823B3" w14:textId="77777777" w:rsidTr="00907B87">
        <w:trPr>
          <w:trHeight w:val="103"/>
        </w:trPr>
        <w:tc>
          <w:tcPr>
            <w:tcW w:w="4962" w:type="dxa"/>
            <w:vAlign w:val="center"/>
          </w:tcPr>
          <w:p w14:paraId="0EB631C6" w14:textId="77777777" w:rsidR="00885D14" w:rsidRPr="003747CE" w:rsidRDefault="00885D14" w:rsidP="00933196">
            <w:pPr>
              <w:ind w:left="29"/>
              <w:rPr>
                <w:lang w:val="en-GB"/>
              </w:rPr>
            </w:pPr>
            <w:proofErr w:type="spellStart"/>
            <w:r w:rsidRPr="003747CE">
              <w:rPr>
                <w:lang w:val="en-GB"/>
              </w:rPr>
              <w:t>Nodematch.category</w:t>
            </w:r>
            <w:proofErr w:type="spellEnd"/>
          </w:p>
        </w:tc>
        <w:tc>
          <w:tcPr>
            <w:tcW w:w="1464" w:type="dxa"/>
            <w:shd w:val="clear" w:color="auto" w:fill="auto"/>
            <w:vAlign w:val="center"/>
          </w:tcPr>
          <w:p w14:paraId="7EA041E8" w14:textId="77777777" w:rsidR="00885D14" w:rsidRPr="003747CE" w:rsidRDefault="00885D14" w:rsidP="00933196">
            <w:pPr>
              <w:jc w:val="center"/>
              <w:rPr>
                <w:lang w:val="en-GB"/>
              </w:rPr>
            </w:pPr>
          </w:p>
        </w:tc>
        <w:tc>
          <w:tcPr>
            <w:tcW w:w="1236" w:type="dxa"/>
            <w:shd w:val="clear" w:color="auto" w:fill="auto"/>
            <w:vAlign w:val="center"/>
          </w:tcPr>
          <w:p w14:paraId="650D5E56" w14:textId="77777777" w:rsidR="00885D14" w:rsidRPr="003747CE" w:rsidRDefault="00885D14" w:rsidP="00933196">
            <w:pPr>
              <w:jc w:val="center"/>
              <w:rPr>
                <w:lang w:val="en-GB"/>
              </w:rPr>
            </w:pPr>
          </w:p>
        </w:tc>
        <w:tc>
          <w:tcPr>
            <w:tcW w:w="1442" w:type="dxa"/>
            <w:shd w:val="clear" w:color="auto" w:fill="auto"/>
            <w:vAlign w:val="center"/>
          </w:tcPr>
          <w:p w14:paraId="4CE8E93A" w14:textId="77777777" w:rsidR="00885D14" w:rsidRPr="003747CE" w:rsidRDefault="00885D14" w:rsidP="00933196">
            <w:pPr>
              <w:jc w:val="center"/>
              <w:rPr>
                <w:lang w:val="en-GB"/>
              </w:rPr>
            </w:pPr>
          </w:p>
        </w:tc>
      </w:tr>
      <w:tr w:rsidR="00907B87" w:rsidRPr="003747CE" w14:paraId="09A3B1D6" w14:textId="77777777" w:rsidTr="00907B87">
        <w:trPr>
          <w:trHeight w:val="367"/>
        </w:trPr>
        <w:tc>
          <w:tcPr>
            <w:tcW w:w="4962" w:type="dxa"/>
            <w:shd w:val="clear" w:color="auto" w:fill="FFF2CC" w:themeFill="accent4" w:themeFillTint="33"/>
            <w:vAlign w:val="center"/>
          </w:tcPr>
          <w:p w14:paraId="508E4465" w14:textId="5F38FB44" w:rsidR="00E9650F" w:rsidRPr="003747CE" w:rsidRDefault="00E9650F" w:rsidP="00933196">
            <w:pPr>
              <w:ind w:left="313"/>
              <w:rPr>
                <w:lang w:val="en-GB"/>
              </w:rPr>
            </w:pPr>
            <w:r w:rsidRPr="003747CE">
              <w:rPr>
                <w:lang w:val="en-GB"/>
              </w:rPr>
              <w:t>ICANN Stakeholder Group / Working Group</w:t>
            </w:r>
          </w:p>
        </w:tc>
        <w:tc>
          <w:tcPr>
            <w:tcW w:w="1464" w:type="dxa"/>
            <w:shd w:val="clear" w:color="auto" w:fill="FFF2CC" w:themeFill="accent4" w:themeFillTint="33"/>
            <w:vAlign w:val="center"/>
          </w:tcPr>
          <w:p w14:paraId="7CE2C3A2" w14:textId="77777777" w:rsidR="00E9650F" w:rsidRPr="003747CE" w:rsidRDefault="00E9650F" w:rsidP="00933196">
            <w:pPr>
              <w:jc w:val="center"/>
              <w:rPr>
                <w:lang w:val="en-GB"/>
              </w:rPr>
            </w:pPr>
            <w:r w:rsidRPr="003747CE">
              <w:rPr>
                <w:lang w:val="en-GB"/>
              </w:rPr>
              <w:t>1.8257309</w:t>
            </w:r>
          </w:p>
        </w:tc>
        <w:tc>
          <w:tcPr>
            <w:tcW w:w="1236" w:type="dxa"/>
            <w:shd w:val="clear" w:color="auto" w:fill="FFF2CC" w:themeFill="accent4" w:themeFillTint="33"/>
            <w:vAlign w:val="center"/>
          </w:tcPr>
          <w:p w14:paraId="2278221A" w14:textId="77777777" w:rsidR="00E9650F" w:rsidRPr="003747CE" w:rsidRDefault="00E9650F" w:rsidP="00933196">
            <w:pPr>
              <w:jc w:val="center"/>
              <w:rPr>
                <w:lang w:val="en-GB"/>
              </w:rPr>
            </w:pPr>
            <w:r w:rsidRPr="003747CE">
              <w:rPr>
                <w:lang w:val="en-GB"/>
              </w:rPr>
              <w:t>0.4150773</w:t>
            </w:r>
          </w:p>
        </w:tc>
        <w:tc>
          <w:tcPr>
            <w:tcW w:w="1442" w:type="dxa"/>
            <w:shd w:val="clear" w:color="auto" w:fill="FFF2CC" w:themeFill="accent4" w:themeFillTint="33"/>
            <w:vAlign w:val="center"/>
          </w:tcPr>
          <w:p w14:paraId="75C109D9" w14:textId="77777777" w:rsidR="00E9650F" w:rsidRPr="003747CE" w:rsidRDefault="00E9650F" w:rsidP="00933196">
            <w:pPr>
              <w:jc w:val="center"/>
              <w:rPr>
                <w:lang w:val="en-GB"/>
              </w:rPr>
            </w:pPr>
            <w:r w:rsidRPr="003747CE">
              <w:rPr>
                <w:lang w:val="en-GB"/>
              </w:rPr>
              <w:t>&lt;0.0001 ***</w:t>
            </w:r>
          </w:p>
        </w:tc>
      </w:tr>
      <w:tr w:rsidR="00907B87" w:rsidRPr="003747CE" w14:paraId="5474308E" w14:textId="77777777" w:rsidTr="00907B87">
        <w:trPr>
          <w:trHeight w:val="229"/>
        </w:trPr>
        <w:tc>
          <w:tcPr>
            <w:tcW w:w="4962" w:type="dxa"/>
            <w:vAlign w:val="center"/>
          </w:tcPr>
          <w:p w14:paraId="67EA16B6" w14:textId="7D87D666" w:rsidR="00E9650F" w:rsidRPr="003747CE" w:rsidRDefault="00E9650F" w:rsidP="00933196">
            <w:pPr>
              <w:ind w:left="313"/>
              <w:rPr>
                <w:lang w:val="en-GB"/>
              </w:rPr>
            </w:pPr>
            <w:r w:rsidRPr="003747CE">
              <w:rPr>
                <w:lang w:val="en-GB"/>
              </w:rPr>
              <w:t>Internet Consultancy Firm</w:t>
            </w:r>
          </w:p>
        </w:tc>
        <w:tc>
          <w:tcPr>
            <w:tcW w:w="1464" w:type="dxa"/>
            <w:vAlign w:val="center"/>
          </w:tcPr>
          <w:p w14:paraId="1A763842" w14:textId="77777777" w:rsidR="00E9650F" w:rsidRPr="003747CE" w:rsidRDefault="00E9650F" w:rsidP="00933196">
            <w:pPr>
              <w:jc w:val="center"/>
              <w:rPr>
                <w:lang w:val="en-GB"/>
              </w:rPr>
            </w:pPr>
            <w:r w:rsidRPr="003747CE">
              <w:rPr>
                <w:lang w:val="en-GB"/>
              </w:rPr>
              <w:t>-</w:t>
            </w:r>
            <w:proofErr w:type="spellStart"/>
            <w:r w:rsidRPr="003747CE">
              <w:rPr>
                <w:lang w:val="en-GB"/>
              </w:rPr>
              <w:t>Inf</w:t>
            </w:r>
            <w:proofErr w:type="spellEnd"/>
          </w:p>
        </w:tc>
        <w:tc>
          <w:tcPr>
            <w:tcW w:w="1236" w:type="dxa"/>
            <w:vAlign w:val="center"/>
          </w:tcPr>
          <w:p w14:paraId="44590448" w14:textId="77777777" w:rsidR="00E9650F" w:rsidRPr="003747CE" w:rsidRDefault="00E9650F" w:rsidP="00933196">
            <w:pPr>
              <w:jc w:val="center"/>
              <w:rPr>
                <w:lang w:val="en-GB"/>
              </w:rPr>
            </w:pPr>
            <w:r w:rsidRPr="003747CE">
              <w:rPr>
                <w:lang w:val="en-GB"/>
              </w:rPr>
              <w:t>0.0000000</w:t>
            </w:r>
          </w:p>
        </w:tc>
        <w:tc>
          <w:tcPr>
            <w:tcW w:w="1442" w:type="dxa"/>
            <w:vAlign w:val="center"/>
          </w:tcPr>
          <w:p w14:paraId="260622DD" w14:textId="77777777" w:rsidR="00E9650F" w:rsidRPr="003747CE" w:rsidRDefault="00E9650F" w:rsidP="00933196">
            <w:pPr>
              <w:jc w:val="center"/>
              <w:rPr>
                <w:lang w:val="en-GB"/>
              </w:rPr>
            </w:pPr>
            <w:r w:rsidRPr="003747CE">
              <w:rPr>
                <w:lang w:val="en-GB"/>
              </w:rPr>
              <w:t>&lt;0.0001 ***</w:t>
            </w:r>
          </w:p>
        </w:tc>
      </w:tr>
      <w:tr w:rsidR="00907B87" w:rsidRPr="003747CE" w14:paraId="3826668C" w14:textId="77777777" w:rsidTr="00907B87">
        <w:trPr>
          <w:trHeight w:val="229"/>
        </w:trPr>
        <w:tc>
          <w:tcPr>
            <w:tcW w:w="4962" w:type="dxa"/>
            <w:vAlign w:val="center"/>
          </w:tcPr>
          <w:p w14:paraId="0877A13D" w14:textId="280C556B" w:rsidR="00E9650F" w:rsidRPr="003747CE" w:rsidRDefault="00E9650F" w:rsidP="00933196">
            <w:pPr>
              <w:ind w:left="313"/>
              <w:rPr>
                <w:lang w:val="en-GB"/>
              </w:rPr>
            </w:pPr>
            <w:r w:rsidRPr="003747CE">
              <w:rPr>
                <w:lang w:val="en-GB"/>
              </w:rPr>
              <w:t>Internet Non-Profit</w:t>
            </w:r>
          </w:p>
        </w:tc>
        <w:tc>
          <w:tcPr>
            <w:tcW w:w="1464" w:type="dxa"/>
            <w:vAlign w:val="center"/>
          </w:tcPr>
          <w:p w14:paraId="707158FB" w14:textId="77777777" w:rsidR="00E9650F" w:rsidRPr="003747CE" w:rsidRDefault="00E9650F" w:rsidP="00933196">
            <w:pPr>
              <w:jc w:val="center"/>
              <w:rPr>
                <w:lang w:val="en-GB"/>
              </w:rPr>
            </w:pPr>
            <w:r w:rsidRPr="003747CE">
              <w:rPr>
                <w:lang w:val="en-GB"/>
              </w:rPr>
              <w:t>-0.1834905</w:t>
            </w:r>
          </w:p>
        </w:tc>
        <w:tc>
          <w:tcPr>
            <w:tcW w:w="1236" w:type="dxa"/>
            <w:vAlign w:val="center"/>
          </w:tcPr>
          <w:p w14:paraId="476F7B63" w14:textId="77777777" w:rsidR="00E9650F" w:rsidRPr="003747CE" w:rsidRDefault="00E9650F" w:rsidP="00933196">
            <w:pPr>
              <w:jc w:val="center"/>
              <w:rPr>
                <w:lang w:val="en-GB"/>
              </w:rPr>
            </w:pPr>
            <w:r w:rsidRPr="003747CE">
              <w:rPr>
                <w:lang w:val="en-GB"/>
              </w:rPr>
              <w:t>0.1350003</w:t>
            </w:r>
          </w:p>
        </w:tc>
        <w:tc>
          <w:tcPr>
            <w:tcW w:w="1442" w:type="dxa"/>
            <w:vAlign w:val="center"/>
          </w:tcPr>
          <w:p w14:paraId="1ADD5584" w14:textId="77777777" w:rsidR="00E9650F" w:rsidRPr="003747CE" w:rsidRDefault="00E9650F" w:rsidP="00933196">
            <w:pPr>
              <w:jc w:val="center"/>
              <w:rPr>
                <w:lang w:val="en-GB"/>
              </w:rPr>
            </w:pPr>
            <w:r w:rsidRPr="003747CE">
              <w:rPr>
                <w:lang w:val="en-GB"/>
              </w:rPr>
              <w:t>0  0.1742</w:t>
            </w:r>
          </w:p>
        </w:tc>
      </w:tr>
      <w:tr w:rsidR="00907B87" w:rsidRPr="003747CE" w14:paraId="7371A2BF" w14:textId="77777777" w:rsidTr="00907B87">
        <w:trPr>
          <w:trHeight w:val="199"/>
        </w:trPr>
        <w:tc>
          <w:tcPr>
            <w:tcW w:w="4962" w:type="dxa"/>
            <w:vAlign w:val="center"/>
          </w:tcPr>
          <w:p w14:paraId="3438C82D" w14:textId="7C35AB0E" w:rsidR="00E9650F" w:rsidRPr="003747CE" w:rsidRDefault="00E9650F" w:rsidP="00933196">
            <w:pPr>
              <w:ind w:left="313"/>
              <w:rPr>
                <w:lang w:val="en-GB"/>
              </w:rPr>
            </w:pPr>
            <w:r w:rsidRPr="003747CE">
              <w:rPr>
                <w:lang w:val="en-GB"/>
              </w:rPr>
              <w:t>Journalist</w:t>
            </w:r>
          </w:p>
        </w:tc>
        <w:tc>
          <w:tcPr>
            <w:tcW w:w="1464" w:type="dxa"/>
            <w:vAlign w:val="center"/>
          </w:tcPr>
          <w:p w14:paraId="01642C7C" w14:textId="77777777" w:rsidR="00E9650F" w:rsidRPr="003747CE" w:rsidRDefault="00E9650F" w:rsidP="00933196">
            <w:pPr>
              <w:jc w:val="center"/>
              <w:rPr>
                <w:lang w:val="en-GB"/>
              </w:rPr>
            </w:pPr>
            <w:r w:rsidRPr="003747CE">
              <w:rPr>
                <w:lang w:val="en-GB"/>
              </w:rPr>
              <w:t xml:space="preserve">-0.5928745 </w:t>
            </w:r>
          </w:p>
        </w:tc>
        <w:tc>
          <w:tcPr>
            <w:tcW w:w="1236" w:type="dxa"/>
            <w:vAlign w:val="center"/>
          </w:tcPr>
          <w:p w14:paraId="7B0B451E" w14:textId="77777777" w:rsidR="00E9650F" w:rsidRPr="003747CE" w:rsidRDefault="00E9650F" w:rsidP="00933196">
            <w:pPr>
              <w:jc w:val="center"/>
              <w:rPr>
                <w:lang w:val="en-GB"/>
              </w:rPr>
            </w:pPr>
            <w:r w:rsidRPr="003747CE">
              <w:rPr>
                <w:lang w:val="en-GB"/>
              </w:rPr>
              <w:t>0.5440639</w:t>
            </w:r>
          </w:p>
        </w:tc>
        <w:tc>
          <w:tcPr>
            <w:tcW w:w="1442" w:type="dxa"/>
            <w:vAlign w:val="center"/>
          </w:tcPr>
          <w:p w14:paraId="7A679951" w14:textId="77777777" w:rsidR="00E9650F" w:rsidRPr="003747CE" w:rsidRDefault="00E9650F" w:rsidP="00933196">
            <w:pPr>
              <w:jc w:val="center"/>
              <w:rPr>
                <w:lang w:val="en-GB"/>
              </w:rPr>
            </w:pPr>
            <w:r w:rsidRPr="003747CE">
              <w:rPr>
                <w:lang w:val="en-GB"/>
              </w:rPr>
              <w:t>0.2759</w:t>
            </w:r>
          </w:p>
        </w:tc>
      </w:tr>
      <w:tr w:rsidR="00907B87" w:rsidRPr="003747CE" w14:paraId="14F0F4F3" w14:textId="77777777" w:rsidTr="00907B87">
        <w:trPr>
          <w:trHeight w:val="103"/>
        </w:trPr>
        <w:tc>
          <w:tcPr>
            <w:tcW w:w="4962" w:type="dxa"/>
            <w:vAlign w:val="center"/>
          </w:tcPr>
          <w:p w14:paraId="697D6FFF" w14:textId="31F03957" w:rsidR="00E9650F" w:rsidRPr="003747CE" w:rsidRDefault="00E9650F" w:rsidP="00933196">
            <w:pPr>
              <w:ind w:left="313"/>
              <w:rPr>
                <w:lang w:val="en-GB"/>
              </w:rPr>
            </w:pPr>
            <w:r w:rsidRPr="003747CE">
              <w:rPr>
                <w:lang w:val="en-GB"/>
              </w:rPr>
              <w:t>Law Firm / Plaintiff</w:t>
            </w:r>
          </w:p>
        </w:tc>
        <w:tc>
          <w:tcPr>
            <w:tcW w:w="1464" w:type="dxa"/>
            <w:vAlign w:val="center"/>
          </w:tcPr>
          <w:p w14:paraId="0C3E7829" w14:textId="77777777" w:rsidR="00E9650F" w:rsidRPr="003747CE" w:rsidRDefault="00E9650F" w:rsidP="00933196">
            <w:pPr>
              <w:jc w:val="center"/>
              <w:rPr>
                <w:lang w:val="en-GB"/>
              </w:rPr>
            </w:pPr>
            <w:r w:rsidRPr="003747CE">
              <w:rPr>
                <w:lang w:val="en-GB"/>
              </w:rPr>
              <w:t xml:space="preserve">-0.0176856 </w:t>
            </w:r>
          </w:p>
        </w:tc>
        <w:tc>
          <w:tcPr>
            <w:tcW w:w="1236" w:type="dxa"/>
            <w:vAlign w:val="center"/>
          </w:tcPr>
          <w:p w14:paraId="53946D4C" w14:textId="77777777" w:rsidR="00E9650F" w:rsidRPr="003747CE" w:rsidRDefault="00E9650F" w:rsidP="00933196">
            <w:pPr>
              <w:jc w:val="center"/>
              <w:rPr>
                <w:lang w:val="en-GB"/>
              </w:rPr>
            </w:pPr>
            <w:r w:rsidRPr="003747CE">
              <w:rPr>
                <w:lang w:val="en-GB"/>
              </w:rPr>
              <w:t xml:space="preserve">0.2750424       </w:t>
            </w:r>
          </w:p>
        </w:tc>
        <w:tc>
          <w:tcPr>
            <w:tcW w:w="1442" w:type="dxa"/>
            <w:vAlign w:val="center"/>
          </w:tcPr>
          <w:p w14:paraId="0031E37D" w14:textId="77777777" w:rsidR="00E9650F" w:rsidRPr="003747CE" w:rsidRDefault="00E9650F" w:rsidP="00933196">
            <w:pPr>
              <w:jc w:val="center"/>
              <w:rPr>
                <w:lang w:val="en-GB"/>
              </w:rPr>
            </w:pPr>
            <w:r w:rsidRPr="003747CE">
              <w:rPr>
                <w:lang w:val="en-GB"/>
              </w:rPr>
              <w:t>0.9487</w:t>
            </w:r>
          </w:p>
        </w:tc>
      </w:tr>
      <w:tr w:rsidR="00907B87" w:rsidRPr="003747CE" w14:paraId="47091B98" w14:textId="77777777" w:rsidTr="00907B87">
        <w:trPr>
          <w:trHeight w:val="229"/>
        </w:trPr>
        <w:tc>
          <w:tcPr>
            <w:tcW w:w="4962" w:type="dxa"/>
            <w:vAlign w:val="center"/>
          </w:tcPr>
          <w:p w14:paraId="7AF1CD24" w14:textId="67D47ED1" w:rsidR="00E9650F" w:rsidRPr="003747CE" w:rsidRDefault="00E9650F" w:rsidP="00933196">
            <w:pPr>
              <w:ind w:left="313"/>
              <w:rPr>
                <w:lang w:val="en-GB"/>
              </w:rPr>
            </w:pPr>
            <w:r w:rsidRPr="003747CE">
              <w:rPr>
                <w:lang w:val="en-GB"/>
              </w:rPr>
              <w:t>Not Known</w:t>
            </w:r>
          </w:p>
        </w:tc>
        <w:tc>
          <w:tcPr>
            <w:tcW w:w="1464" w:type="dxa"/>
            <w:vAlign w:val="center"/>
          </w:tcPr>
          <w:p w14:paraId="2957D57F" w14:textId="77777777" w:rsidR="00E9650F" w:rsidRPr="003747CE" w:rsidRDefault="00E9650F" w:rsidP="00933196">
            <w:pPr>
              <w:jc w:val="center"/>
              <w:rPr>
                <w:lang w:val="en-GB"/>
              </w:rPr>
            </w:pPr>
            <w:r w:rsidRPr="003747CE">
              <w:rPr>
                <w:lang w:val="en-GB"/>
              </w:rPr>
              <w:t xml:space="preserve">0.2343428 </w:t>
            </w:r>
          </w:p>
        </w:tc>
        <w:tc>
          <w:tcPr>
            <w:tcW w:w="1236" w:type="dxa"/>
            <w:vAlign w:val="center"/>
          </w:tcPr>
          <w:p w14:paraId="29A63916" w14:textId="77777777" w:rsidR="00E9650F" w:rsidRPr="003747CE" w:rsidRDefault="00E9650F" w:rsidP="00933196">
            <w:pPr>
              <w:jc w:val="center"/>
              <w:rPr>
                <w:lang w:val="en-GB"/>
              </w:rPr>
            </w:pPr>
            <w:r w:rsidRPr="003747CE">
              <w:rPr>
                <w:lang w:val="en-GB"/>
              </w:rPr>
              <w:t xml:space="preserve">0.6481665     </w:t>
            </w:r>
          </w:p>
        </w:tc>
        <w:tc>
          <w:tcPr>
            <w:tcW w:w="1442" w:type="dxa"/>
            <w:vAlign w:val="center"/>
          </w:tcPr>
          <w:p w14:paraId="68E8D390" w14:textId="77777777" w:rsidR="00E9650F" w:rsidRPr="003747CE" w:rsidRDefault="00E9650F" w:rsidP="00933196">
            <w:pPr>
              <w:jc w:val="center"/>
              <w:rPr>
                <w:lang w:val="en-GB"/>
              </w:rPr>
            </w:pPr>
            <w:r w:rsidRPr="003747CE">
              <w:rPr>
                <w:lang w:val="en-GB"/>
              </w:rPr>
              <w:t>0.7177</w:t>
            </w:r>
          </w:p>
        </w:tc>
      </w:tr>
      <w:tr w:rsidR="00907B87" w:rsidRPr="003747CE" w14:paraId="6629A810" w14:textId="77777777" w:rsidTr="00907B87">
        <w:trPr>
          <w:trHeight w:val="185"/>
        </w:trPr>
        <w:tc>
          <w:tcPr>
            <w:tcW w:w="4962" w:type="dxa"/>
            <w:vAlign w:val="center"/>
          </w:tcPr>
          <w:p w14:paraId="43747FB8" w14:textId="5E120B50" w:rsidR="00E9650F" w:rsidRPr="003747CE" w:rsidRDefault="00E9650F" w:rsidP="00933196">
            <w:pPr>
              <w:ind w:left="313"/>
              <w:rPr>
                <w:lang w:val="en-GB"/>
              </w:rPr>
            </w:pPr>
            <w:r w:rsidRPr="003747CE">
              <w:rPr>
                <w:lang w:val="en-GB"/>
              </w:rPr>
              <w:t>Regional At-Large Organization</w:t>
            </w:r>
          </w:p>
        </w:tc>
        <w:tc>
          <w:tcPr>
            <w:tcW w:w="1464" w:type="dxa"/>
            <w:vAlign w:val="center"/>
          </w:tcPr>
          <w:p w14:paraId="67548617" w14:textId="77777777" w:rsidR="00E9650F" w:rsidRPr="003747CE" w:rsidRDefault="00E9650F" w:rsidP="00933196">
            <w:pPr>
              <w:jc w:val="center"/>
              <w:rPr>
                <w:lang w:val="en-GB"/>
              </w:rPr>
            </w:pPr>
            <w:r w:rsidRPr="003747CE">
              <w:rPr>
                <w:lang w:val="en-GB"/>
              </w:rPr>
              <w:t xml:space="preserve">0.4620778 </w:t>
            </w:r>
          </w:p>
        </w:tc>
        <w:tc>
          <w:tcPr>
            <w:tcW w:w="1236" w:type="dxa"/>
            <w:vAlign w:val="center"/>
          </w:tcPr>
          <w:p w14:paraId="30A90ECD" w14:textId="77777777" w:rsidR="00E9650F" w:rsidRPr="003747CE" w:rsidRDefault="00E9650F" w:rsidP="00933196">
            <w:pPr>
              <w:jc w:val="center"/>
              <w:rPr>
                <w:lang w:val="en-GB"/>
              </w:rPr>
            </w:pPr>
            <w:r w:rsidRPr="003747CE">
              <w:rPr>
                <w:lang w:val="en-GB"/>
              </w:rPr>
              <w:t xml:space="preserve">1.2256604     </w:t>
            </w:r>
          </w:p>
        </w:tc>
        <w:tc>
          <w:tcPr>
            <w:tcW w:w="1442" w:type="dxa"/>
            <w:vAlign w:val="center"/>
          </w:tcPr>
          <w:p w14:paraId="60A99E45" w14:textId="77777777" w:rsidR="00E9650F" w:rsidRPr="003747CE" w:rsidRDefault="00E9650F" w:rsidP="00933196">
            <w:pPr>
              <w:jc w:val="center"/>
              <w:rPr>
                <w:lang w:val="en-GB"/>
              </w:rPr>
            </w:pPr>
            <w:r w:rsidRPr="003747CE">
              <w:rPr>
                <w:lang w:val="en-GB"/>
              </w:rPr>
              <w:t>0.7062</w:t>
            </w:r>
          </w:p>
        </w:tc>
      </w:tr>
      <w:tr w:rsidR="00907B87" w:rsidRPr="003747CE" w14:paraId="39D8E35D" w14:textId="77777777" w:rsidTr="00907B87">
        <w:trPr>
          <w:trHeight w:val="229"/>
        </w:trPr>
        <w:tc>
          <w:tcPr>
            <w:tcW w:w="4962" w:type="dxa"/>
            <w:shd w:val="clear" w:color="auto" w:fill="FFF2CC" w:themeFill="accent4" w:themeFillTint="33"/>
            <w:vAlign w:val="center"/>
          </w:tcPr>
          <w:p w14:paraId="67215656" w14:textId="7548F1C6" w:rsidR="00E9650F" w:rsidRPr="003747CE" w:rsidRDefault="00E9650F" w:rsidP="00933196">
            <w:pPr>
              <w:ind w:left="313"/>
              <w:rPr>
                <w:lang w:val="en-GB"/>
              </w:rPr>
            </w:pPr>
            <w:r w:rsidRPr="003747CE">
              <w:rPr>
                <w:lang w:val="en-GB"/>
              </w:rPr>
              <w:t>Registrant</w:t>
            </w:r>
          </w:p>
        </w:tc>
        <w:tc>
          <w:tcPr>
            <w:tcW w:w="1464" w:type="dxa"/>
            <w:shd w:val="clear" w:color="auto" w:fill="FFF2CC" w:themeFill="accent4" w:themeFillTint="33"/>
            <w:vAlign w:val="center"/>
          </w:tcPr>
          <w:p w14:paraId="04FA09FF" w14:textId="77777777" w:rsidR="00E9650F" w:rsidRPr="003747CE" w:rsidRDefault="00E9650F" w:rsidP="00933196">
            <w:pPr>
              <w:jc w:val="center"/>
              <w:rPr>
                <w:lang w:val="en-GB"/>
              </w:rPr>
            </w:pPr>
            <w:r w:rsidRPr="003747CE">
              <w:rPr>
                <w:lang w:val="en-GB"/>
              </w:rPr>
              <w:t xml:space="preserve">-2.2317842 </w:t>
            </w:r>
          </w:p>
        </w:tc>
        <w:tc>
          <w:tcPr>
            <w:tcW w:w="1236" w:type="dxa"/>
            <w:shd w:val="clear" w:color="auto" w:fill="FFF2CC" w:themeFill="accent4" w:themeFillTint="33"/>
            <w:vAlign w:val="center"/>
          </w:tcPr>
          <w:p w14:paraId="075E2C92" w14:textId="77777777" w:rsidR="00E9650F" w:rsidRPr="003747CE" w:rsidRDefault="00E9650F" w:rsidP="00933196">
            <w:pPr>
              <w:jc w:val="center"/>
              <w:rPr>
                <w:lang w:val="en-GB"/>
              </w:rPr>
            </w:pPr>
            <w:r w:rsidRPr="003747CE">
              <w:rPr>
                <w:lang w:val="en-GB"/>
              </w:rPr>
              <w:t xml:space="preserve">1.0223670      </w:t>
            </w:r>
          </w:p>
        </w:tc>
        <w:tc>
          <w:tcPr>
            <w:tcW w:w="1442" w:type="dxa"/>
            <w:shd w:val="clear" w:color="auto" w:fill="FFF2CC" w:themeFill="accent4" w:themeFillTint="33"/>
            <w:vAlign w:val="center"/>
          </w:tcPr>
          <w:p w14:paraId="42E0819B" w14:textId="77777777" w:rsidR="00E9650F" w:rsidRPr="003747CE" w:rsidRDefault="00E9650F" w:rsidP="00933196">
            <w:pPr>
              <w:jc w:val="center"/>
              <w:rPr>
                <w:lang w:val="en-GB"/>
              </w:rPr>
            </w:pPr>
            <w:r w:rsidRPr="003747CE">
              <w:rPr>
                <w:lang w:val="en-GB"/>
              </w:rPr>
              <w:t>0.0291 *</w:t>
            </w:r>
          </w:p>
        </w:tc>
      </w:tr>
      <w:tr w:rsidR="00907B87" w:rsidRPr="003747CE" w14:paraId="409F0666" w14:textId="77777777" w:rsidTr="00907B87">
        <w:trPr>
          <w:trHeight w:val="229"/>
        </w:trPr>
        <w:tc>
          <w:tcPr>
            <w:tcW w:w="4962" w:type="dxa"/>
            <w:vAlign w:val="center"/>
          </w:tcPr>
          <w:p w14:paraId="50972846" w14:textId="0A70207C" w:rsidR="00E9650F" w:rsidRPr="003747CE" w:rsidRDefault="00E9650F" w:rsidP="00933196">
            <w:pPr>
              <w:ind w:left="313"/>
              <w:rPr>
                <w:lang w:val="en-GB"/>
              </w:rPr>
            </w:pPr>
            <w:r w:rsidRPr="003747CE">
              <w:rPr>
                <w:lang w:val="en-GB"/>
              </w:rPr>
              <w:t>Registrar</w:t>
            </w:r>
          </w:p>
        </w:tc>
        <w:tc>
          <w:tcPr>
            <w:tcW w:w="1464" w:type="dxa"/>
            <w:vAlign w:val="center"/>
          </w:tcPr>
          <w:p w14:paraId="51F0D5D4" w14:textId="77777777" w:rsidR="00E9650F" w:rsidRPr="003747CE" w:rsidRDefault="00E9650F" w:rsidP="00933196">
            <w:pPr>
              <w:jc w:val="center"/>
              <w:rPr>
                <w:lang w:val="en-GB"/>
              </w:rPr>
            </w:pPr>
            <w:r w:rsidRPr="003747CE">
              <w:rPr>
                <w:lang w:val="en-GB"/>
              </w:rPr>
              <w:t>-</w:t>
            </w:r>
            <w:proofErr w:type="spellStart"/>
            <w:r w:rsidRPr="003747CE">
              <w:rPr>
                <w:lang w:val="en-GB"/>
              </w:rPr>
              <w:t>Inf</w:t>
            </w:r>
            <w:proofErr w:type="spellEnd"/>
          </w:p>
        </w:tc>
        <w:tc>
          <w:tcPr>
            <w:tcW w:w="1236" w:type="dxa"/>
            <w:vAlign w:val="center"/>
          </w:tcPr>
          <w:p w14:paraId="1F47FC09" w14:textId="77777777" w:rsidR="00E9650F" w:rsidRPr="003747CE" w:rsidRDefault="00E9650F" w:rsidP="00933196">
            <w:pPr>
              <w:jc w:val="center"/>
              <w:rPr>
                <w:lang w:val="en-GB"/>
              </w:rPr>
            </w:pPr>
            <w:r w:rsidRPr="003747CE">
              <w:rPr>
                <w:lang w:val="en-GB"/>
              </w:rPr>
              <w:t>0.0000000</w:t>
            </w:r>
          </w:p>
        </w:tc>
        <w:tc>
          <w:tcPr>
            <w:tcW w:w="1442" w:type="dxa"/>
            <w:vAlign w:val="center"/>
          </w:tcPr>
          <w:p w14:paraId="279CACD4" w14:textId="77777777" w:rsidR="00E9650F" w:rsidRPr="003747CE" w:rsidRDefault="00E9650F" w:rsidP="00933196">
            <w:pPr>
              <w:jc w:val="center"/>
              <w:rPr>
                <w:lang w:val="en-GB"/>
              </w:rPr>
            </w:pPr>
            <w:r w:rsidRPr="003747CE">
              <w:rPr>
                <w:lang w:val="en-GB"/>
              </w:rPr>
              <w:t>&lt;0.0001 ***</w:t>
            </w:r>
          </w:p>
        </w:tc>
      </w:tr>
      <w:tr w:rsidR="00907B87" w:rsidRPr="003747CE" w14:paraId="2F2D4C4B" w14:textId="77777777" w:rsidTr="00907B87">
        <w:trPr>
          <w:trHeight w:val="229"/>
        </w:trPr>
        <w:tc>
          <w:tcPr>
            <w:tcW w:w="4962" w:type="dxa"/>
            <w:vAlign w:val="center"/>
          </w:tcPr>
          <w:p w14:paraId="2FC5588A" w14:textId="0A9AE9BA" w:rsidR="00E9650F" w:rsidRPr="003747CE" w:rsidRDefault="00E9650F" w:rsidP="00933196">
            <w:pPr>
              <w:ind w:left="313"/>
              <w:rPr>
                <w:lang w:val="en-GB"/>
              </w:rPr>
            </w:pPr>
            <w:r w:rsidRPr="003747CE">
              <w:rPr>
                <w:lang w:val="en-GB"/>
              </w:rPr>
              <w:t xml:space="preserve">Registry / New </w:t>
            </w:r>
            <w:proofErr w:type="spellStart"/>
            <w:r w:rsidRPr="003747CE">
              <w:rPr>
                <w:lang w:val="en-GB"/>
              </w:rPr>
              <w:t>gTLD</w:t>
            </w:r>
            <w:proofErr w:type="spellEnd"/>
            <w:r w:rsidRPr="003747CE">
              <w:rPr>
                <w:lang w:val="en-GB"/>
              </w:rPr>
              <w:t xml:space="preserve"> Applicant</w:t>
            </w:r>
          </w:p>
        </w:tc>
        <w:tc>
          <w:tcPr>
            <w:tcW w:w="1464" w:type="dxa"/>
            <w:vAlign w:val="center"/>
          </w:tcPr>
          <w:p w14:paraId="40E265AC" w14:textId="77777777" w:rsidR="00E9650F" w:rsidRPr="003747CE" w:rsidRDefault="00E9650F" w:rsidP="00933196">
            <w:pPr>
              <w:jc w:val="center"/>
              <w:rPr>
                <w:lang w:val="en-GB"/>
              </w:rPr>
            </w:pPr>
            <w:r w:rsidRPr="003747CE">
              <w:rPr>
                <w:lang w:val="en-GB"/>
              </w:rPr>
              <w:t xml:space="preserve">1.2582114 </w:t>
            </w:r>
          </w:p>
        </w:tc>
        <w:tc>
          <w:tcPr>
            <w:tcW w:w="1236" w:type="dxa"/>
            <w:vAlign w:val="center"/>
          </w:tcPr>
          <w:p w14:paraId="48635286" w14:textId="77777777" w:rsidR="00E9650F" w:rsidRPr="003747CE" w:rsidRDefault="00E9650F" w:rsidP="00933196">
            <w:pPr>
              <w:jc w:val="center"/>
              <w:rPr>
                <w:lang w:val="en-GB"/>
              </w:rPr>
            </w:pPr>
            <w:r w:rsidRPr="003747CE">
              <w:rPr>
                <w:lang w:val="en-GB"/>
              </w:rPr>
              <w:t xml:space="preserve">0.6875455      </w:t>
            </w:r>
          </w:p>
        </w:tc>
        <w:tc>
          <w:tcPr>
            <w:tcW w:w="1442" w:type="dxa"/>
            <w:vAlign w:val="center"/>
          </w:tcPr>
          <w:p w14:paraId="2561ACC2" w14:textId="77777777" w:rsidR="00E9650F" w:rsidRPr="003747CE" w:rsidRDefault="00E9650F" w:rsidP="00933196">
            <w:pPr>
              <w:jc w:val="center"/>
              <w:rPr>
                <w:lang w:val="en-GB"/>
              </w:rPr>
            </w:pPr>
            <w:r w:rsidRPr="003747CE">
              <w:rPr>
                <w:lang w:val="en-GB"/>
              </w:rPr>
              <w:t>0  0.0673</w:t>
            </w:r>
          </w:p>
        </w:tc>
      </w:tr>
      <w:tr w:rsidR="00907B87" w:rsidRPr="003747CE" w14:paraId="03EFAEE1" w14:textId="77777777" w:rsidTr="00907B87">
        <w:trPr>
          <w:trHeight w:val="229"/>
        </w:trPr>
        <w:tc>
          <w:tcPr>
            <w:tcW w:w="4962" w:type="dxa"/>
            <w:tcBorders>
              <w:bottom w:val="single" w:sz="4" w:space="0" w:color="auto"/>
            </w:tcBorders>
            <w:vAlign w:val="center"/>
          </w:tcPr>
          <w:p w14:paraId="77D4AD76" w14:textId="74052C48" w:rsidR="00E9650F" w:rsidRPr="003747CE" w:rsidRDefault="00E9650F" w:rsidP="00933196">
            <w:pPr>
              <w:ind w:left="313"/>
              <w:rPr>
                <w:lang w:val="en-GB"/>
              </w:rPr>
            </w:pPr>
            <w:r w:rsidRPr="003747CE">
              <w:rPr>
                <w:lang w:val="en-GB"/>
              </w:rPr>
              <w:t>Trade Association</w:t>
            </w:r>
          </w:p>
        </w:tc>
        <w:tc>
          <w:tcPr>
            <w:tcW w:w="1464" w:type="dxa"/>
            <w:tcBorders>
              <w:bottom w:val="single" w:sz="4" w:space="0" w:color="auto"/>
            </w:tcBorders>
            <w:vAlign w:val="center"/>
          </w:tcPr>
          <w:p w14:paraId="350F8E5D" w14:textId="77777777" w:rsidR="00E9650F" w:rsidRPr="003747CE" w:rsidRDefault="00E9650F" w:rsidP="00933196">
            <w:pPr>
              <w:jc w:val="center"/>
              <w:rPr>
                <w:lang w:val="en-GB"/>
              </w:rPr>
            </w:pPr>
            <w:r w:rsidRPr="003747CE">
              <w:rPr>
                <w:lang w:val="en-GB"/>
              </w:rPr>
              <w:t>-0.1024679</w:t>
            </w:r>
          </w:p>
        </w:tc>
        <w:tc>
          <w:tcPr>
            <w:tcW w:w="1236" w:type="dxa"/>
            <w:tcBorders>
              <w:bottom w:val="single" w:sz="4" w:space="0" w:color="auto"/>
            </w:tcBorders>
            <w:vAlign w:val="center"/>
          </w:tcPr>
          <w:p w14:paraId="30D5616C" w14:textId="77777777" w:rsidR="00E9650F" w:rsidRPr="003747CE" w:rsidRDefault="00E9650F" w:rsidP="00933196">
            <w:pPr>
              <w:jc w:val="center"/>
              <w:rPr>
                <w:lang w:val="en-GB"/>
              </w:rPr>
            </w:pPr>
            <w:r w:rsidRPr="003747CE">
              <w:rPr>
                <w:lang w:val="en-GB"/>
              </w:rPr>
              <w:t>0.5417186</w:t>
            </w:r>
          </w:p>
        </w:tc>
        <w:tc>
          <w:tcPr>
            <w:tcW w:w="1442" w:type="dxa"/>
            <w:tcBorders>
              <w:bottom w:val="single" w:sz="4" w:space="0" w:color="auto"/>
            </w:tcBorders>
            <w:vAlign w:val="center"/>
          </w:tcPr>
          <w:p w14:paraId="05074BB2" w14:textId="77777777" w:rsidR="00E9650F" w:rsidRPr="003747CE" w:rsidRDefault="00E9650F" w:rsidP="00933196">
            <w:pPr>
              <w:jc w:val="center"/>
              <w:rPr>
                <w:lang w:val="en-GB"/>
              </w:rPr>
            </w:pPr>
            <w:r w:rsidRPr="003747CE">
              <w:rPr>
                <w:lang w:val="en-GB"/>
              </w:rPr>
              <w:t>0.8500</w:t>
            </w:r>
          </w:p>
        </w:tc>
      </w:tr>
    </w:tbl>
    <w:p w14:paraId="066D6295" w14:textId="2FEF4B62" w:rsidR="009C3C34" w:rsidRDefault="00922719" w:rsidP="00922719">
      <w:pPr>
        <w:spacing w:before="120" w:after="240" w:line="360" w:lineRule="auto"/>
        <w:jc w:val="center"/>
        <w:rPr>
          <w:b/>
          <w:lang w:val="en-GB"/>
        </w:rPr>
      </w:pPr>
      <w:r w:rsidRPr="003747CE">
        <w:rPr>
          <w:b/>
          <w:lang w:val="en-GB"/>
        </w:rPr>
        <w:t xml:space="preserve">Table 3 p*/ERGM Results for network with Compromise ICANN Integrity </w:t>
      </w:r>
      <w:r w:rsidR="00A66C57">
        <w:rPr>
          <w:b/>
          <w:lang w:val="en-GB"/>
        </w:rPr>
        <w:t>DCND</w:t>
      </w:r>
      <w:r w:rsidR="009C3C34">
        <w:rPr>
          <w:b/>
          <w:lang w:val="en-GB"/>
        </w:rPr>
        <w:br w:type="page"/>
      </w:r>
    </w:p>
    <w:tbl>
      <w:tblPr>
        <w:tblStyle w:val="TableGrid"/>
        <w:tblW w:w="91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34"/>
        <w:gridCol w:w="1369"/>
        <w:gridCol w:w="1300"/>
        <w:gridCol w:w="1501"/>
      </w:tblGrid>
      <w:tr w:rsidR="002F3265" w:rsidRPr="003747CE" w14:paraId="07903137" w14:textId="77777777" w:rsidTr="002F3265">
        <w:trPr>
          <w:trHeight w:val="77"/>
        </w:trPr>
        <w:tc>
          <w:tcPr>
            <w:tcW w:w="4934" w:type="dxa"/>
            <w:tcBorders>
              <w:top w:val="single" w:sz="4" w:space="0" w:color="auto"/>
            </w:tcBorders>
            <w:vAlign w:val="center"/>
          </w:tcPr>
          <w:p w14:paraId="2D6B9BB0" w14:textId="77777777" w:rsidR="00E9650F" w:rsidRPr="003747CE" w:rsidRDefault="00E9650F" w:rsidP="00933196">
            <w:pPr>
              <w:jc w:val="center"/>
              <w:rPr>
                <w:lang w:val="en-GB"/>
              </w:rPr>
            </w:pPr>
          </w:p>
        </w:tc>
        <w:tc>
          <w:tcPr>
            <w:tcW w:w="4170" w:type="dxa"/>
            <w:gridSpan w:val="3"/>
            <w:tcBorders>
              <w:top w:val="single" w:sz="4" w:space="0" w:color="auto"/>
              <w:bottom w:val="single" w:sz="4" w:space="0" w:color="auto"/>
            </w:tcBorders>
            <w:vAlign w:val="center"/>
          </w:tcPr>
          <w:p w14:paraId="14407333" w14:textId="77777777" w:rsidR="00E9650F" w:rsidRPr="003747CE" w:rsidRDefault="000219D4" w:rsidP="00933196">
            <w:pPr>
              <w:jc w:val="center"/>
              <w:rPr>
                <w:b/>
                <w:lang w:val="en-GB"/>
              </w:rPr>
            </w:pPr>
            <w:r w:rsidRPr="003747CE">
              <w:rPr>
                <w:b/>
                <w:lang w:val="en-GB"/>
              </w:rPr>
              <w:t>Confidential External Biz Info</w:t>
            </w:r>
          </w:p>
        </w:tc>
      </w:tr>
      <w:tr w:rsidR="002F3265" w:rsidRPr="003747CE" w14:paraId="414CF2A9" w14:textId="77777777" w:rsidTr="002F3265">
        <w:trPr>
          <w:trHeight w:val="325"/>
        </w:trPr>
        <w:tc>
          <w:tcPr>
            <w:tcW w:w="4934" w:type="dxa"/>
            <w:tcBorders>
              <w:bottom w:val="single" w:sz="4" w:space="0" w:color="auto"/>
            </w:tcBorders>
            <w:vAlign w:val="center"/>
          </w:tcPr>
          <w:p w14:paraId="41BCBB9C" w14:textId="77777777" w:rsidR="00E9650F" w:rsidRPr="003747CE" w:rsidRDefault="00E9650F" w:rsidP="00933196">
            <w:pPr>
              <w:rPr>
                <w:lang w:val="en-GB"/>
              </w:rPr>
            </w:pPr>
          </w:p>
        </w:tc>
        <w:tc>
          <w:tcPr>
            <w:tcW w:w="1369" w:type="dxa"/>
            <w:tcBorders>
              <w:top w:val="single" w:sz="4" w:space="0" w:color="auto"/>
              <w:bottom w:val="single" w:sz="4" w:space="0" w:color="auto"/>
            </w:tcBorders>
            <w:vAlign w:val="center"/>
          </w:tcPr>
          <w:p w14:paraId="00762518" w14:textId="77777777" w:rsidR="00E9650F" w:rsidRPr="003747CE" w:rsidRDefault="00E9650F" w:rsidP="00933196">
            <w:pPr>
              <w:jc w:val="center"/>
              <w:rPr>
                <w:b/>
                <w:lang w:val="en-GB"/>
              </w:rPr>
            </w:pPr>
            <w:r w:rsidRPr="003747CE">
              <w:rPr>
                <w:b/>
                <w:lang w:val="en-GB"/>
              </w:rPr>
              <w:t>Estimate</w:t>
            </w:r>
          </w:p>
        </w:tc>
        <w:tc>
          <w:tcPr>
            <w:tcW w:w="1300" w:type="dxa"/>
            <w:tcBorders>
              <w:top w:val="single" w:sz="4" w:space="0" w:color="auto"/>
              <w:bottom w:val="single" w:sz="4" w:space="0" w:color="auto"/>
            </w:tcBorders>
            <w:vAlign w:val="center"/>
          </w:tcPr>
          <w:p w14:paraId="4F79BFE4" w14:textId="77777777" w:rsidR="00E9650F" w:rsidRPr="003747CE" w:rsidRDefault="00E9650F" w:rsidP="00933196">
            <w:pPr>
              <w:jc w:val="center"/>
              <w:rPr>
                <w:b/>
                <w:lang w:val="en-GB"/>
              </w:rPr>
            </w:pPr>
            <w:proofErr w:type="spellStart"/>
            <w:r w:rsidRPr="003747CE">
              <w:rPr>
                <w:b/>
                <w:lang w:val="en-GB"/>
              </w:rPr>
              <w:t>Std</w:t>
            </w:r>
            <w:proofErr w:type="spellEnd"/>
            <w:r w:rsidRPr="003747CE">
              <w:rPr>
                <w:b/>
                <w:lang w:val="en-GB"/>
              </w:rPr>
              <w:t xml:space="preserve"> Error</w:t>
            </w:r>
          </w:p>
        </w:tc>
        <w:tc>
          <w:tcPr>
            <w:tcW w:w="1501" w:type="dxa"/>
            <w:tcBorders>
              <w:top w:val="single" w:sz="4" w:space="0" w:color="auto"/>
              <w:bottom w:val="single" w:sz="4" w:space="0" w:color="auto"/>
            </w:tcBorders>
            <w:vAlign w:val="center"/>
          </w:tcPr>
          <w:p w14:paraId="0CC3742F" w14:textId="77777777" w:rsidR="00E9650F" w:rsidRPr="003747CE" w:rsidRDefault="00E9650F" w:rsidP="00933196">
            <w:pPr>
              <w:jc w:val="center"/>
              <w:rPr>
                <w:b/>
                <w:lang w:val="en-GB"/>
              </w:rPr>
            </w:pPr>
            <w:r w:rsidRPr="003747CE">
              <w:rPr>
                <w:b/>
                <w:lang w:val="en-GB"/>
              </w:rPr>
              <w:t>P-value</w:t>
            </w:r>
          </w:p>
        </w:tc>
      </w:tr>
      <w:tr w:rsidR="002F3265" w:rsidRPr="003747CE" w14:paraId="5EA16E6C" w14:textId="77777777" w:rsidTr="002F3265">
        <w:trPr>
          <w:trHeight w:val="144"/>
        </w:trPr>
        <w:tc>
          <w:tcPr>
            <w:tcW w:w="4934" w:type="dxa"/>
            <w:tcBorders>
              <w:top w:val="single" w:sz="4" w:space="0" w:color="auto"/>
            </w:tcBorders>
            <w:shd w:val="clear" w:color="auto" w:fill="FFF2CC" w:themeFill="accent4" w:themeFillTint="33"/>
            <w:vAlign w:val="center"/>
          </w:tcPr>
          <w:p w14:paraId="40061117" w14:textId="77777777" w:rsidR="00E9650F" w:rsidRPr="003747CE" w:rsidRDefault="00E9650F" w:rsidP="00933196">
            <w:pPr>
              <w:ind w:left="29"/>
              <w:rPr>
                <w:lang w:val="en-GB"/>
              </w:rPr>
            </w:pPr>
            <w:r w:rsidRPr="003747CE">
              <w:rPr>
                <w:lang w:val="en-GB"/>
              </w:rPr>
              <w:t>Edges</w:t>
            </w:r>
          </w:p>
        </w:tc>
        <w:tc>
          <w:tcPr>
            <w:tcW w:w="1369" w:type="dxa"/>
            <w:tcBorders>
              <w:top w:val="single" w:sz="4" w:space="0" w:color="auto"/>
            </w:tcBorders>
            <w:shd w:val="clear" w:color="auto" w:fill="FFF2CC" w:themeFill="accent4" w:themeFillTint="33"/>
            <w:vAlign w:val="center"/>
          </w:tcPr>
          <w:p w14:paraId="43CA7513" w14:textId="77777777" w:rsidR="00E9650F" w:rsidRPr="003747CE" w:rsidRDefault="000219D4" w:rsidP="00933196">
            <w:pPr>
              <w:jc w:val="center"/>
              <w:rPr>
                <w:lang w:val="en-GB"/>
              </w:rPr>
            </w:pPr>
            <w:r w:rsidRPr="003747CE">
              <w:rPr>
                <w:lang w:val="en-GB"/>
              </w:rPr>
              <w:t xml:space="preserve">-1.8499771 </w:t>
            </w:r>
          </w:p>
        </w:tc>
        <w:tc>
          <w:tcPr>
            <w:tcW w:w="1300" w:type="dxa"/>
            <w:tcBorders>
              <w:top w:val="single" w:sz="4" w:space="0" w:color="auto"/>
            </w:tcBorders>
            <w:shd w:val="clear" w:color="auto" w:fill="FFF2CC" w:themeFill="accent4" w:themeFillTint="33"/>
            <w:vAlign w:val="center"/>
          </w:tcPr>
          <w:p w14:paraId="48FA2BF3" w14:textId="77777777" w:rsidR="00E9650F" w:rsidRPr="003747CE" w:rsidRDefault="000219D4" w:rsidP="00933196">
            <w:pPr>
              <w:jc w:val="center"/>
              <w:rPr>
                <w:lang w:val="en-GB"/>
              </w:rPr>
            </w:pPr>
            <w:r w:rsidRPr="003747CE">
              <w:rPr>
                <w:lang w:val="en-GB"/>
              </w:rPr>
              <w:t xml:space="preserve">0.0622953     </w:t>
            </w:r>
          </w:p>
        </w:tc>
        <w:tc>
          <w:tcPr>
            <w:tcW w:w="1501" w:type="dxa"/>
            <w:tcBorders>
              <w:top w:val="single" w:sz="4" w:space="0" w:color="auto"/>
            </w:tcBorders>
            <w:shd w:val="clear" w:color="auto" w:fill="FFF2CC" w:themeFill="accent4" w:themeFillTint="33"/>
            <w:vAlign w:val="center"/>
          </w:tcPr>
          <w:p w14:paraId="4074DF25" w14:textId="77777777" w:rsidR="00E9650F" w:rsidRPr="003747CE" w:rsidRDefault="000219D4" w:rsidP="00933196">
            <w:pPr>
              <w:jc w:val="center"/>
              <w:rPr>
                <w:lang w:val="en-GB"/>
              </w:rPr>
            </w:pPr>
            <w:r w:rsidRPr="003747CE">
              <w:rPr>
                <w:lang w:val="en-GB"/>
              </w:rPr>
              <w:t>&lt; 0.0001 ***</w:t>
            </w:r>
          </w:p>
        </w:tc>
      </w:tr>
      <w:tr w:rsidR="002F3265" w:rsidRPr="003747CE" w14:paraId="495637E1" w14:textId="77777777" w:rsidTr="002F3265">
        <w:trPr>
          <w:trHeight w:val="103"/>
        </w:trPr>
        <w:tc>
          <w:tcPr>
            <w:tcW w:w="4934" w:type="dxa"/>
            <w:shd w:val="clear" w:color="auto" w:fill="FFF2CC" w:themeFill="accent4" w:themeFillTint="33"/>
            <w:vAlign w:val="center"/>
          </w:tcPr>
          <w:p w14:paraId="72161938" w14:textId="77777777" w:rsidR="00E9650F" w:rsidRPr="003747CE" w:rsidRDefault="00E9650F" w:rsidP="00933196">
            <w:pPr>
              <w:ind w:left="29"/>
              <w:rPr>
                <w:lang w:val="en-GB"/>
              </w:rPr>
            </w:pPr>
            <w:proofErr w:type="spellStart"/>
            <w:r w:rsidRPr="003747CE">
              <w:rPr>
                <w:lang w:val="en-GB"/>
              </w:rPr>
              <w:t>Absdiff.word.count</w:t>
            </w:r>
            <w:proofErr w:type="spellEnd"/>
          </w:p>
        </w:tc>
        <w:tc>
          <w:tcPr>
            <w:tcW w:w="1369" w:type="dxa"/>
            <w:shd w:val="clear" w:color="auto" w:fill="FFF2CC" w:themeFill="accent4" w:themeFillTint="33"/>
            <w:vAlign w:val="center"/>
          </w:tcPr>
          <w:p w14:paraId="54D28070" w14:textId="77777777" w:rsidR="00E9650F" w:rsidRPr="003747CE" w:rsidRDefault="000219D4" w:rsidP="00933196">
            <w:pPr>
              <w:jc w:val="center"/>
              <w:rPr>
                <w:lang w:val="en-GB"/>
              </w:rPr>
            </w:pPr>
            <w:r w:rsidRPr="003747CE">
              <w:rPr>
                <w:lang w:val="en-GB"/>
              </w:rPr>
              <w:t xml:space="preserve">-0.0007747 </w:t>
            </w:r>
          </w:p>
        </w:tc>
        <w:tc>
          <w:tcPr>
            <w:tcW w:w="1300" w:type="dxa"/>
            <w:shd w:val="clear" w:color="auto" w:fill="FFF2CC" w:themeFill="accent4" w:themeFillTint="33"/>
            <w:vAlign w:val="center"/>
          </w:tcPr>
          <w:p w14:paraId="2A9635B6" w14:textId="77777777" w:rsidR="00E9650F" w:rsidRPr="003747CE" w:rsidRDefault="000219D4" w:rsidP="00933196">
            <w:pPr>
              <w:jc w:val="center"/>
              <w:rPr>
                <w:lang w:val="en-GB"/>
              </w:rPr>
            </w:pPr>
            <w:r w:rsidRPr="003747CE">
              <w:rPr>
                <w:lang w:val="en-GB"/>
              </w:rPr>
              <w:t xml:space="preserve">0.0001195      </w:t>
            </w:r>
          </w:p>
        </w:tc>
        <w:tc>
          <w:tcPr>
            <w:tcW w:w="1501" w:type="dxa"/>
            <w:shd w:val="clear" w:color="auto" w:fill="FFF2CC" w:themeFill="accent4" w:themeFillTint="33"/>
            <w:vAlign w:val="center"/>
          </w:tcPr>
          <w:p w14:paraId="5F97459B" w14:textId="77777777" w:rsidR="00E9650F" w:rsidRPr="003747CE" w:rsidRDefault="000219D4" w:rsidP="00933196">
            <w:pPr>
              <w:jc w:val="center"/>
              <w:rPr>
                <w:lang w:val="en-GB"/>
              </w:rPr>
            </w:pPr>
            <w:r w:rsidRPr="003747CE">
              <w:rPr>
                <w:lang w:val="en-GB"/>
              </w:rPr>
              <w:t>&lt; 0.0001 ***</w:t>
            </w:r>
          </w:p>
        </w:tc>
      </w:tr>
      <w:tr w:rsidR="002F3265" w:rsidRPr="003747CE" w14:paraId="1F1597CC" w14:textId="77777777" w:rsidTr="002F3265">
        <w:trPr>
          <w:trHeight w:val="103"/>
        </w:trPr>
        <w:tc>
          <w:tcPr>
            <w:tcW w:w="4934" w:type="dxa"/>
            <w:shd w:val="clear" w:color="auto" w:fill="FFF2CC" w:themeFill="accent4" w:themeFillTint="33"/>
            <w:vAlign w:val="center"/>
          </w:tcPr>
          <w:p w14:paraId="0BAA9426" w14:textId="77777777" w:rsidR="00E9650F" w:rsidRPr="003747CE" w:rsidRDefault="00E9650F" w:rsidP="00933196">
            <w:pPr>
              <w:ind w:left="29"/>
              <w:rPr>
                <w:lang w:val="en-GB"/>
              </w:rPr>
            </w:pPr>
            <w:proofErr w:type="spellStart"/>
            <w:r w:rsidRPr="003747CE">
              <w:rPr>
                <w:lang w:val="en-GB"/>
              </w:rPr>
              <w:t>Nodecov.word.count</w:t>
            </w:r>
            <w:proofErr w:type="spellEnd"/>
          </w:p>
        </w:tc>
        <w:tc>
          <w:tcPr>
            <w:tcW w:w="1369" w:type="dxa"/>
            <w:shd w:val="clear" w:color="auto" w:fill="FFF2CC" w:themeFill="accent4" w:themeFillTint="33"/>
            <w:vAlign w:val="center"/>
          </w:tcPr>
          <w:p w14:paraId="2A022E61" w14:textId="77777777" w:rsidR="00E9650F" w:rsidRPr="003747CE" w:rsidRDefault="000219D4" w:rsidP="00933196">
            <w:pPr>
              <w:jc w:val="center"/>
              <w:rPr>
                <w:lang w:val="en-GB"/>
              </w:rPr>
            </w:pPr>
            <w:r w:rsidRPr="003747CE">
              <w:rPr>
                <w:lang w:val="en-GB"/>
              </w:rPr>
              <w:t xml:space="preserve">0.0010410 </w:t>
            </w:r>
          </w:p>
        </w:tc>
        <w:tc>
          <w:tcPr>
            <w:tcW w:w="1300" w:type="dxa"/>
            <w:shd w:val="clear" w:color="auto" w:fill="FFF2CC" w:themeFill="accent4" w:themeFillTint="33"/>
            <w:vAlign w:val="center"/>
          </w:tcPr>
          <w:p w14:paraId="30B9F809" w14:textId="77777777" w:rsidR="00E9650F" w:rsidRPr="003747CE" w:rsidRDefault="000219D4" w:rsidP="00933196">
            <w:pPr>
              <w:jc w:val="center"/>
              <w:rPr>
                <w:lang w:val="en-GB"/>
              </w:rPr>
            </w:pPr>
            <w:r w:rsidRPr="003747CE">
              <w:rPr>
                <w:lang w:val="en-GB"/>
              </w:rPr>
              <w:t>0.0001055</w:t>
            </w:r>
          </w:p>
        </w:tc>
        <w:tc>
          <w:tcPr>
            <w:tcW w:w="1501" w:type="dxa"/>
            <w:shd w:val="clear" w:color="auto" w:fill="FFF2CC" w:themeFill="accent4" w:themeFillTint="33"/>
            <w:vAlign w:val="center"/>
          </w:tcPr>
          <w:p w14:paraId="696D3EF8" w14:textId="77777777" w:rsidR="00E9650F" w:rsidRPr="003747CE" w:rsidRDefault="000219D4" w:rsidP="00933196">
            <w:pPr>
              <w:jc w:val="center"/>
              <w:rPr>
                <w:lang w:val="en-GB"/>
              </w:rPr>
            </w:pPr>
            <w:r w:rsidRPr="003747CE">
              <w:rPr>
                <w:lang w:val="en-GB"/>
              </w:rPr>
              <w:t>&lt; 0.0001 ***</w:t>
            </w:r>
          </w:p>
        </w:tc>
      </w:tr>
      <w:tr w:rsidR="002F3265" w:rsidRPr="003747CE" w14:paraId="36F084F5" w14:textId="77777777" w:rsidTr="002F3265">
        <w:trPr>
          <w:trHeight w:val="103"/>
        </w:trPr>
        <w:tc>
          <w:tcPr>
            <w:tcW w:w="4934" w:type="dxa"/>
            <w:vAlign w:val="center"/>
          </w:tcPr>
          <w:p w14:paraId="1A6D2F93" w14:textId="77777777" w:rsidR="00E9650F" w:rsidRPr="003747CE" w:rsidRDefault="00E9650F" w:rsidP="00933196">
            <w:pPr>
              <w:ind w:left="29"/>
              <w:rPr>
                <w:lang w:val="en-GB"/>
              </w:rPr>
            </w:pPr>
            <w:proofErr w:type="spellStart"/>
            <w:r w:rsidRPr="003747CE">
              <w:rPr>
                <w:lang w:val="en-GB"/>
              </w:rPr>
              <w:t>Nodematch.category</w:t>
            </w:r>
            <w:proofErr w:type="spellEnd"/>
          </w:p>
        </w:tc>
        <w:tc>
          <w:tcPr>
            <w:tcW w:w="1369" w:type="dxa"/>
            <w:shd w:val="clear" w:color="auto" w:fill="auto"/>
            <w:vAlign w:val="center"/>
          </w:tcPr>
          <w:p w14:paraId="69C6D24C" w14:textId="77777777" w:rsidR="00E9650F" w:rsidRPr="003747CE" w:rsidRDefault="00E9650F" w:rsidP="00933196">
            <w:pPr>
              <w:jc w:val="center"/>
              <w:rPr>
                <w:lang w:val="en-GB"/>
              </w:rPr>
            </w:pPr>
          </w:p>
        </w:tc>
        <w:tc>
          <w:tcPr>
            <w:tcW w:w="1300" w:type="dxa"/>
            <w:shd w:val="clear" w:color="auto" w:fill="auto"/>
            <w:vAlign w:val="center"/>
          </w:tcPr>
          <w:p w14:paraId="0B7E9AC9" w14:textId="77777777" w:rsidR="00E9650F" w:rsidRPr="003747CE" w:rsidRDefault="00E9650F" w:rsidP="00933196">
            <w:pPr>
              <w:jc w:val="center"/>
              <w:rPr>
                <w:lang w:val="en-GB"/>
              </w:rPr>
            </w:pPr>
          </w:p>
        </w:tc>
        <w:tc>
          <w:tcPr>
            <w:tcW w:w="1501" w:type="dxa"/>
            <w:shd w:val="clear" w:color="auto" w:fill="auto"/>
            <w:vAlign w:val="center"/>
          </w:tcPr>
          <w:p w14:paraId="1304B716" w14:textId="77777777" w:rsidR="00E9650F" w:rsidRPr="003747CE" w:rsidRDefault="00E9650F" w:rsidP="00933196">
            <w:pPr>
              <w:jc w:val="center"/>
              <w:rPr>
                <w:lang w:val="en-GB"/>
              </w:rPr>
            </w:pPr>
          </w:p>
        </w:tc>
      </w:tr>
      <w:tr w:rsidR="002F3265" w:rsidRPr="003747CE" w14:paraId="216A0D01" w14:textId="77777777" w:rsidTr="002F3265">
        <w:trPr>
          <w:trHeight w:val="367"/>
        </w:trPr>
        <w:tc>
          <w:tcPr>
            <w:tcW w:w="4934" w:type="dxa"/>
            <w:shd w:val="clear" w:color="auto" w:fill="FFF2CC" w:themeFill="accent4" w:themeFillTint="33"/>
            <w:vAlign w:val="center"/>
          </w:tcPr>
          <w:p w14:paraId="44298D29" w14:textId="0580AA57" w:rsidR="00E9650F" w:rsidRPr="003747CE" w:rsidRDefault="00E9650F" w:rsidP="00933196">
            <w:pPr>
              <w:ind w:left="313"/>
              <w:rPr>
                <w:lang w:val="en-GB"/>
              </w:rPr>
            </w:pPr>
            <w:r w:rsidRPr="003747CE">
              <w:rPr>
                <w:lang w:val="en-GB"/>
              </w:rPr>
              <w:t>ICANN Stakeholder Group / Working Group</w:t>
            </w:r>
          </w:p>
        </w:tc>
        <w:tc>
          <w:tcPr>
            <w:tcW w:w="1369" w:type="dxa"/>
            <w:shd w:val="clear" w:color="auto" w:fill="FFF2CC" w:themeFill="accent4" w:themeFillTint="33"/>
            <w:vAlign w:val="center"/>
          </w:tcPr>
          <w:p w14:paraId="091935CA" w14:textId="77777777" w:rsidR="00E9650F" w:rsidRPr="003747CE" w:rsidRDefault="000219D4" w:rsidP="00933196">
            <w:pPr>
              <w:jc w:val="center"/>
              <w:rPr>
                <w:lang w:val="en-GB"/>
              </w:rPr>
            </w:pPr>
            <w:r w:rsidRPr="003747CE">
              <w:rPr>
                <w:lang w:val="en-GB"/>
              </w:rPr>
              <w:t xml:space="preserve">1.8328875 </w:t>
            </w:r>
          </w:p>
        </w:tc>
        <w:tc>
          <w:tcPr>
            <w:tcW w:w="1300" w:type="dxa"/>
            <w:shd w:val="clear" w:color="auto" w:fill="FFF2CC" w:themeFill="accent4" w:themeFillTint="33"/>
            <w:vAlign w:val="center"/>
          </w:tcPr>
          <w:p w14:paraId="27313C55" w14:textId="77777777" w:rsidR="00E9650F" w:rsidRPr="003747CE" w:rsidRDefault="000219D4" w:rsidP="00933196">
            <w:pPr>
              <w:jc w:val="center"/>
              <w:rPr>
                <w:lang w:val="en-GB"/>
              </w:rPr>
            </w:pPr>
            <w:r w:rsidRPr="003747CE">
              <w:rPr>
                <w:lang w:val="en-GB"/>
              </w:rPr>
              <w:t xml:space="preserve">0.3933300      </w:t>
            </w:r>
          </w:p>
        </w:tc>
        <w:tc>
          <w:tcPr>
            <w:tcW w:w="1501" w:type="dxa"/>
            <w:shd w:val="clear" w:color="auto" w:fill="FFF2CC" w:themeFill="accent4" w:themeFillTint="33"/>
            <w:vAlign w:val="center"/>
          </w:tcPr>
          <w:p w14:paraId="26E45A54" w14:textId="77777777" w:rsidR="00E9650F" w:rsidRPr="003747CE" w:rsidRDefault="000219D4" w:rsidP="00933196">
            <w:pPr>
              <w:jc w:val="center"/>
              <w:rPr>
                <w:lang w:val="en-GB"/>
              </w:rPr>
            </w:pPr>
            <w:r w:rsidRPr="003747CE">
              <w:rPr>
                <w:lang w:val="en-GB"/>
              </w:rPr>
              <w:t>&lt; 0.0001 ***</w:t>
            </w:r>
          </w:p>
        </w:tc>
      </w:tr>
      <w:tr w:rsidR="002F3265" w:rsidRPr="003747CE" w14:paraId="18DA1AEB" w14:textId="77777777" w:rsidTr="002F3265">
        <w:trPr>
          <w:trHeight w:val="229"/>
        </w:trPr>
        <w:tc>
          <w:tcPr>
            <w:tcW w:w="4934" w:type="dxa"/>
            <w:vAlign w:val="center"/>
          </w:tcPr>
          <w:p w14:paraId="7C819396" w14:textId="3413798A" w:rsidR="00E9650F" w:rsidRPr="003747CE" w:rsidRDefault="00E9650F" w:rsidP="00933196">
            <w:pPr>
              <w:ind w:left="313"/>
              <w:rPr>
                <w:lang w:val="en-GB"/>
              </w:rPr>
            </w:pPr>
            <w:r w:rsidRPr="003747CE">
              <w:rPr>
                <w:lang w:val="en-GB"/>
              </w:rPr>
              <w:t>Internet Consultancy Firm</w:t>
            </w:r>
          </w:p>
        </w:tc>
        <w:tc>
          <w:tcPr>
            <w:tcW w:w="1369" w:type="dxa"/>
            <w:shd w:val="clear" w:color="auto" w:fill="auto"/>
            <w:vAlign w:val="center"/>
          </w:tcPr>
          <w:p w14:paraId="1207D27D" w14:textId="77777777" w:rsidR="00E9650F" w:rsidRPr="003747CE" w:rsidRDefault="000219D4" w:rsidP="00933196">
            <w:pPr>
              <w:jc w:val="center"/>
              <w:rPr>
                <w:lang w:val="en-GB"/>
              </w:rPr>
            </w:pPr>
            <w:r w:rsidRPr="003747CE">
              <w:rPr>
                <w:lang w:val="en-GB"/>
              </w:rPr>
              <w:t xml:space="preserve">0.6798189 </w:t>
            </w:r>
          </w:p>
        </w:tc>
        <w:tc>
          <w:tcPr>
            <w:tcW w:w="1300" w:type="dxa"/>
            <w:shd w:val="clear" w:color="auto" w:fill="auto"/>
            <w:vAlign w:val="center"/>
          </w:tcPr>
          <w:p w14:paraId="5122B597" w14:textId="77777777" w:rsidR="00E9650F" w:rsidRPr="003747CE" w:rsidRDefault="000219D4" w:rsidP="00933196">
            <w:pPr>
              <w:jc w:val="center"/>
              <w:rPr>
                <w:lang w:val="en-GB"/>
              </w:rPr>
            </w:pPr>
            <w:r w:rsidRPr="003747CE">
              <w:rPr>
                <w:lang w:val="en-GB"/>
              </w:rPr>
              <w:t xml:space="preserve">0.6941035      </w:t>
            </w:r>
          </w:p>
        </w:tc>
        <w:tc>
          <w:tcPr>
            <w:tcW w:w="1501" w:type="dxa"/>
            <w:shd w:val="clear" w:color="auto" w:fill="auto"/>
            <w:vAlign w:val="center"/>
          </w:tcPr>
          <w:p w14:paraId="3B9D33D4" w14:textId="77777777" w:rsidR="00E9650F" w:rsidRPr="003747CE" w:rsidRDefault="000219D4" w:rsidP="00933196">
            <w:pPr>
              <w:jc w:val="center"/>
              <w:rPr>
                <w:lang w:val="en-GB"/>
              </w:rPr>
            </w:pPr>
            <w:r w:rsidRPr="003747CE">
              <w:rPr>
                <w:lang w:val="en-GB"/>
              </w:rPr>
              <w:t>0.32743</w:t>
            </w:r>
          </w:p>
        </w:tc>
      </w:tr>
      <w:tr w:rsidR="002F3265" w:rsidRPr="003747CE" w14:paraId="2217C8B3" w14:textId="77777777" w:rsidTr="002F3265">
        <w:trPr>
          <w:trHeight w:val="229"/>
        </w:trPr>
        <w:tc>
          <w:tcPr>
            <w:tcW w:w="4934" w:type="dxa"/>
            <w:shd w:val="clear" w:color="auto" w:fill="FFF2CC" w:themeFill="accent4" w:themeFillTint="33"/>
            <w:vAlign w:val="center"/>
          </w:tcPr>
          <w:p w14:paraId="0247671E" w14:textId="6A2A63DE" w:rsidR="00E9650F" w:rsidRPr="003747CE" w:rsidRDefault="00E9650F" w:rsidP="00933196">
            <w:pPr>
              <w:ind w:left="313"/>
              <w:rPr>
                <w:lang w:val="en-GB"/>
              </w:rPr>
            </w:pPr>
            <w:r w:rsidRPr="003747CE">
              <w:rPr>
                <w:lang w:val="en-GB"/>
              </w:rPr>
              <w:t>Internet Non-Profit</w:t>
            </w:r>
          </w:p>
        </w:tc>
        <w:tc>
          <w:tcPr>
            <w:tcW w:w="1369" w:type="dxa"/>
            <w:shd w:val="clear" w:color="auto" w:fill="FFF2CC" w:themeFill="accent4" w:themeFillTint="33"/>
            <w:vAlign w:val="center"/>
          </w:tcPr>
          <w:p w14:paraId="084B90CA" w14:textId="77777777" w:rsidR="00E9650F" w:rsidRPr="003747CE" w:rsidRDefault="000219D4" w:rsidP="00933196">
            <w:pPr>
              <w:jc w:val="center"/>
              <w:rPr>
                <w:lang w:val="en-GB"/>
              </w:rPr>
            </w:pPr>
            <w:r w:rsidRPr="003747CE">
              <w:rPr>
                <w:lang w:val="en-GB"/>
              </w:rPr>
              <w:t xml:space="preserve">-0.4493622 </w:t>
            </w:r>
          </w:p>
        </w:tc>
        <w:tc>
          <w:tcPr>
            <w:tcW w:w="1300" w:type="dxa"/>
            <w:shd w:val="clear" w:color="auto" w:fill="FFF2CC" w:themeFill="accent4" w:themeFillTint="33"/>
            <w:vAlign w:val="center"/>
          </w:tcPr>
          <w:p w14:paraId="55FE5346" w14:textId="77777777" w:rsidR="00E9650F" w:rsidRPr="003747CE" w:rsidRDefault="000219D4" w:rsidP="00933196">
            <w:pPr>
              <w:jc w:val="center"/>
              <w:rPr>
                <w:lang w:val="en-GB"/>
              </w:rPr>
            </w:pPr>
            <w:r w:rsidRPr="003747CE">
              <w:rPr>
                <w:lang w:val="en-GB"/>
              </w:rPr>
              <w:t xml:space="preserve">0.1622915     </w:t>
            </w:r>
          </w:p>
        </w:tc>
        <w:tc>
          <w:tcPr>
            <w:tcW w:w="1501" w:type="dxa"/>
            <w:shd w:val="clear" w:color="auto" w:fill="FFF2CC" w:themeFill="accent4" w:themeFillTint="33"/>
            <w:vAlign w:val="center"/>
          </w:tcPr>
          <w:p w14:paraId="18CD969D" w14:textId="77777777" w:rsidR="00E9650F" w:rsidRPr="003747CE" w:rsidRDefault="000219D4" w:rsidP="00933196">
            <w:pPr>
              <w:jc w:val="center"/>
              <w:rPr>
                <w:lang w:val="en-GB"/>
              </w:rPr>
            </w:pPr>
            <w:r w:rsidRPr="003747CE">
              <w:rPr>
                <w:lang w:val="en-GB"/>
              </w:rPr>
              <w:t>0.00565 **</w:t>
            </w:r>
          </w:p>
        </w:tc>
      </w:tr>
      <w:tr w:rsidR="002F3265" w:rsidRPr="003747CE" w14:paraId="1B246E13" w14:textId="77777777" w:rsidTr="002F3265">
        <w:trPr>
          <w:trHeight w:val="199"/>
        </w:trPr>
        <w:tc>
          <w:tcPr>
            <w:tcW w:w="4934" w:type="dxa"/>
            <w:vAlign w:val="center"/>
          </w:tcPr>
          <w:p w14:paraId="057B2F55" w14:textId="77463973" w:rsidR="00E9650F" w:rsidRPr="003747CE" w:rsidRDefault="00E9650F" w:rsidP="00933196">
            <w:pPr>
              <w:ind w:left="313"/>
              <w:rPr>
                <w:lang w:val="en-GB"/>
              </w:rPr>
            </w:pPr>
            <w:r w:rsidRPr="003747CE">
              <w:rPr>
                <w:lang w:val="en-GB"/>
              </w:rPr>
              <w:t>Journalist</w:t>
            </w:r>
          </w:p>
        </w:tc>
        <w:tc>
          <w:tcPr>
            <w:tcW w:w="1369" w:type="dxa"/>
            <w:shd w:val="clear" w:color="auto" w:fill="auto"/>
            <w:vAlign w:val="center"/>
          </w:tcPr>
          <w:p w14:paraId="61D37B1C" w14:textId="77777777" w:rsidR="00E9650F" w:rsidRPr="003747CE" w:rsidRDefault="000219D4" w:rsidP="00933196">
            <w:pPr>
              <w:jc w:val="center"/>
              <w:rPr>
                <w:lang w:val="en-GB"/>
              </w:rPr>
            </w:pPr>
            <w:r w:rsidRPr="003747CE">
              <w:rPr>
                <w:lang w:val="en-GB"/>
              </w:rPr>
              <w:t xml:space="preserve">-0.6179263 </w:t>
            </w:r>
          </w:p>
        </w:tc>
        <w:tc>
          <w:tcPr>
            <w:tcW w:w="1300" w:type="dxa"/>
            <w:shd w:val="clear" w:color="auto" w:fill="auto"/>
            <w:vAlign w:val="center"/>
          </w:tcPr>
          <w:p w14:paraId="0926D9F6" w14:textId="77777777" w:rsidR="00E9650F" w:rsidRPr="003747CE" w:rsidRDefault="000219D4" w:rsidP="00933196">
            <w:pPr>
              <w:jc w:val="center"/>
              <w:rPr>
                <w:lang w:val="en-GB"/>
              </w:rPr>
            </w:pPr>
            <w:r w:rsidRPr="003747CE">
              <w:rPr>
                <w:lang w:val="en-GB"/>
              </w:rPr>
              <w:t xml:space="preserve">0.6134898      </w:t>
            </w:r>
          </w:p>
        </w:tc>
        <w:tc>
          <w:tcPr>
            <w:tcW w:w="1501" w:type="dxa"/>
            <w:shd w:val="clear" w:color="auto" w:fill="auto"/>
            <w:vAlign w:val="center"/>
          </w:tcPr>
          <w:p w14:paraId="32845E5A" w14:textId="77777777" w:rsidR="00E9650F" w:rsidRPr="003747CE" w:rsidRDefault="000219D4" w:rsidP="00933196">
            <w:pPr>
              <w:jc w:val="center"/>
              <w:rPr>
                <w:lang w:val="en-GB"/>
              </w:rPr>
            </w:pPr>
            <w:r w:rsidRPr="003747CE">
              <w:rPr>
                <w:lang w:val="en-GB"/>
              </w:rPr>
              <w:t>0.31388</w:t>
            </w:r>
          </w:p>
        </w:tc>
      </w:tr>
      <w:tr w:rsidR="002F3265" w:rsidRPr="003747CE" w14:paraId="229D6B0C" w14:textId="77777777" w:rsidTr="002F3265">
        <w:trPr>
          <w:trHeight w:val="103"/>
        </w:trPr>
        <w:tc>
          <w:tcPr>
            <w:tcW w:w="4934" w:type="dxa"/>
            <w:vAlign w:val="center"/>
          </w:tcPr>
          <w:p w14:paraId="5F9F9E66" w14:textId="5C16F001" w:rsidR="00E9650F" w:rsidRPr="003747CE" w:rsidRDefault="00E9650F" w:rsidP="00933196">
            <w:pPr>
              <w:ind w:left="313"/>
              <w:rPr>
                <w:lang w:val="en-GB"/>
              </w:rPr>
            </w:pPr>
            <w:r w:rsidRPr="003747CE">
              <w:rPr>
                <w:lang w:val="en-GB"/>
              </w:rPr>
              <w:t>Law Firm / Plaintiff</w:t>
            </w:r>
          </w:p>
        </w:tc>
        <w:tc>
          <w:tcPr>
            <w:tcW w:w="1369" w:type="dxa"/>
            <w:shd w:val="clear" w:color="auto" w:fill="auto"/>
            <w:vAlign w:val="center"/>
          </w:tcPr>
          <w:p w14:paraId="098CA48C" w14:textId="77777777" w:rsidR="00E9650F" w:rsidRPr="003747CE" w:rsidRDefault="000219D4" w:rsidP="00933196">
            <w:pPr>
              <w:jc w:val="center"/>
              <w:rPr>
                <w:lang w:val="en-GB"/>
              </w:rPr>
            </w:pPr>
            <w:r w:rsidRPr="003747CE">
              <w:rPr>
                <w:lang w:val="en-GB"/>
              </w:rPr>
              <w:t xml:space="preserve">-0.5089013 </w:t>
            </w:r>
          </w:p>
        </w:tc>
        <w:tc>
          <w:tcPr>
            <w:tcW w:w="1300" w:type="dxa"/>
            <w:shd w:val="clear" w:color="auto" w:fill="auto"/>
            <w:vAlign w:val="center"/>
          </w:tcPr>
          <w:p w14:paraId="73913B24" w14:textId="77777777" w:rsidR="00E9650F" w:rsidRPr="003747CE" w:rsidRDefault="000219D4" w:rsidP="00933196">
            <w:pPr>
              <w:jc w:val="center"/>
              <w:rPr>
                <w:lang w:val="en-GB"/>
              </w:rPr>
            </w:pPr>
            <w:r w:rsidRPr="003747CE">
              <w:rPr>
                <w:lang w:val="en-GB"/>
              </w:rPr>
              <w:t xml:space="preserve">0.3025035      </w:t>
            </w:r>
          </w:p>
        </w:tc>
        <w:tc>
          <w:tcPr>
            <w:tcW w:w="1501" w:type="dxa"/>
            <w:shd w:val="clear" w:color="auto" w:fill="auto"/>
            <w:vAlign w:val="center"/>
          </w:tcPr>
          <w:p w14:paraId="2596BB55" w14:textId="77777777" w:rsidR="00E9650F" w:rsidRPr="003747CE" w:rsidRDefault="000219D4" w:rsidP="00933196">
            <w:pPr>
              <w:jc w:val="center"/>
              <w:rPr>
                <w:lang w:val="en-GB"/>
              </w:rPr>
            </w:pPr>
            <w:r w:rsidRPr="003747CE">
              <w:rPr>
                <w:lang w:val="en-GB"/>
              </w:rPr>
              <w:t>0.09259</w:t>
            </w:r>
          </w:p>
        </w:tc>
      </w:tr>
      <w:tr w:rsidR="002F3265" w:rsidRPr="003747CE" w14:paraId="043ED5A9" w14:textId="77777777" w:rsidTr="002F3265">
        <w:trPr>
          <w:trHeight w:val="229"/>
        </w:trPr>
        <w:tc>
          <w:tcPr>
            <w:tcW w:w="4934" w:type="dxa"/>
            <w:vAlign w:val="center"/>
          </w:tcPr>
          <w:p w14:paraId="0C20638F" w14:textId="770240AF" w:rsidR="00E9650F" w:rsidRPr="003747CE" w:rsidRDefault="00E9650F" w:rsidP="00933196">
            <w:pPr>
              <w:ind w:left="313"/>
              <w:rPr>
                <w:lang w:val="en-GB"/>
              </w:rPr>
            </w:pPr>
            <w:r w:rsidRPr="003747CE">
              <w:rPr>
                <w:lang w:val="en-GB"/>
              </w:rPr>
              <w:t>Not Known</w:t>
            </w:r>
          </w:p>
        </w:tc>
        <w:tc>
          <w:tcPr>
            <w:tcW w:w="1369" w:type="dxa"/>
            <w:shd w:val="clear" w:color="auto" w:fill="auto"/>
            <w:vAlign w:val="center"/>
          </w:tcPr>
          <w:p w14:paraId="51982144" w14:textId="77777777" w:rsidR="00E9650F" w:rsidRPr="003747CE" w:rsidRDefault="000219D4" w:rsidP="00933196">
            <w:pPr>
              <w:jc w:val="center"/>
              <w:rPr>
                <w:lang w:val="en-GB"/>
              </w:rPr>
            </w:pPr>
            <w:r w:rsidRPr="003747CE">
              <w:rPr>
                <w:lang w:val="en-GB"/>
              </w:rPr>
              <w:t xml:space="preserve">-0.8946826 </w:t>
            </w:r>
          </w:p>
        </w:tc>
        <w:tc>
          <w:tcPr>
            <w:tcW w:w="1300" w:type="dxa"/>
            <w:shd w:val="clear" w:color="auto" w:fill="auto"/>
            <w:vAlign w:val="center"/>
          </w:tcPr>
          <w:p w14:paraId="54411002" w14:textId="77777777" w:rsidR="00E9650F" w:rsidRPr="003747CE" w:rsidRDefault="000219D4" w:rsidP="00933196">
            <w:pPr>
              <w:jc w:val="center"/>
              <w:rPr>
                <w:lang w:val="en-GB"/>
              </w:rPr>
            </w:pPr>
            <w:r w:rsidRPr="003747CE">
              <w:rPr>
                <w:lang w:val="en-GB"/>
              </w:rPr>
              <w:t xml:space="preserve">1.0366815      </w:t>
            </w:r>
          </w:p>
        </w:tc>
        <w:tc>
          <w:tcPr>
            <w:tcW w:w="1501" w:type="dxa"/>
            <w:shd w:val="clear" w:color="auto" w:fill="auto"/>
            <w:vAlign w:val="center"/>
          </w:tcPr>
          <w:p w14:paraId="5F10028D" w14:textId="77777777" w:rsidR="00E9650F" w:rsidRPr="003747CE" w:rsidRDefault="000219D4" w:rsidP="00933196">
            <w:pPr>
              <w:jc w:val="center"/>
              <w:rPr>
                <w:lang w:val="en-GB"/>
              </w:rPr>
            </w:pPr>
            <w:r w:rsidRPr="003747CE">
              <w:rPr>
                <w:lang w:val="en-GB"/>
              </w:rPr>
              <w:t>0.38817</w:t>
            </w:r>
          </w:p>
        </w:tc>
      </w:tr>
      <w:tr w:rsidR="002F3265" w:rsidRPr="003747CE" w14:paraId="7F050544" w14:textId="77777777" w:rsidTr="002F3265">
        <w:trPr>
          <w:trHeight w:val="185"/>
        </w:trPr>
        <w:tc>
          <w:tcPr>
            <w:tcW w:w="4934" w:type="dxa"/>
            <w:vAlign w:val="center"/>
          </w:tcPr>
          <w:p w14:paraId="79976039" w14:textId="2C78701D" w:rsidR="00E9650F" w:rsidRPr="003747CE" w:rsidRDefault="00E9650F" w:rsidP="00933196">
            <w:pPr>
              <w:ind w:left="313"/>
              <w:rPr>
                <w:lang w:val="en-GB"/>
              </w:rPr>
            </w:pPr>
            <w:r w:rsidRPr="003747CE">
              <w:rPr>
                <w:lang w:val="en-GB"/>
              </w:rPr>
              <w:t>Regional At-Large Organization</w:t>
            </w:r>
          </w:p>
        </w:tc>
        <w:tc>
          <w:tcPr>
            <w:tcW w:w="1369" w:type="dxa"/>
            <w:shd w:val="clear" w:color="auto" w:fill="auto"/>
            <w:vAlign w:val="center"/>
          </w:tcPr>
          <w:p w14:paraId="3F5374E0" w14:textId="77777777" w:rsidR="00E9650F" w:rsidRPr="003747CE" w:rsidRDefault="000219D4" w:rsidP="00933196">
            <w:pPr>
              <w:jc w:val="center"/>
              <w:rPr>
                <w:lang w:val="en-GB"/>
              </w:rPr>
            </w:pPr>
            <w:r w:rsidRPr="003747CE">
              <w:rPr>
                <w:lang w:val="en-GB"/>
              </w:rPr>
              <w:t>14.0685039</w:t>
            </w:r>
          </w:p>
        </w:tc>
        <w:tc>
          <w:tcPr>
            <w:tcW w:w="1300" w:type="dxa"/>
            <w:shd w:val="clear" w:color="auto" w:fill="auto"/>
            <w:vAlign w:val="center"/>
          </w:tcPr>
          <w:p w14:paraId="7FB78D1D" w14:textId="77777777" w:rsidR="00E9650F" w:rsidRPr="003747CE" w:rsidRDefault="000219D4" w:rsidP="00933196">
            <w:pPr>
              <w:jc w:val="center"/>
              <w:rPr>
                <w:lang w:val="en-GB"/>
              </w:rPr>
            </w:pPr>
            <w:r w:rsidRPr="003747CE">
              <w:rPr>
                <w:sz w:val="20"/>
                <w:lang w:val="en-GB"/>
              </w:rPr>
              <w:t>187.4908159</w:t>
            </w:r>
          </w:p>
        </w:tc>
        <w:tc>
          <w:tcPr>
            <w:tcW w:w="1501" w:type="dxa"/>
            <w:shd w:val="clear" w:color="auto" w:fill="auto"/>
            <w:vAlign w:val="center"/>
          </w:tcPr>
          <w:p w14:paraId="3FAD8646" w14:textId="77777777" w:rsidR="00E9650F" w:rsidRPr="003747CE" w:rsidRDefault="000219D4" w:rsidP="00933196">
            <w:pPr>
              <w:jc w:val="center"/>
              <w:rPr>
                <w:lang w:val="en-GB"/>
              </w:rPr>
            </w:pPr>
            <w:r w:rsidRPr="003747CE">
              <w:rPr>
                <w:lang w:val="en-GB"/>
              </w:rPr>
              <w:t>0.94019</w:t>
            </w:r>
          </w:p>
        </w:tc>
      </w:tr>
      <w:tr w:rsidR="002F3265" w:rsidRPr="003747CE" w14:paraId="33A58C2E" w14:textId="77777777" w:rsidTr="002F3265">
        <w:trPr>
          <w:trHeight w:val="229"/>
        </w:trPr>
        <w:tc>
          <w:tcPr>
            <w:tcW w:w="4934" w:type="dxa"/>
            <w:vAlign w:val="center"/>
          </w:tcPr>
          <w:p w14:paraId="7EA7F9BC" w14:textId="2371C9CD" w:rsidR="00E9650F" w:rsidRPr="003747CE" w:rsidRDefault="00E9650F" w:rsidP="00933196">
            <w:pPr>
              <w:ind w:left="313"/>
              <w:rPr>
                <w:lang w:val="en-GB"/>
              </w:rPr>
            </w:pPr>
            <w:r w:rsidRPr="003747CE">
              <w:rPr>
                <w:lang w:val="en-GB"/>
              </w:rPr>
              <w:t>Registrant</w:t>
            </w:r>
          </w:p>
        </w:tc>
        <w:tc>
          <w:tcPr>
            <w:tcW w:w="1369" w:type="dxa"/>
            <w:shd w:val="clear" w:color="auto" w:fill="auto"/>
            <w:vAlign w:val="center"/>
          </w:tcPr>
          <w:p w14:paraId="0D24A134" w14:textId="77777777" w:rsidR="00E9650F" w:rsidRPr="003747CE" w:rsidRDefault="000219D4" w:rsidP="00933196">
            <w:pPr>
              <w:jc w:val="center"/>
              <w:rPr>
                <w:lang w:val="en-GB"/>
              </w:rPr>
            </w:pPr>
            <w:r w:rsidRPr="003747CE">
              <w:rPr>
                <w:lang w:val="en-GB"/>
              </w:rPr>
              <w:t xml:space="preserve">-1.8439802 </w:t>
            </w:r>
          </w:p>
        </w:tc>
        <w:tc>
          <w:tcPr>
            <w:tcW w:w="1300" w:type="dxa"/>
            <w:shd w:val="clear" w:color="auto" w:fill="auto"/>
            <w:vAlign w:val="center"/>
          </w:tcPr>
          <w:p w14:paraId="5148FDC3" w14:textId="77777777" w:rsidR="00E9650F" w:rsidRPr="003747CE" w:rsidRDefault="000219D4" w:rsidP="00933196">
            <w:pPr>
              <w:jc w:val="center"/>
              <w:rPr>
                <w:lang w:val="en-GB"/>
              </w:rPr>
            </w:pPr>
            <w:r w:rsidRPr="003747CE">
              <w:rPr>
                <w:lang w:val="en-GB"/>
              </w:rPr>
              <w:t xml:space="preserve">1.0203126   </w:t>
            </w:r>
          </w:p>
        </w:tc>
        <w:tc>
          <w:tcPr>
            <w:tcW w:w="1501" w:type="dxa"/>
            <w:shd w:val="clear" w:color="auto" w:fill="auto"/>
            <w:vAlign w:val="center"/>
          </w:tcPr>
          <w:p w14:paraId="783C12AE" w14:textId="77777777" w:rsidR="00E9650F" w:rsidRPr="003747CE" w:rsidRDefault="000219D4" w:rsidP="00933196">
            <w:pPr>
              <w:jc w:val="center"/>
              <w:rPr>
                <w:lang w:val="en-GB"/>
              </w:rPr>
            </w:pPr>
            <w:r w:rsidRPr="003747CE">
              <w:rPr>
                <w:lang w:val="en-GB"/>
              </w:rPr>
              <w:t>0.07079</w:t>
            </w:r>
          </w:p>
        </w:tc>
      </w:tr>
      <w:tr w:rsidR="002F3265" w:rsidRPr="003747CE" w14:paraId="30154307" w14:textId="77777777" w:rsidTr="002F3265">
        <w:trPr>
          <w:trHeight w:val="229"/>
        </w:trPr>
        <w:tc>
          <w:tcPr>
            <w:tcW w:w="4934" w:type="dxa"/>
            <w:vAlign w:val="center"/>
          </w:tcPr>
          <w:p w14:paraId="70FF9AFF" w14:textId="5F5778F7" w:rsidR="000219D4" w:rsidRPr="003747CE" w:rsidRDefault="000219D4" w:rsidP="00933196">
            <w:pPr>
              <w:ind w:left="313"/>
              <w:rPr>
                <w:lang w:val="en-GB"/>
              </w:rPr>
            </w:pPr>
            <w:r w:rsidRPr="003747CE">
              <w:rPr>
                <w:lang w:val="en-GB"/>
              </w:rPr>
              <w:t>Registrar</w:t>
            </w:r>
          </w:p>
        </w:tc>
        <w:tc>
          <w:tcPr>
            <w:tcW w:w="1369" w:type="dxa"/>
            <w:shd w:val="clear" w:color="auto" w:fill="auto"/>
            <w:vAlign w:val="center"/>
          </w:tcPr>
          <w:p w14:paraId="18EA241F" w14:textId="77777777" w:rsidR="000219D4" w:rsidRPr="003747CE" w:rsidRDefault="000219D4" w:rsidP="00933196">
            <w:pPr>
              <w:jc w:val="center"/>
              <w:rPr>
                <w:lang w:val="en-GB"/>
              </w:rPr>
            </w:pPr>
            <w:r w:rsidRPr="003747CE">
              <w:rPr>
                <w:lang w:val="en-GB"/>
              </w:rPr>
              <w:t>-</w:t>
            </w:r>
            <w:proofErr w:type="spellStart"/>
            <w:r w:rsidRPr="003747CE">
              <w:rPr>
                <w:lang w:val="en-GB"/>
              </w:rPr>
              <w:t>Inf</w:t>
            </w:r>
            <w:proofErr w:type="spellEnd"/>
          </w:p>
        </w:tc>
        <w:tc>
          <w:tcPr>
            <w:tcW w:w="1300" w:type="dxa"/>
            <w:shd w:val="clear" w:color="auto" w:fill="auto"/>
            <w:vAlign w:val="center"/>
          </w:tcPr>
          <w:p w14:paraId="697879EC" w14:textId="77777777" w:rsidR="000219D4" w:rsidRPr="003747CE" w:rsidRDefault="000219D4" w:rsidP="00933196">
            <w:pPr>
              <w:jc w:val="center"/>
              <w:rPr>
                <w:lang w:val="en-GB"/>
              </w:rPr>
            </w:pPr>
            <w:r w:rsidRPr="003747CE">
              <w:rPr>
                <w:lang w:val="en-GB"/>
              </w:rPr>
              <w:t>0.0000000</w:t>
            </w:r>
          </w:p>
        </w:tc>
        <w:tc>
          <w:tcPr>
            <w:tcW w:w="1501" w:type="dxa"/>
            <w:shd w:val="clear" w:color="auto" w:fill="auto"/>
            <w:vAlign w:val="center"/>
          </w:tcPr>
          <w:p w14:paraId="4DEA4992" w14:textId="77777777" w:rsidR="000219D4" w:rsidRPr="003747CE" w:rsidRDefault="000219D4" w:rsidP="00933196">
            <w:pPr>
              <w:jc w:val="center"/>
              <w:rPr>
                <w:lang w:val="en-GB"/>
              </w:rPr>
            </w:pPr>
            <w:r w:rsidRPr="003747CE">
              <w:rPr>
                <w:lang w:val="en-GB"/>
              </w:rPr>
              <w:t>&lt;0.0001 ***</w:t>
            </w:r>
          </w:p>
        </w:tc>
      </w:tr>
      <w:tr w:rsidR="002F3265" w:rsidRPr="003747CE" w14:paraId="68AC0E1D" w14:textId="77777777" w:rsidTr="002F3265">
        <w:trPr>
          <w:trHeight w:val="229"/>
        </w:trPr>
        <w:tc>
          <w:tcPr>
            <w:tcW w:w="4934" w:type="dxa"/>
            <w:vAlign w:val="center"/>
          </w:tcPr>
          <w:p w14:paraId="3AB926FB" w14:textId="39C87E1D" w:rsidR="00E9650F" w:rsidRPr="003747CE" w:rsidRDefault="00E9650F" w:rsidP="00933196">
            <w:pPr>
              <w:ind w:left="313"/>
              <w:rPr>
                <w:lang w:val="en-GB"/>
              </w:rPr>
            </w:pPr>
            <w:r w:rsidRPr="003747CE">
              <w:rPr>
                <w:lang w:val="en-GB"/>
              </w:rPr>
              <w:t xml:space="preserve">Registry / New </w:t>
            </w:r>
            <w:proofErr w:type="spellStart"/>
            <w:r w:rsidRPr="003747CE">
              <w:rPr>
                <w:lang w:val="en-GB"/>
              </w:rPr>
              <w:t>gTLD</w:t>
            </w:r>
            <w:proofErr w:type="spellEnd"/>
            <w:r w:rsidRPr="003747CE">
              <w:rPr>
                <w:lang w:val="en-GB"/>
              </w:rPr>
              <w:t xml:space="preserve"> Applicant</w:t>
            </w:r>
          </w:p>
        </w:tc>
        <w:tc>
          <w:tcPr>
            <w:tcW w:w="1369" w:type="dxa"/>
            <w:shd w:val="clear" w:color="auto" w:fill="auto"/>
            <w:vAlign w:val="center"/>
          </w:tcPr>
          <w:p w14:paraId="6C1930F1" w14:textId="77777777" w:rsidR="00E9650F" w:rsidRPr="003747CE" w:rsidRDefault="000219D4" w:rsidP="00933196">
            <w:pPr>
              <w:jc w:val="center"/>
              <w:rPr>
                <w:lang w:val="en-GB"/>
              </w:rPr>
            </w:pPr>
            <w:r w:rsidRPr="003747CE">
              <w:rPr>
                <w:lang w:val="en-GB"/>
              </w:rPr>
              <w:t xml:space="preserve">0.1932237 </w:t>
            </w:r>
          </w:p>
        </w:tc>
        <w:tc>
          <w:tcPr>
            <w:tcW w:w="1300" w:type="dxa"/>
            <w:shd w:val="clear" w:color="auto" w:fill="auto"/>
            <w:vAlign w:val="center"/>
          </w:tcPr>
          <w:p w14:paraId="1D776B83" w14:textId="77777777" w:rsidR="00E9650F" w:rsidRPr="003747CE" w:rsidRDefault="000219D4" w:rsidP="00933196">
            <w:pPr>
              <w:jc w:val="center"/>
              <w:rPr>
                <w:lang w:val="en-GB"/>
              </w:rPr>
            </w:pPr>
            <w:r w:rsidRPr="003747CE">
              <w:rPr>
                <w:lang w:val="en-GB"/>
              </w:rPr>
              <w:t xml:space="preserve">0.7342138   </w:t>
            </w:r>
          </w:p>
        </w:tc>
        <w:tc>
          <w:tcPr>
            <w:tcW w:w="1501" w:type="dxa"/>
            <w:shd w:val="clear" w:color="auto" w:fill="auto"/>
            <w:vAlign w:val="center"/>
          </w:tcPr>
          <w:p w14:paraId="0964520A" w14:textId="77777777" w:rsidR="00E9650F" w:rsidRPr="003747CE" w:rsidRDefault="000219D4" w:rsidP="00933196">
            <w:pPr>
              <w:jc w:val="center"/>
              <w:rPr>
                <w:lang w:val="en-GB"/>
              </w:rPr>
            </w:pPr>
            <w:r w:rsidRPr="003747CE">
              <w:rPr>
                <w:lang w:val="en-GB"/>
              </w:rPr>
              <w:t>0.79243</w:t>
            </w:r>
          </w:p>
        </w:tc>
      </w:tr>
      <w:tr w:rsidR="002F3265" w:rsidRPr="003747CE" w14:paraId="6A2B2BB0" w14:textId="77777777" w:rsidTr="002F3265">
        <w:trPr>
          <w:trHeight w:val="103"/>
        </w:trPr>
        <w:tc>
          <w:tcPr>
            <w:tcW w:w="4934" w:type="dxa"/>
            <w:tcBorders>
              <w:bottom w:val="single" w:sz="4" w:space="0" w:color="auto"/>
            </w:tcBorders>
            <w:vAlign w:val="center"/>
          </w:tcPr>
          <w:p w14:paraId="2BA66F7D" w14:textId="5B9AE4F7" w:rsidR="00E9650F" w:rsidRPr="003747CE" w:rsidRDefault="00E9650F" w:rsidP="00933196">
            <w:pPr>
              <w:ind w:left="313"/>
              <w:rPr>
                <w:lang w:val="en-GB"/>
              </w:rPr>
            </w:pPr>
            <w:r w:rsidRPr="003747CE">
              <w:rPr>
                <w:lang w:val="en-GB"/>
              </w:rPr>
              <w:t>Trade Association</w:t>
            </w:r>
          </w:p>
        </w:tc>
        <w:tc>
          <w:tcPr>
            <w:tcW w:w="1369" w:type="dxa"/>
            <w:tcBorders>
              <w:bottom w:val="single" w:sz="4" w:space="0" w:color="auto"/>
            </w:tcBorders>
            <w:shd w:val="clear" w:color="auto" w:fill="auto"/>
            <w:vAlign w:val="center"/>
          </w:tcPr>
          <w:p w14:paraId="2B0FD90A" w14:textId="77777777" w:rsidR="00E9650F" w:rsidRPr="003747CE" w:rsidRDefault="000219D4" w:rsidP="00933196">
            <w:pPr>
              <w:jc w:val="center"/>
              <w:rPr>
                <w:lang w:val="en-GB"/>
              </w:rPr>
            </w:pPr>
            <w:r w:rsidRPr="003747CE">
              <w:rPr>
                <w:lang w:val="en-GB"/>
              </w:rPr>
              <w:t xml:space="preserve">0.4992087 </w:t>
            </w:r>
          </w:p>
        </w:tc>
        <w:tc>
          <w:tcPr>
            <w:tcW w:w="1300" w:type="dxa"/>
            <w:tcBorders>
              <w:bottom w:val="single" w:sz="4" w:space="0" w:color="auto"/>
            </w:tcBorders>
            <w:shd w:val="clear" w:color="auto" w:fill="auto"/>
            <w:vAlign w:val="center"/>
          </w:tcPr>
          <w:p w14:paraId="1A062B2D" w14:textId="77777777" w:rsidR="00E9650F" w:rsidRPr="003747CE" w:rsidRDefault="000219D4" w:rsidP="00933196">
            <w:pPr>
              <w:jc w:val="center"/>
              <w:rPr>
                <w:lang w:val="en-GB"/>
              </w:rPr>
            </w:pPr>
            <w:r w:rsidRPr="003747CE">
              <w:rPr>
                <w:lang w:val="en-GB"/>
              </w:rPr>
              <w:t xml:space="preserve">0.4930464      </w:t>
            </w:r>
          </w:p>
        </w:tc>
        <w:tc>
          <w:tcPr>
            <w:tcW w:w="1501" w:type="dxa"/>
            <w:tcBorders>
              <w:bottom w:val="single" w:sz="4" w:space="0" w:color="auto"/>
            </w:tcBorders>
            <w:shd w:val="clear" w:color="auto" w:fill="auto"/>
            <w:vAlign w:val="center"/>
          </w:tcPr>
          <w:p w14:paraId="79B32F51" w14:textId="77777777" w:rsidR="00E9650F" w:rsidRPr="003747CE" w:rsidRDefault="000219D4" w:rsidP="00933196">
            <w:pPr>
              <w:jc w:val="center"/>
              <w:rPr>
                <w:lang w:val="en-GB"/>
              </w:rPr>
            </w:pPr>
            <w:r w:rsidRPr="003747CE">
              <w:rPr>
                <w:lang w:val="en-GB"/>
              </w:rPr>
              <w:t>0.31136</w:t>
            </w:r>
          </w:p>
        </w:tc>
      </w:tr>
    </w:tbl>
    <w:p w14:paraId="3C744DA4" w14:textId="4A2EA5D2" w:rsidR="003C6644" w:rsidRPr="003747CE" w:rsidRDefault="00922719" w:rsidP="009C3C34">
      <w:pPr>
        <w:spacing w:before="120" w:after="240" w:line="360" w:lineRule="auto"/>
        <w:jc w:val="center"/>
        <w:rPr>
          <w:b/>
          <w:lang w:val="en-GB"/>
        </w:rPr>
      </w:pPr>
      <w:r w:rsidRPr="003747CE">
        <w:rPr>
          <w:b/>
          <w:lang w:val="en-GB"/>
        </w:rPr>
        <w:t xml:space="preserve">Table 4 p*/ERGM Results for network with </w:t>
      </w:r>
      <w:r w:rsidR="00E81D27" w:rsidRPr="003747CE">
        <w:rPr>
          <w:b/>
          <w:lang w:val="en-GB"/>
        </w:rPr>
        <w:br/>
      </w:r>
      <w:r w:rsidRPr="003747CE">
        <w:rPr>
          <w:b/>
          <w:lang w:val="en-GB"/>
        </w:rPr>
        <w:t xml:space="preserve">Confidential External Business Information </w:t>
      </w:r>
      <w:r w:rsidR="00A66C57">
        <w:rPr>
          <w:b/>
          <w:lang w:val="en-GB"/>
        </w:rPr>
        <w:t>DCND</w:t>
      </w:r>
    </w:p>
    <w:p w14:paraId="24E0FB38" w14:textId="270D1892" w:rsidR="00676755" w:rsidRPr="003747CE" w:rsidRDefault="003A246D" w:rsidP="00D209EB">
      <w:pPr>
        <w:spacing w:after="120" w:line="480" w:lineRule="auto"/>
        <w:jc w:val="center"/>
        <w:outlineLvl w:val="0"/>
        <w:rPr>
          <w:b/>
          <w:lang w:val="en-GB"/>
        </w:rPr>
      </w:pPr>
      <w:r w:rsidRPr="003747CE">
        <w:rPr>
          <w:b/>
          <w:lang w:val="en-GB"/>
        </w:rPr>
        <w:t>D</w:t>
      </w:r>
      <w:r w:rsidR="00676755" w:rsidRPr="003747CE">
        <w:rPr>
          <w:b/>
          <w:lang w:val="en-GB"/>
        </w:rPr>
        <w:t>iscussion</w:t>
      </w:r>
    </w:p>
    <w:p w14:paraId="485AFA4F" w14:textId="44C413AF" w:rsidR="000B21F3" w:rsidRPr="003747CE" w:rsidRDefault="00E81D27" w:rsidP="00D209EB">
      <w:pPr>
        <w:spacing w:after="120" w:line="480" w:lineRule="auto"/>
        <w:rPr>
          <w:lang w:val="en-GB"/>
        </w:rPr>
      </w:pPr>
      <w:r w:rsidRPr="003747CE">
        <w:rPr>
          <w:lang w:val="en-GB"/>
        </w:rPr>
        <w:tab/>
        <w:t xml:space="preserve">I </w:t>
      </w:r>
      <w:r w:rsidR="00255163">
        <w:rPr>
          <w:lang w:val="en-GB"/>
        </w:rPr>
        <w:t>analysed</w:t>
      </w:r>
      <w:r w:rsidRPr="003747CE">
        <w:rPr>
          <w:lang w:val="en-GB"/>
        </w:rPr>
        <w:t xml:space="preserve"> ICANN’s DIDP in relation to DCND assigned to each DIDP request.</w:t>
      </w:r>
      <w:r w:rsidR="00F81F8B" w:rsidRPr="003747CE">
        <w:rPr>
          <w:lang w:val="en-GB"/>
        </w:rPr>
        <w:t xml:space="preserve"> I hypothesised that individuals and organisations, which fell into the same category / industry sector, would receive similar DCND. I also postulated that DIDP requests with a higher word count would receive more DCND, than DIDP requests with a lower word count.</w:t>
      </w:r>
      <w:r w:rsidR="000B21F3" w:rsidRPr="003747CE">
        <w:rPr>
          <w:lang w:val="en-GB"/>
        </w:rPr>
        <w:t xml:space="preserve"> </w:t>
      </w:r>
      <w:r w:rsidR="00F81F8B" w:rsidRPr="003747CE">
        <w:rPr>
          <w:lang w:val="en-GB"/>
        </w:rPr>
        <w:t xml:space="preserve">I demonstrated that more DCND </w:t>
      </w:r>
      <w:r w:rsidR="000B21F3" w:rsidRPr="003747CE">
        <w:rPr>
          <w:lang w:val="en-GB"/>
        </w:rPr>
        <w:t xml:space="preserve">were </w:t>
      </w:r>
      <w:r w:rsidR="00F81F8B" w:rsidRPr="003747CE">
        <w:rPr>
          <w:lang w:val="en-GB"/>
        </w:rPr>
        <w:t xml:space="preserve">received by requests with a larger word count, while the request affiliation category only had a partial effect on the type of </w:t>
      </w:r>
      <w:r w:rsidR="00DE6397" w:rsidRPr="003747CE">
        <w:rPr>
          <w:lang w:val="en-GB"/>
        </w:rPr>
        <w:t xml:space="preserve">DCND </w:t>
      </w:r>
      <w:r w:rsidR="00F81F8B" w:rsidRPr="003747CE">
        <w:rPr>
          <w:lang w:val="en-GB"/>
        </w:rPr>
        <w:t>received.</w:t>
      </w:r>
      <w:r w:rsidR="007D1DA0" w:rsidRPr="003747CE">
        <w:rPr>
          <w:lang w:val="en-GB"/>
        </w:rPr>
        <w:t xml:space="preserve"> </w:t>
      </w:r>
      <w:r w:rsidR="00F351AF">
        <w:rPr>
          <w:lang w:val="en-GB"/>
        </w:rPr>
        <w:t>Thus,</w:t>
      </w:r>
      <w:r w:rsidR="000B21F3" w:rsidRPr="003747CE">
        <w:rPr>
          <w:lang w:val="en-GB"/>
        </w:rPr>
        <w:t xml:space="preserve"> H1 was partially proven, and H2 was fully proven.</w:t>
      </w:r>
    </w:p>
    <w:p w14:paraId="0FFC507C" w14:textId="57763C77" w:rsidR="00CB147A" w:rsidRDefault="00BD086E" w:rsidP="00D209EB">
      <w:pPr>
        <w:spacing w:after="120" w:line="480" w:lineRule="auto"/>
        <w:ind w:firstLine="720"/>
        <w:rPr>
          <w:lang w:val="en-GB"/>
        </w:rPr>
      </w:pPr>
      <w:r>
        <w:rPr>
          <w:lang w:val="en-GB"/>
        </w:rPr>
        <w:t>C</w:t>
      </w:r>
      <w:r w:rsidRPr="003747CE">
        <w:rPr>
          <w:lang w:val="en-GB"/>
        </w:rPr>
        <w:t>ompared to the other networks, the ERGM</w:t>
      </w:r>
      <w:r>
        <w:rPr>
          <w:lang w:val="en-GB"/>
        </w:rPr>
        <w:t xml:space="preserve"> results f</w:t>
      </w:r>
      <w:r w:rsidRPr="003747CE">
        <w:rPr>
          <w:lang w:val="en-GB"/>
        </w:rPr>
        <w:t>r</w:t>
      </w:r>
      <w:r>
        <w:rPr>
          <w:lang w:val="en-GB"/>
        </w:rPr>
        <w:t>o</w:t>
      </w:r>
      <w:r w:rsidRPr="003747CE">
        <w:rPr>
          <w:lang w:val="en-GB"/>
        </w:rPr>
        <w:t>m the Affect Individual network were not so enlightening</w:t>
      </w:r>
      <w:r w:rsidR="00DD06F0">
        <w:rPr>
          <w:lang w:val="en-GB"/>
        </w:rPr>
        <w:t xml:space="preserve">, as </w:t>
      </w:r>
      <w:r w:rsidRPr="003747CE">
        <w:rPr>
          <w:lang w:val="en-GB"/>
        </w:rPr>
        <w:t>the network was a maximum complete subgraph with 85 isolates. Six requests received d. Personal information and only one received g. Endanger the life, health, or safety of any individual.</w:t>
      </w:r>
      <w:r w:rsidR="00CB147A">
        <w:rPr>
          <w:lang w:val="en-GB"/>
        </w:rPr>
        <w:t xml:space="preserve"> It would be </w:t>
      </w:r>
      <w:r w:rsidR="00DD06F0">
        <w:rPr>
          <w:lang w:val="en-GB"/>
        </w:rPr>
        <w:t>worthwhile</w:t>
      </w:r>
      <w:r w:rsidR="00CB147A">
        <w:rPr>
          <w:lang w:val="en-GB"/>
        </w:rPr>
        <w:t xml:space="preserve"> reanalysing this category, when more DIDP requests have been submitted to ICANN.</w:t>
      </w:r>
    </w:p>
    <w:p w14:paraId="28DA7B4D" w14:textId="60351EA3" w:rsidR="00602F62" w:rsidRDefault="00CB147A" w:rsidP="00D209EB">
      <w:pPr>
        <w:spacing w:after="120" w:line="480" w:lineRule="auto"/>
        <w:ind w:firstLine="720"/>
        <w:rPr>
          <w:lang w:val="en-GB"/>
        </w:rPr>
      </w:pPr>
      <w:r w:rsidRPr="003747CE">
        <w:rPr>
          <w:lang w:val="en-GB"/>
        </w:rPr>
        <w:lastRenderedPageBreak/>
        <w:t>ICANN Stakeholder Groups / Working Groups were more likely to receive conditions in every condition cat</w:t>
      </w:r>
      <w:r>
        <w:rPr>
          <w:lang w:val="en-GB"/>
        </w:rPr>
        <w:t xml:space="preserve">egory except Affect Individual. </w:t>
      </w:r>
      <w:r w:rsidR="00BD086E">
        <w:rPr>
          <w:lang w:val="en-GB"/>
        </w:rPr>
        <w:t xml:space="preserve">The fact that </w:t>
      </w:r>
      <w:r w:rsidR="00BD086E" w:rsidRPr="003747CE">
        <w:rPr>
          <w:lang w:val="en-GB"/>
        </w:rPr>
        <w:t>ICANN Stakeholder Groups / Working Groups were more likely to receive</w:t>
      </w:r>
      <w:r w:rsidR="00BD086E" w:rsidRPr="00BD086E">
        <w:rPr>
          <w:lang w:val="en-GB"/>
        </w:rPr>
        <w:t xml:space="preserve"> </w:t>
      </w:r>
      <w:r w:rsidR="00BD086E">
        <w:rPr>
          <w:lang w:val="en-GB"/>
        </w:rPr>
        <w:t>Burdensome, ICANN I</w:t>
      </w:r>
      <w:r w:rsidR="00BD086E" w:rsidRPr="003747CE">
        <w:rPr>
          <w:lang w:val="en-GB"/>
        </w:rPr>
        <w:t>ntegrity</w:t>
      </w:r>
      <w:r w:rsidR="00BD086E">
        <w:rPr>
          <w:lang w:val="en-GB"/>
        </w:rPr>
        <w:t>,</w:t>
      </w:r>
      <w:r w:rsidR="00BD086E" w:rsidRPr="003747CE">
        <w:rPr>
          <w:lang w:val="en-GB"/>
        </w:rPr>
        <w:t xml:space="preserve"> and </w:t>
      </w:r>
      <w:r w:rsidR="00BD086E">
        <w:rPr>
          <w:lang w:val="en-GB"/>
        </w:rPr>
        <w:t>Confidential External Business Information</w:t>
      </w:r>
      <w:r w:rsidR="009909FC">
        <w:rPr>
          <w:lang w:val="en-GB"/>
        </w:rPr>
        <w:t xml:space="preserve"> [the majority of]</w:t>
      </w:r>
      <w:r w:rsidR="00BD086E">
        <w:rPr>
          <w:lang w:val="en-GB"/>
        </w:rPr>
        <w:t xml:space="preserve"> conditions suggests that </w:t>
      </w:r>
      <w:r w:rsidR="00E9038C">
        <w:rPr>
          <w:lang w:val="en-GB"/>
        </w:rPr>
        <w:t xml:space="preserve">their requests were for </w:t>
      </w:r>
      <w:r>
        <w:rPr>
          <w:lang w:val="en-GB"/>
        </w:rPr>
        <w:t xml:space="preserve">what ICANN </w:t>
      </w:r>
      <w:r w:rsidR="002609D0">
        <w:rPr>
          <w:lang w:val="en-GB"/>
        </w:rPr>
        <w:t>considers</w:t>
      </w:r>
      <w:r>
        <w:rPr>
          <w:lang w:val="en-GB"/>
        </w:rPr>
        <w:t xml:space="preserve"> as</w:t>
      </w:r>
      <w:r w:rsidR="00255163">
        <w:rPr>
          <w:lang w:val="en-GB"/>
        </w:rPr>
        <w:t xml:space="preserve"> sensitive and</w:t>
      </w:r>
      <w:r w:rsidR="00602F62">
        <w:rPr>
          <w:lang w:val="en-GB"/>
        </w:rPr>
        <w:t>/or</w:t>
      </w:r>
      <w:r w:rsidR="00255163">
        <w:rPr>
          <w:lang w:val="en-GB"/>
        </w:rPr>
        <w:t xml:space="preserve"> contentious information</w:t>
      </w:r>
      <w:r>
        <w:rPr>
          <w:lang w:val="en-GB"/>
        </w:rPr>
        <w:t xml:space="preserve">. ICANN </w:t>
      </w:r>
      <w:r w:rsidRPr="003747CE">
        <w:rPr>
          <w:lang w:val="en-GB"/>
        </w:rPr>
        <w:t>Stakeholder Groups / Working Groups</w:t>
      </w:r>
      <w:r>
        <w:rPr>
          <w:lang w:val="en-GB"/>
        </w:rPr>
        <w:t xml:space="preserve"> are heavily embedded within ICANN’s day-to-day operations. </w:t>
      </w:r>
      <w:r w:rsidR="008633D6">
        <w:rPr>
          <w:lang w:val="en-GB"/>
        </w:rPr>
        <w:t xml:space="preserve">Four </w:t>
      </w:r>
      <w:r w:rsidR="00BE74DA">
        <w:rPr>
          <w:lang w:val="en-GB"/>
        </w:rPr>
        <w:t xml:space="preserve">[of the eight overall] </w:t>
      </w:r>
      <w:r w:rsidR="008633D6">
        <w:rPr>
          <w:lang w:val="en-GB"/>
        </w:rPr>
        <w:t>requests</w:t>
      </w:r>
      <w:r w:rsidR="00BE74DA">
        <w:rPr>
          <w:lang w:val="en-GB"/>
        </w:rPr>
        <w:t xml:space="preserve"> </w:t>
      </w:r>
      <w:r w:rsidR="008633D6">
        <w:rPr>
          <w:lang w:val="en-GB"/>
        </w:rPr>
        <w:t>came from members of t</w:t>
      </w:r>
      <w:r>
        <w:rPr>
          <w:lang w:val="en-GB"/>
        </w:rPr>
        <w:t xml:space="preserve">he Cross Community Working Group to Develop an IANA Stewardship Transition </w:t>
      </w:r>
      <w:r w:rsidRPr="00CB147A">
        <w:rPr>
          <w:lang w:val="en-GB"/>
        </w:rPr>
        <w:t>Proposal</w:t>
      </w:r>
      <w:r w:rsidR="008633D6">
        <w:rPr>
          <w:lang w:val="en-GB"/>
        </w:rPr>
        <w:t xml:space="preserve"> </w:t>
      </w:r>
      <w:r w:rsidRPr="00CB147A">
        <w:rPr>
          <w:lang w:val="en-GB"/>
        </w:rPr>
        <w:t>on Naming Related Functions</w:t>
      </w:r>
      <w:r w:rsidR="00E9038C">
        <w:rPr>
          <w:lang w:val="en-GB"/>
        </w:rPr>
        <w:t xml:space="preserve"> (CWG on Stewardship Transition)</w:t>
      </w:r>
      <w:r>
        <w:rPr>
          <w:lang w:val="en-GB"/>
        </w:rPr>
        <w:t xml:space="preserve">, </w:t>
      </w:r>
      <w:r w:rsidR="002609D0">
        <w:rPr>
          <w:lang w:val="en-GB"/>
        </w:rPr>
        <w:t xml:space="preserve">a group </w:t>
      </w:r>
      <w:r w:rsidR="008633D6">
        <w:rPr>
          <w:lang w:val="en-GB"/>
        </w:rPr>
        <w:t>which</w:t>
      </w:r>
      <w:r>
        <w:rPr>
          <w:lang w:val="en-GB"/>
        </w:rPr>
        <w:t xml:space="preserve"> </w:t>
      </w:r>
      <w:r w:rsidR="00875317">
        <w:rPr>
          <w:lang w:val="en-GB"/>
        </w:rPr>
        <w:t>has been</w:t>
      </w:r>
      <w:r>
        <w:rPr>
          <w:lang w:val="en-GB"/>
        </w:rPr>
        <w:t xml:space="preserve"> a fundamental cog in the IANA transition wheel</w:t>
      </w:r>
      <w:r w:rsidR="00602F62">
        <w:rPr>
          <w:lang w:val="en-GB"/>
        </w:rPr>
        <w:t xml:space="preserve">. </w:t>
      </w:r>
      <w:r w:rsidR="00E9038C">
        <w:rPr>
          <w:lang w:val="en-GB"/>
        </w:rPr>
        <w:t xml:space="preserve">Two requests </w:t>
      </w:r>
      <w:r w:rsidR="008633D6">
        <w:rPr>
          <w:lang w:val="en-GB"/>
        </w:rPr>
        <w:t>came from the Non-Commercial Stakeholder Group (NCSG), which is part of the Generic Names Supporting Organisation (GNSO)</w:t>
      </w:r>
      <w:r w:rsidR="00E9038C">
        <w:rPr>
          <w:lang w:val="en-GB"/>
        </w:rPr>
        <w:t xml:space="preserve">, the policy-making body for </w:t>
      </w:r>
      <w:proofErr w:type="spellStart"/>
      <w:r w:rsidR="00E9038C">
        <w:rPr>
          <w:lang w:val="en-GB"/>
        </w:rPr>
        <w:t>gTLDs</w:t>
      </w:r>
      <w:proofErr w:type="spellEnd"/>
      <w:r w:rsidR="00E9038C">
        <w:rPr>
          <w:lang w:val="en-GB"/>
        </w:rPr>
        <w:t xml:space="preserve">. The GNSO is </w:t>
      </w:r>
      <w:r w:rsidR="002609D0">
        <w:rPr>
          <w:lang w:val="en-GB"/>
        </w:rPr>
        <w:t xml:space="preserve">the overarching body </w:t>
      </w:r>
      <w:r w:rsidR="00E9038C">
        <w:rPr>
          <w:lang w:val="en-GB"/>
        </w:rPr>
        <w:t>responsible for the CWG on Stewardship Transition.</w:t>
      </w:r>
      <w:r w:rsidR="00FC6734">
        <w:rPr>
          <w:lang w:val="en-GB"/>
        </w:rPr>
        <w:t xml:space="preserve"> </w:t>
      </w:r>
      <w:r w:rsidR="00250DBF">
        <w:rPr>
          <w:lang w:val="en-GB"/>
        </w:rPr>
        <w:t xml:space="preserve">As the stakeholders and working groups are dealing with the politically sensitive IANA stewardship transition process, they are more likely to be asking for complex and sensitive information pertaining to the transition. </w:t>
      </w:r>
      <w:r w:rsidR="002609D0">
        <w:rPr>
          <w:lang w:val="en-GB"/>
        </w:rPr>
        <w:t>Thus, ICANN is more likely to enforce DCND</w:t>
      </w:r>
      <w:r w:rsidR="00A605A3">
        <w:rPr>
          <w:lang w:val="en-GB"/>
        </w:rPr>
        <w:t xml:space="preserve"> in response to their requests</w:t>
      </w:r>
      <w:r w:rsidR="002609D0">
        <w:rPr>
          <w:lang w:val="en-GB"/>
        </w:rPr>
        <w:t xml:space="preserve">. </w:t>
      </w:r>
    </w:p>
    <w:p w14:paraId="238DC690" w14:textId="2028FF12" w:rsidR="00BD086E" w:rsidRDefault="002609D0" w:rsidP="00D209EB">
      <w:pPr>
        <w:spacing w:after="120" w:line="480" w:lineRule="auto"/>
        <w:ind w:firstLine="720"/>
        <w:rPr>
          <w:lang w:val="en-GB"/>
        </w:rPr>
      </w:pPr>
      <w:r>
        <w:rPr>
          <w:lang w:val="en-GB"/>
        </w:rPr>
        <w:t xml:space="preserve">Law firms / plaintiffs were less likely to receive Burdensome conditions. </w:t>
      </w:r>
      <w:r w:rsidR="00A605A3">
        <w:rPr>
          <w:lang w:val="en-GB"/>
        </w:rPr>
        <w:t>This may be because they request</w:t>
      </w:r>
      <w:r w:rsidR="005D3CBF">
        <w:rPr>
          <w:lang w:val="en-GB"/>
        </w:rPr>
        <w:t>ed</w:t>
      </w:r>
      <w:r w:rsidR="00A605A3">
        <w:rPr>
          <w:lang w:val="en-GB"/>
        </w:rPr>
        <w:t xml:space="preserve"> precise information in relation to a specific case</w:t>
      </w:r>
      <w:r w:rsidR="000314EB">
        <w:rPr>
          <w:lang w:val="en-GB"/>
        </w:rPr>
        <w:t xml:space="preserve"> that they </w:t>
      </w:r>
      <w:r w:rsidR="005D3CBF">
        <w:rPr>
          <w:lang w:val="en-GB"/>
        </w:rPr>
        <w:t>were</w:t>
      </w:r>
      <w:r w:rsidR="000314EB">
        <w:rPr>
          <w:lang w:val="en-GB"/>
        </w:rPr>
        <w:t xml:space="preserve"> working on</w:t>
      </w:r>
      <w:r w:rsidR="004C6680">
        <w:rPr>
          <w:lang w:val="en-GB"/>
        </w:rPr>
        <w:t xml:space="preserve">, and therefore </w:t>
      </w:r>
      <w:r w:rsidR="005D3CBF">
        <w:rPr>
          <w:lang w:val="en-GB"/>
        </w:rPr>
        <w:t>were</w:t>
      </w:r>
      <w:r w:rsidR="004C6680">
        <w:rPr>
          <w:lang w:val="en-GB"/>
        </w:rPr>
        <w:t xml:space="preserve"> less likely to ask for </w:t>
      </w:r>
      <w:r w:rsidR="007F080A">
        <w:rPr>
          <w:lang w:val="en-GB"/>
        </w:rPr>
        <w:t>excessive or unreasonable quantities of information</w:t>
      </w:r>
      <w:r w:rsidR="00A605A3">
        <w:rPr>
          <w:lang w:val="en-GB"/>
        </w:rPr>
        <w:t xml:space="preserve">. </w:t>
      </w:r>
      <w:r w:rsidR="006667F0" w:rsidRPr="006667F0">
        <w:rPr>
          <w:lang w:val="en-GB"/>
        </w:rPr>
        <w:t xml:space="preserve">As the </w:t>
      </w:r>
      <w:r w:rsidR="006667F0">
        <w:rPr>
          <w:lang w:val="en-GB"/>
        </w:rPr>
        <w:t xml:space="preserve">New </w:t>
      </w:r>
      <w:proofErr w:type="spellStart"/>
      <w:r w:rsidR="006667F0">
        <w:rPr>
          <w:lang w:val="en-GB"/>
        </w:rPr>
        <w:t>gTLD</w:t>
      </w:r>
      <w:proofErr w:type="spellEnd"/>
      <w:r w:rsidR="006667F0">
        <w:rPr>
          <w:lang w:val="en-GB"/>
        </w:rPr>
        <w:t xml:space="preserve"> Program has rolled out over the past few years, </w:t>
      </w:r>
      <w:r w:rsidR="001D1537">
        <w:rPr>
          <w:lang w:val="en-GB"/>
        </w:rPr>
        <w:t>attorneys of current or would-be registry operators</w:t>
      </w:r>
      <w:r w:rsidR="006667F0">
        <w:rPr>
          <w:lang w:val="en-GB"/>
        </w:rPr>
        <w:t xml:space="preserve"> </w:t>
      </w:r>
      <w:r w:rsidR="001D1537">
        <w:rPr>
          <w:lang w:val="en-GB"/>
        </w:rPr>
        <w:t>have called some of ICANN’s</w:t>
      </w:r>
      <w:r w:rsidR="005F5D94">
        <w:rPr>
          <w:lang w:val="en-GB"/>
        </w:rPr>
        <w:t xml:space="preserve"> internal policies and procedures into question (e.g. requests </w:t>
      </w:r>
      <w:r w:rsidR="005F5D94" w:rsidRPr="005F5D94">
        <w:rPr>
          <w:lang w:val="en-GB"/>
        </w:rPr>
        <w:t>20140904-1</w:t>
      </w:r>
      <w:r w:rsidR="005F5D94">
        <w:rPr>
          <w:lang w:val="en-GB"/>
        </w:rPr>
        <w:t xml:space="preserve">; </w:t>
      </w:r>
      <w:r w:rsidR="005F5D94" w:rsidRPr="005F5D94">
        <w:rPr>
          <w:lang w:val="en-GB"/>
        </w:rPr>
        <w:t>20140917-1</w:t>
      </w:r>
      <w:r w:rsidR="00230768">
        <w:rPr>
          <w:lang w:val="en-GB"/>
        </w:rPr>
        <w:t>, among others</w:t>
      </w:r>
      <w:r w:rsidR="005611EE">
        <w:rPr>
          <w:lang w:val="en-GB"/>
        </w:rPr>
        <w:t>). Rather than requesting burdensome quantities of information, they had a tendency to request specific contracts, agreements, policies, and reports.</w:t>
      </w:r>
    </w:p>
    <w:p w14:paraId="5EC46804" w14:textId="2751F386" w:rsidR="00A44157" w:rsidRDefault="000E08BF" w:rsidP="00D209EB">
      <w:pPr>
        <w:spacing w:after="120" w:line="480" w:lineRule="auto"/>
        <w:ind w:firstLine="720"/>
        <w:rPr>
          <w:lang w:val="en-GB"/>
        </w:rPr>
      </w:pPr>
      <w:r>
        <w:rPr>
          <w:lang w:val="en-GB"/>
        </w:rPr>
        <w:lastRenderedPageBreak/>
        <w:t>Registrants were less likely to receive ICANN Integrity conditions.</w:t>
      </w:r>
      <w:r w:rsidR="0068628E">
        <w:rPr>
          <w:lang w:val="en-GB"/>
        </w:rPr>
        <w:t xml:space="preserve"> </w:t>
      </w:r>
      <w:r w:rsidR="000314EB">
        <w:rPr>
          <w:lang w:val="en-GB"/>
        </w:rPr>
        <w:t>Registrants</w:t>
      </w:r>
      <w:r w:rsidR="003D112F">
        <w:rPr>
          <w:lang w:val="en-GB"/>
        </w:rPr>
        <w:t xml:space="preserve"> may be</w:t>
      </w:r>
      <w:r w:rsidR="0068628E">
        <w:rPr>
          <w:lang w:val="en-GB"/>
        </w:rPr>
        <w:t xml:space="preserve"> likely to </w:t>
      </w:r>
      <w:r w:rsidR="003D112F">
        <w:rPr>
          <w:lang w:val="en-GB"/>
        </w:rPr>
        <w:t xml:space="preserve">ask for information pertaining to the inner-workings of ICANN as they may know little about the organisation or the domain name industry in general. Request 20130129-01 from Igor </w:t>
      </w:r>
      <w:proofErr w:type="spellStart"/>
      <w:r w:rsidR="003D112F">
        <w:rPr>
          <w:lang w:val="en-GB"/>
        </w:rPr>
        <w:t>Petrenko</w:t>
      </w:r>
      <w:proofErr w:type="spellEnd"/>
      <w:r w:rsidR="003D112F">
        <w:rPr>
          <w:lang w:val="en-GB"/>
        </w:rPr>
        <w:t xml:space="preserve"> exemplifies </w:t>
      </w:r>
      <w:r w:rsidR="00D37D5A">
        <w:rPr>
          <w:lang w:val="en-GB"/>
        </w:rPr>
        <w:t xml:space="preserve">this </w:t>
      </w:r>
      <w:r w:rsidR="003D112F">
        <w:rPr>
          <w:lang w:val="en-GB"/>
        </w:rPr>
        <w:t>observation</w:t>
      </w:r>
      <w:r w:rsidR="004018FB">
        <w:rPr>
          <w:lang w:val="en-GB"/>
        </w:rPr>
        <w:t>, who ludicrously asked for “a list of all registered domains”</w:t>
      </w:r>
      <w:r w:rsidR="003D112F">
        <w:rPr>
          <w:lang w:val="en-GB"/>
        </w:rPr>
        <w:t>.</w:t>
      </w:r>
      <w:r w:rsidR="004018FB">
        <w:rPr>
          <w:lang w:val="en-GB"/>
        </w:rPr>
        <w:t xml:space="preserve"> If he had a general understanding of the DNS, he would have known that IANA retains a list of all TLD</w:t>
      </w:r>
      <w:r w:rsidR="00456946">
        <w:rPr>
          <w:lang w:val="en-GB"/>
        </w:rPr>
        <w:t>s</w:t>
      </w:r>
      <w:r w:rsidR="004018FB">
        <w:rPr>
          <w:lang w:val="en-GB"/>
        </w:rPr>
        <w:t>, and domain name registrars</w:t>
      </w:r>
      <w:r w:rsidR="003D112F">
        <w:rPr>
          <w:lang w:val="en-GB"/>
        </w:rPr>
        <w:t xml:space="preserve"> </w:t>
      </w:r>
      <w:r w:rsidR="00456946">
        <w:rPr>
          <w:lang w:val="en-GB"/>
        </w:rPr>
        <w:t xml:space="preserve">hold information about second-level domains, through each registrar’s WHOIS service. However, contacting each registrar would be an onerous process. Further, </w:t>
      </w:r>
      <w:r w:rsidR="00D37D5A">
        <w:rPr>
          <w:lang w:val="en-GB"/>
        </w:rPr>
        <w:t>registrants</w:t>
      </w:r>
      <w:r w:rsidR="00456946">
        <w:rPr>
          <w:lang w:val="en-GB"/>
        </w:rPr>
        <w:t xml:space="preserve"> </w:t>
      </w:r>
      <w:r w:rsidR="007B42B4">
        <w:rPr>
          <w:lang w:val="en-GB"/>
        </w:rPr>
        <w:t>were</w:t>
      </w:r>
      <w:r w:rsidR="00456946">
        <w:rPr>
          <w:lang w:val="en-GB"/>
        </w:rPr>
        <w:t xml:space="preserve"> more likely to ask </w:t>
      </w:r>
      <w:r w:rsidR="002B7E85">
        <w:rPr>
          <w:lang w:val="en-GB"/>
        </w:rPr>
        <w:t>for information concerning</w:t>
      </w:r>
      <w:r w:rsidR="00456946">
        <w:rPr>
          <w:lang w:val="en-GB"/>
        </w:rPr>
        <w:t xml:space="preserve"> their own </w:t>
      </w:r>
      <w:r w:rsidR="002B7E85">
        <w:rPr>
          <w:lang w:val="en-GB"/>
        </w:rPr>
        <w:t>domain name registrations</w:t>
      </w:r>
      <w:r w:rsidR="00626B8C">
        <w:rPr>
          <w:lang w:val="en-GB"/>
        </w:rPr>
        <w:t xml:space="preserve"> (e.g. request</w:t>
      </w:r>
      <w:r w:rsidR="004543B5">
        <w:rPr>
          <w:lang w:val="en-GB"/>
        </w:rPr>
        <w:t>s</w:t>
      </w:r>
      <w:r w:rsidR="00626B8C">
        <w:rPr>
          <w:lang w:val="en-GB"/>
        </w:rPr>
        <w:t xml:space="preserve"> 20101108-1</w:t>
      </w:r>
      <w:r w:rsidR="004543B5">
        <w:rPr>
          <w:lang w:val="en-GB"/>
        </w:rPr>
        <w:t>; 20150211-1</w:t>
      </w:r>
      <w:r w:rsidR="00626B8C">
        <w:rPr>
          <w:lang w:val="en-GB"/>
        </w:rPr>
        <w:t>)</w:t>
      </w:r>
      <w:r w:rsidR="002E5FAB">
        <w:rPr>
          <w:lang w:val="en-GB"/>
        </w:rPr>
        <w:t xml:space="preserve">. These </w:t>
      </w:r>
      <w:r w:rsidR="007B42B4">
        <w:rPr>
          <w:lang w:val="en-GB"/>
        </w:rPr>
        <w:t>requests concern</w:t>
      </w:r>
      <w:r w:rsidR="002E5FAB">
        <w:rPr>
          <w:lang w:val="en-GB"/>
        </w:rPr>
        <w:t>ed</w:t>
      </w:r>
      <w:r w:rsidR="002B7E85">
        <w:rPr>
          <w:lang w:val="en-GB"/>
        </w:rPr>
        <w:t xml:space="preserve"> </w:t>
      </w:r>
      <w:r w:rsidR="007B42B4">
        <w:rPr>
          <w:lang w:val="en-GB"/>
        </w:rPr>
        <w:t>the</w:t>
      </w:r>
      <w:r w:rsidR="00D37D5A">
        <w:rPr>
          <w:lang w:val="en-GB"/>
        </w:rPr>
        <w:t xml:space="preserve"> application</w:t>
      </w:r>
      <w:r w:rsidR="00626B8C">
        <w:rPr>
          <w:lang w:val="en-GB"/>
        </w:rPr>
        <w:t>, rather than the development,</w:t>
      </w:r>
      <w:r w:rsidR="00D37D5A">
        <w:rPr>
          <w:lang w:val="en-GB"/>
        </w:rPr>
        <w:t xml:space="preserve"> of ICANN</w:t>
      </w:r>
      <w:r w:rsidR="00626B8C">
        <w:rPr>
          <w:lang w:val="en-GB"/>
        </w:rPr>
        <w:t>’s</w:t>
      </w:r>
      <w:r w:rsidR="00D37D5A">
        <w:rPr>
          <w:lang w:val="en-GB"/>
        </w:rPr>
        <w:t xml:space="preserve"> procedures </w:t>
      </w:r>
      <w:r w:rsidR="00626B8C">
        <w:rPr>
          <w:lang w:val="en-GB"/>
        </w:rPr>
        <w:t>and policies.</w:t>
      </w:r>
      <w:r w:rsidR="004543B5">
        <w:rPr>
          <w:lang w:val="en-GB"/>
        </w:rPr>
        <w:t xml:space="preserve"> As a res</w:t>
      </w:r>
      <w:r w:rsidR="002E5FAB">
        <w:rPr>
          <w:lang w:val="en-GB"/>
        </w:rPr>
        <w:t>ult, ICANN integrity was</w:t>
      </w:r>
      <w:r w:rsidR="004543B5">
        <w:rPr>
          <w:lang w:val="en-GB"/>
        </w:rPr>
        <w:t xml:space="preserve"> less likely to be called into question. </w:t>
      </w:r>
    </w:p>
    <w:p w14:paraId="1A82398A" w14:textId="5748897C" w:rsidR="00403515" w:rsidRDefault="00403515" w:rsidP="00D209EB">
      <w:pPr>
        <w:spacing w:after="120" w:line="480" w:lineRule="auto"/>
        <w:ind w:firstLine="720"/>
        <w:rPr>
          <w:lang w:val="en-GB"/>
        </w:rPr>
      </w:pPr>
      <w:r>
        <w:rPr>
          <w:lang w:val="en-GB"/>
        </w:rPr>
        <w:t>Internet non-profits were l</w:t>
      </w:r>
      <w:r w:rsidR="007B42B4">
        <w:rPr>
          <w:lang w:val="en-GB"/>
        </w:rPr>
        <w:t xml:space="preserve">ess likely to receive Confidential External Business Information conditions. This may be because internet non-profits </w:t>
      </w:r>
      <w:r w:rsidR="00535FD8">
        <w:rPr>
          <w:lang w:val="en-GB"/>
        </w:rPr>
        <w:t>are more interested in</w:t>
      </w:r>
      <w:r w:rsidR="00310261">
        <w:rPr>
          <w:lang w:val="en-GB"/>
        </w:rPr>
        <w:t xml:space="preserve"> ICANN’s interface with </w:t>
      </w:r>
      <w:r w:rsidR="00D00893">
        <w:rPr>
          <w:lang w:val="en-GB"/>
        </w:rPr>
        <w:t xml:space="preserve">internet governance and other </w:t>
      </w:r>
      <w:r w:rsidR="00310261">
        <w:rPr>
          <w:lang w:val="en-GB"/>
        </w:rPr>
        <w:t>related concerns</w:t>
      </w:r>
      <w:r w:rsidR="00535FD8">
        <w:rPr>
          <w:lang w:val="en-GB"/>
        </w:rPr>
        <w:t>, over third-party business interests</w:t>
      </w:r>
      <w:r w:rsidR="00310261">
        <w:rPr>
          <w:lang w:val="en-GB"/>
        </w:rPr>
        <w:t>.</w:t>
      </w:r>
      <w:r w:rsidR="00535FD8">
        <w:rPr>
          <w:lang w:val="en-GB"/>
        </w:rPr>
        <w:t xml:space="preserve"> Request 20141228-1 from </w:t>
      </w:r>
      <w:proofErr w:type="spellStart"/>
      <w:r w:rsidR="00535FD8">
        <w:rPr>
          <w:lang w:val="en-GB"/>
        </w:rPr>
        <w:t>Geetha</w:t>
      </w:r>
      <w:proofErr w:type="spellEnd"/>
      <w:r w:rsidR="00535FD8">
        <w:rPr>
          <w:lang w:val="en-GB"/>
        </w:rPr>
        <w:t xml:space="preserve"> </w:t>
      </w:r>
      <w:proofErr w:type="spellStart"/>
      <w:r w:rsidR="00535FD8">
        <w:rPr>
          <w:lang w:val="en-GB"/>
        </w:rPr>
        <w:t>Hariharan</w:t>
      </w:r>
      <w:proofErr w:type="spellEnd"/>
      <w:r w:rsidR="00535FD8">
        <w:rPr>
          <w:lang w:val="en-GB"/>
        </w:rPr>
        <w:t xml:space="preserve">, on behalf of The Centre for Internet &amp; Society (CIS) supports this suggestion. CIS requested information about several items pertaining to ICANN’s </w:t>
      </w:r>
      <w:r w:rsidR="00D00893">
        <w:rPr>
          <w:lang w:val="en-GB"/>
        </w:rPr>
        <w:t xml:space="preserve">interface with the </w:t>
      </w:r>
      <w:proofErr w:type="spellStart"/>
      <w:r w:rsidR="00D00893">
        <w:rPr>
          <w:lang w:val="en-GB"/>
        </w:rPr>
        <w:t>NETmundial</w:t>
      </w:r>
      <w:proofErr w:type="spellEnd"/>
      <w:r w:rsidR="00D00893">
        <w:rPr>
          <w:lang w:val="en-GB"/>
        </w:rPr>
        <w:t xml:space="preserve"> Initiative. In fact, CIS submitted </w:t>
      </w:r>
      <w:r w:rsidR="00967093">
        <w:rPr>
          <w:lang w:val="en-GB"/>
        </w:rPr>
        <w:t>two thirds [18 out of 27]</w:t>
      </w:r>
      <w:r w:rsidR="00A40CC3">
        <w:rPr>
          <w:lang w:val="en-GB"/>
        </w:rPr>
        <w:t xml:space="preserve"> of</w:t>
      </w:r>
      <w:r w:rsidR="00967093">
        <w:rPr>
          <w:lang w:val="en-GB"/>
        </w:rPr>
        <w:t xml:space="preserve"> internet non-profit requests, which may have skewed the results. CIS conducts internet policy research and engages in and influences policy debates concerning privacy, freedom of expression, and other civil liberties. </w:t>
      </w:r>
      <w:r w:rsidR="00A40CC3">
        <w:rPr>
          <w:lang w:val="en-GB"/>
        </w:rPr>
        <w:t xml:space="preserve">These are topics that </w:t>
      </w:r>
      <w:r w:rsidR="005611EE">
        <w:rPr>
          <w:lang w:val="en-GB"/>
        </w:rPr>
        <w:t>may be</w:t>
      </w:r>
      <w:r w:rsidR="00A40CC3">
        <w:rPr>
          <w:lang w:val="en-GB"/>
        </w:rPr>
        <w:t xml:space="preserve"> less connect</w:t>
      </w:r>
      <w:r w:rsidR="005571E2">
        <w:rPr>
          <w:lang w:val="en-GB"/>
        </w:rPr>
        <w:t xml:space="preserve">ed to business trade secrets, </w:t>
      </w:r>
      <w:r w:rsidR="00A40CC3">
        <w:rPr>
          <w:lang w:val="en-GB"/>
        </w:rPr>
        <w:t>the attorney client privilege</w:t>
      </w:r>
      <w:r w:rsidR="00F351AF">
        <w:rPr>
          <w:lang w:val="en-GB"/>
        </w:rPr>
        <w:t xml:space="preserve">, commercial interests or government </w:t>
      </w:r>
      <w:r w:rsidR="005571E2">
        <w:rPr>
          <w:lang w:val="en-GB"/>
        </w:rPr>
        <w:t>confidentiality</w:t>
      </w:r>
      <w:r w:rsidR="00A40CC3">
        <w:rPr>
          <w:lang w:val="en-GB"/>
        </w:rPr>
        <w:t>.</w:t>
      </w:r>
      <w:r w:rsidR="00967093">
        <w:rPr>
          <w:lang w:val="en-GB"/>
        </w:rPr>
        <w:t xml:space="preserve"> </w:t>
      </w:r>
    </w:p>
    <w:p w14:paraId="738D531F" w14:textId="74806169" w:rsidR="00A83E39" w:rsidRPr="003747CE" w:rsidRDefault="006C0600" w:rsidP="00D209EB">
      <w:pPr>
        <w:spacing w:after="120" w:line="480" w:lineRule="auto"/>
        <w:ind w:firstLine="720"/>
        <w:rPr>
          <w:lang w:val="en-GB"/>
        </w:rPr>
      </w:pPr>
      <w:r w:rsidRPr="003747CE">
        <w:rPr>
          <w:lang w:val="en-GB"/>
        </w:rPr>
        <w:t xml:space="preserve">As measured by word count, the length of a request had a considerable </w:t>
      </w:r>
      <w:r w:rsidR="005611EE" w:rsidRPr="003747CE">
        <w:rPr>
          <w:lang w:val="en-GB"/>
        </w:rPr>
        <w:t>effect</w:t>
      </w:r>
      <w:r w:rsidRPr="003747CE">
        <w:rPr>
          <w:lang w:val="en-GB"/>
        </w:rPr>
        <w:t xml:space="preserve"> on the number and type of DCND received in relation to the request. </w:t>
      </w:r>
      <w:r w:rsidR="0068628E">
        <w:rPr>
          <w:lang w:val="en-GB"/>
        </w:rPr>
        <w:t>L</w:t>
      </w:r>
      <w:r w:rsidR="00155D47" w:rsidRPr="003747CE">
        <w:rPr>
          <w:lang w:val="en-GB"/>
        </w:rPr>
        <w:t>engthier</w:t>
      </w:r>
      <w:r w:rsidRPr="003747CE">
        <w:rPr>
          <w:lang w:val="en-GB"/>
        </w:rPr>
        <w:t xml:space="preserve"> </w:t>
      </w:r>
      <w:r w:rsidR="00CB4D0F" w:rsidRPr="003747CE">
        <w:rPr>
          <w:lang w:val="en-GB"/>
        </w:rPr>
        <w:t xml:space="preserve">DIDP </w:t>
      </w:r>
      <w:r w:rsidR="00155D47" w:rsidRPr="003747CE">
        <w:rPr>
          <w:lang w:val="en-GB"/>
        </w:rPr>
        <w:t xml:space="preserve">submissions </w:t>
      </w:r>
      <w:r w:rsidR="0068628E">
        <w:rPr>
          <w:lang w:val="en-GB"/>
        </w:rPr>
        <w:lastRenderedPageBreak/>
        <w:t>may</w:t>
      </w:r>
      <w:r w:rsidR="005571E2">
        <w:rPr>
          <w:lang w:val="en-GB"/>
        </w:rPr>
        <w:t xml:space="preserve"> have</w:t>
      </w:r>
      <w:r w:rsidR="0068628E">
        <w:rPr>
          <w:lang w:val="en-GB"/>
        </w:rPr>
        <w:t xml:space="preserve"> </w:t>
      </w:r>
      <w:r w:rsidR="00155D47" w:rsidRPr="003747CE">
        <w:rPr>
          <w:lang w:val="en-GB"/>
        </w:rPr>
        <w:t>request</w:t>
      </w:r>
      <w:r w:rsidR="005571E2">
        <w:rPr>
          <w:lang w:val="en-GB"/>
        </w:rPr>
        <w:t>ed</w:t>
      </w:r>
      <w:r w:rsidRPr="003747CE">
        <w:rPr>
          <w:lang w:val="en-GB"/>
        </w:rPr>
        <w:t xml:space="preserve"> what ICANN would consider </w:t>
      </w:r>
      <w:r w:rsidR="00155D47" w:rsidRPr="003747CE">
        <w:rPr>
          <w:lang w:val="en-GB"/>
        </w:rPr>
        <w:t xml:space="preserve">as </w:t>
      </w:r>
      <w:r w:rsidRPr="003747CE">
        <w:rPr>
          <w:lang w:val="en-GB"/>
        </w:rPr>
        <w:t>contentious information</w:t>
      </w:r>
      <w:r w:rsidR="0090309D" w:rsidRPr="003747CE">
        <w:rPr>
          <w:lang w:val="en-GB"/>
        </w:rPr>
        <w:t>, and therefore they receive</w:t>
      </w:r>
      <w:r w:rsidR="005611EE">
        <w:rPr>
          <w:lang w:val="en-GB"/>
        </w:rPr>
        <w:t>d</w:t>
      </w:r>
      <w:r w:rsidR="0090309D" w:rsidRPr="003747CE">
        <w:rPr>
          <w:lang w:val="en-GB"/>
        </w:rPr>
        <w:t xml:space="preserve"> greater numbers of </w:t>
      </w:r>
      <w:r w:rsidR="00A66C57">
        <w:rPr>
          <w:lang w:val="en-GB"/>
        </w:rPr>
        <w:t>DCND</w:t>
      </w:r>
      <w:r w:rsidRPr="003747CE">
        <w:rPr>
          <w:lang w:val="en-GB"/>
        </w:rPr>
        <w:t>.</w:t>
      </w:r>
      <w:r w:rsidR="00155D47" w:rsidRPr="003747CE">
        <w:rPr>
          <w:lang w:val="en-GB"/>
        </w:rPr>
        <w:t xml:space="preserve"> </w:t>
      </w:r>
      <w:r w:rsidR="0090309D" w:rsidRPr="003747CE">
        <w:rPr>
          <w:lang w:val="en-GB"/>
        </w:rPr>
        <w:t xml:space="preserve">However, delving into the individual requests reveals some conflicting findings. </w:t>
      </w:r>
      <w:r w:rsidR="00155D47" w:rsidRPr="003747CE">
        <w:rPr>
          <w:lang w:val="en-GB"/>
        </w:rPr>
        <w:t>The longest request (</w:t>
      </w:r>
      <w:r w:rsidR="00A83E39" w:rsidRPr="003747CE">
        <w:rPr>
          <w:lang w:val="en-GB"/>
        </w:rPr>
        <w:t>20140926-01, 3945 words</w:t>
      </w:r>
      <w:r w:rsidR="00155D47" w:rsidRPr="003747CE">
        <w:rPr>
          <w:lang w:val="en-GB"/>
        </w:rPr>
        <w:t xml:space="preserve">) came from Bart </w:t>
      </w:r>
      <w:proofErr w:type="spellStart"/>
      <w:r w:rsidR="00155D47" w:rsidRPr="003747CE">
        <w:rPr>
          <w:lang w:val="en-GB"/>
        </w:rPr>
        <w:t>Lieben</w:t>
      </w:r>
      <w:proofErr w:type="spellEnd"/>
      <w:r w:rsidR="00155D47" w:rsidRPr="003747CE">
        <w:rPr>
          <w:lang w:val="en-GB"/>
        </w:rPr>
        <w:t xml:space="preserve">, owner of law firm, Bart </w:t>
      </w:r>
      <w:proofErr w:type="spellStart"/>
      <w:r w:rsidR="00155D47" w:rsidRPr="003747CE">
        <w:rPr>
          <w:lang w:val="en-GB"/>
        </w:rPr>
        <w:t>Lieben</w:t>
      </w:r>
      <w:proofErr w:type="spellEnd"/>
      <w:r w:rsidR="00155D47" w:rsidRPr="003747CE">
        <w:rPr>
          <w:lang w:val="en-GB"/>
        </w:rPr>
        <w:t xml:space="preserve"> BV. The firm </w:t>
      </w:r>
      <w:r w:rsidR="00012154" w:rsidRPr="003747CE">
        <w:rPr>
          <w:lang w:val="en-GB"/>
        </w:rPr>
        <w:t xml:space="preserve">asked a number of questions in relation to a decision made by the Community Priority Evaluation panel, which essentially meant Donuts (Tin Dale, LLC), </w:t>
      </w:r>
      <w:proofErr w:type="spellStart"/>
      <w:r w:rsidR="00012154" w:rsidRPr="003747CE">
        <w:rPr>
          <w:lang w:val="en-GB"/>
        </w:rPr>
        <w:t>Afilias</w:t>
      </w:r>
      <w:proofErr w:type="spellEnd"/>
      <w:r w:rsidR="00012154" w:rsidRPr="003747CE">
        <w:rPr>
          <w:lang w:val="en-GB"/>
        </w:rPr>
        <w:t xml:space="preserve"> and BRS Media had to withdraw their </w:t>
      </w:r>
      <w:proofErr w:type="spellStart"/>
      <w:r w:rsidR="00012154" w:rsidRPr="003747CE">
        <w:rPr>
          <w:lang w:val="en-GB"/>
        </w:rPr>
        <w:t>gTLD</w:t>
      </w:r>
      <w:proofErr w:type="spellEnd"/>
      <w:r w:rsidR="00012154" w:rsidRPr="003747CE">
        <w:rPr>
          <w:lang w:val="en-GB"/>
        </w:rPr>
        <w:t xml:space="preserve"> applications to </w:t>
      </w:r>
      <w:proofErr w:type="gramStart"/>
      <w:r w:rsidR="00012154" w:rsidRPr="003747CE">
        <w:rPr>
          <w:lang w:val="en-GB"/>
        </w:rPr>
        <w:t>manage .radio</w:t>
      </w:r>
      <w:proofErr w:type="gramEnd"/>
      <w:r w:rsidR="00012154" w:rsidRPr="003747CE">
        <w:rPr>
          <w:lang w:val="en-GB"/>
        </w:rPr>
        <w:t>. The request received five DCND</w:t>
      </w:r>
      <w:r w:rsidR="0022175D" w:rsidRPr="003747CE">
        <w:rPr>
          <w:lang w:val="en-GB"/>
        </w:rPr>
        <w:t xml:space="preserve">: all of the DCND in the Compromise ICANN Integrity category, one in the Burdensome category, and one in the Confidential External Business Information category. Considering the length of the request, and the nature of the information sought, I would have expected more conditions from the Confidential External Business Information category. More interesting perhaps was that </w:t>
      </w:r>
      <w:r w:rsidR="00A83E39" w:rsidRPr="003747CE">
        <w:rPr>
          <w:lang w:val="en-GB"/>
        </w:rPr>
        <w:t>the Centre for Internet &amp; Society’s</w:t>
      </w:r>
      <w:r w:rsidR="0022175D" w:rsidRPr="003747CE">
        <w:rPr>
          <w:lang w:val="en-GB"/>
        </w:rPr>
        <w:t xml:space="preserve"> request</w:t>
      </w:r>
      <w:r w:rsidR="00A83E39" w:rsidRPr="003747CE">
        <w:rPr>
          <w:lang w:val="en-GB"/>
        </w:rPr>
        <w:t xml:space="preserve"> (20150901-6)</w:t>
      </w:r>
      <w:r w:rsidR="0022175D" w:rsidRPr="003747CE">
        <w:rPr>
          <w:lang w:val="en-GB"/>
        </w:rPr>
        <w:t xml:space="preserve"> with a relatively low word count (93 words) had the most </w:t>
      </w:r>
      <w:r w:rsidR="00A66C57">
        <w:rPr>
          <w:lang w:val="en-GB"/>
        </w:rPr>
        <w:t>DCND</w:t>
      </w:r>
      <w:r w:rsidR="002542D2" w:rsidRPr="003747CE">
        <w:rPr>
          <w:lang w:val="en-GB"/>
        </w:rPr>
        <w:t xml:space="preserve"> (nine)</w:t>
      </w:r>
      <w:r w:rsidR="00A83E39" w:rsidRPr="003747CE">
        <w:rPr>
          <w:lang w:val="en-GB"/>
        </w:rPr>
        <w:t>, obtaining a full house of DCND in every category apart from Affect Individual</w:t>
      </w:r>
      <w:r w:rsidR="0022175D" w:rsidRPr="003747CE">
        <w:rPr>
          <w:lang w:val="en-GB"/>
        </w:rPr>
        <w:t>.</w:t>
      </w:r>
      <w:r w:rsidR="00A83E39" w:rsidRPr="003747CE">
        <w:rPr>
          <w:lang w:val="en-GB"/>
        </w:rPr>
        <w:t xml:space="preserve"> They requested a document containing the contents of ICANN’s internal website, </w:t>
      </w:r>
      <w:r w:rsidR="0090309D" w:rsidRPr="003747CE">
        <w:rPr>
          <w:lang w:val="en-GB"/>
        </w:rPr>
        <w:t>accessible by</w:t>
      </w:r>
      <w:r w:rsidR="00A83E39" w:rsidRPr="003747CE">
        <w:rPr>
          <w:lang w:val="en-GB"/>
        </w:rPr>
        <w:t xml:space="preserve"> ICANN staff.</w:t>
      </w:r>
      <w:r w:rsidR="0090309D" w:rsidRPr="003747CE">
        <w:rPr>
          <w:lang w:val="en-GB"/>
        </w:rPr>
        <w:t xml:space="preserve"> Therefore, even though word count does affect the number of DCND a DIDP request receives,</w:t>
      </w:r>
      <w:r w:rsidR="005571E2">
        <w:rPr>
          <w:lang w:val="en-GB"/>
        </w:rPr>
        <w:t xml:space="preserve"> it is not a good predictor for </w:t>
      </w:r>
      <w:r w:rsidR="0090309D" w:rsidRPr="003747CE">
        <w:rPr>
          <w:lang w:val="en-GB"/>
        </w:rPr>
        <w:t xml:space="preserve">every DIDP request. </w:t>
      </w:r>
    </w:p>
    <w:p w14:paraId="15338955" w14:textId="7A7AB680" w:rsidR="00676755" w:rsidRPr="003747CE" w:rsidRDefault="00676755" w:rsidP="00D209EB">
      <w:pPr>
        <w:spacing w:after="120" w:line="480" w:lineRule="auto"/>
        <w:jc w:val="center"/>
        <w:outlineLvl w:val="0"/>
        <w:rPr>
          <w:b/>
          <w:lang w:val="en-GB"/>
        </w:rPr>
      </w:pPr>
      <w:r w:rsidRPr="003747CE">
        <w:rPr>
          <w:b/>
          <w:lang w:val="en-GB"/>
        </w:rPr>
        <w:t>Limitations</w:t>
      </w:r>
      <w:r w:rsidR="00E81D27" w:rsidRPr="003747CE">
        <w:rPr>
          <w:b/>
          <w:lang w:val="en-GB"/>
        </w:rPr>
        <w:t xml:space="preserve"> and Future Work</w:t>
      </w:r>
    </w:p>
    <w:p w14:paraId="2E52F4DA" w14:textId="5196F5DB" w:rsidR="00E81D27" w:rsidRPr="003747CE" w:rsidRDefault="007D1DA0" w:rsidP="00D209EB">
      <w:pPr>
        <w:spacing w:after="120" w:line="480" w:lineRule="auto"/>
        <w:ind w:firstLine="720"/>
        <w:rPr>
          <w:lang w:val="en-GB"/>
        </w:rPr>
      </w:pPr>
      <w:r w:rsidRPr="003747CE">
        <w:rPr>
          <w:lang w:val="en-GB"/>
        </w:rPr>
        <w:t xml:space="preserve">Since September 2015, ICANN has received and responded to six additional DIDP requests. As the network of 91 requests between </w:t>
      </w:r>
      <w:r w:rsidR="000917DA" w:rsidRPr="003747CE">
        <w:rPr>
          <w:lang w:val="en-GB"/>
        </w:rPr>
        <w:t xml:space="preserve">September 2008 and September 2015 is relatively small, six new requests - an increase of almost 7% - could significantly alter the analysis. </w:t>
      </w:r>
      <w:r w:rsidRPr="003747CE">
        <w:rPr>
          <w:lang w:val="en-GB"/>
        </w:rPr>
        <w:t>T</w:t>
      </w:r>
      <w:r w:rsidR="000917DA" w:rsidRPr="003747CE">
        <w:rPr>
          <w:lang w:val="en-GB"/>
        </w:rPr>
        <w:t>hus, t</w:t>
      </w:r>
      <w:r w:rsidRPr="003747CE">
        <w:rPr>
          <w:lang w:val="en-GB"/>
        </w:rPr>
        <w:t xml:space="preserve">he ERGM </w:t>
      </w:r>
      <w:r w:rsidR="000917DA" w:rsidRPr="003747CE">
        <w:rPr>
          <w:lang w:val="en-GB"/>
        </w:rPr>
        <w:t>tests</w:t>
      </w:r>
      <w:r w:rsidRPr="003747CE">
        <w:rPr>
          <w:lang w:val="en-GB"/>
        </w:rPr>
        <w:t xml:space="preserve"> should be re-run to take these requests into account</w:t>
      </w:r>
      <w:r w:rsidR="000917DA" w:rsidRPr="003747CE">
        <w:rPr>
          <w:lang w:val="en-GB"/>
        </w:rPr>
        <w:t>.</w:t>
      </w:r>
    </w:p>
    <w:p w14:paraId="4B20ABBE" w14:textId="655BA291" w:rsidR="005617E8" w:rsidRPr="003747CE" w:rsidRDefault="00CC02F3" w:rsidP="00D209EB">
      <w:pPr>
        <w:spacing w:after="120" w:line="480" w:lineRule="auto"/>
        <w:ind w:firstLine="720"/>
        <w:rPr>
          <w:lang w:val="en-GB"/>
        </w:rPr>
      </w:pPr>
      <w:r w:rsidRPr="003747CE">
        <w:rPr>
          <w:lang w:val="en-GB"/>
        </w:rPr>
        <w:t>Some request</w:t>
      </w:r>
      <w:r w:rsidR="005617E8" w:rsidRPr="003747CE">
        <w:rPr>
          <w:lang w:val="en-GB"/>
        </w:rPr>
        <w:t>s fit</w:t>
      </w:r>
      <w:r w:rsidR="008B3D0A" w:rsidRPr="003747CE">
        <w:rPr>
          <w:lang w:val="en-GB"/>
        </w:rPr>
        <w:t>ted</w:t>
      </w:r>
      <w:r w:rsidR="005617E8" w:rsidRPr="003747CE">
        <w:rPr>
          <w:lang w:val="en-GB"/>
        </w:rPr>
        <w:t xml:space="preserve"> into multiple affiliation categories. For example, I assig</w:t>
      </w:r>
      <w:r w:rsidR="005571E2">
        <w:rPr>
          <w:lang w:val="en-GB"/>
        </w:rPr>
        <w:t xml:space="preserve">ned CORE, Internet Council of Registrars, </w:t>
      </w:r>
      <w:r w:rsidR="005617E8" w:rsidRPr="003747CE">
        <w:rPr>
          <w:lang w:val="en-GB"/>
        </w:rPr>
        <w:t xml:space="preserve">the Trade Association category, but </w:t>
      </w:r>
      <w:r w:rsidR="002060CE" w:rsidRPr="003747CE">
        <w:rPr>
          <w:lang w:val="en-GB"/>
        </w:rPr>
        <w:t>the organisation was</w:t>
      </w:r>
      <w:r w:rsidR="005617E8" w:rsidRPr="003747CE">
        <w:rPr>
          <w:lang w:val="en-GB"/>
        </w:rPr>
        <w:t xml:space="preserve"> also an Internet Non-Profit.</w:t>
      </w:r>
      <w:r w:rsidR="002060CE" w:rsidRPr="003747CE">
        <w:rPr>
          <w:lang w:val="en-GB"/>
        </w:rPr>
        <w:t xml:space="preserve"> As determining category of affiliation for each request was </w:t>
      </w:r>
      <w:r w:rsidR="002060CE" w:rsidRPr="003747CE">
        <w:rPr>
          <w:lang w:val="en-GB"/>
        </w:rPr>
        <w:lastRenderedPageBreak/>
        <w:t>not a cut and dry process,</w:t>
      </w:r>
      <w:r w:rsidR="005571E2">
        <w:rPr>
          <w:lang w:val="en-GB"/>
        </w:rPr>
        <w:t xml:space="preserve"> I could have assigned </w:t>
      </w:r>
      <w:r w:rsidR="005571E2" w:rsidRPr="003747CE">
        <w:rPr>
          <w:lang w:val="en-GB"/>
        </w:rPr>
        <w:t>multiple affiliation categories</w:t>
      </w:r>
      <w:r w:rsidR="005571E2">
        <w:rPr>
          <w:lang w:val="en-GB"/>
        </w:rPr>
        <w:t xml:space="preserve"> to</w:t>
      </w:r>
      <w:r w:rsidR="005571E2" w:rsidRPr="003747CE">
        <w:rPr>
          <w:lang w:val="en-GB"/>
        </w:rPr>
        <w:t xml:space="preserve"> </w:t>
      </w:r>
      <w:r w:rsidR="008B3D0A" w:rsidRPr="003747CE">
        <w:rPr>
          <w:lang w:val="en-GB"/>
        </w:rPr>
        <w:t>the individual or organisation making the</w:t>
      </w:r>
      <w:r w:rsidR="005571E2">
        <w:rPr>
          <w:lang w:val="en-GB"/>
        </w:rPr>
        <w:t xml:space="preserve"> request</w:t>
      </w:r>
      <w:r w:rsidR="008B3D0A" w:rsidRPr="003747CE">
        <w:rPr>
          <w:lang w:val="en-GB"/>
        </w:rPr>
        <w:t xml:space="preserve">, </w:t>
      </w:r>
      <w:r w:rsidR="002060CE" w:rsidRPr="003747CE">
        <w:rPr>
          <w:lang w:val="en-GB"/>
        </w:rPr>
        <w:t xml:space="preserve">rather than just one, </w:t>
      </w:r>
      <w:r w:rsidR="006F63C3" w:rsidRPr="003747CE">
        <w:rPr>
          <w:lang w:val="en-GB"/>
        </w:rPr>
        <w:t>so the results were not skewed in favour of one affiliation category over another</w:t>
      </w:r>
      <w:r w:rsidR="002060CE" w:rsidRPr="003747CE">
        <w:rPr>
          <w:lang w:val="en-GB"/>
        </w:rPr>
        <w:t xml:space="preserve">. </w:t>
      </w:r>
    </w:p>
    <w:p w14:paraId="67CFCD0F" w14:textId="250D5D8D" w:rsidR="006F63C3" w:rsidRPr="003747CE" w:rsidRDefault="006F63C3" w:rsidP="00D209EB">
      <w:pPr>
        <w:spacing w:after="120" w:line="480" w:lineRule="auto"/>
        <w:ind w:firstLine="720"/>
        <w:rPr>
          <w:lang w:val="en-GB"/>
        </w:rPr>
      </w:pPr>
      <w:r w:rsidRPr="003747CE">
        <w:rPr>
          <w:lang w:val="en-GB"/>
        </w:rPr>
        <w:t xml:space="preserve">ERGM methods require model specification controls or spurious relationships may be claimed. The ERGMs fit satisfactorily onto the original four networks as they had good geodesic distance. However, they exhibited degeneracy when the ERGMs took isolates into account. This was because the isolates in the actual, </w:t>
      </w:r>
      <w:proofErr w:type="spellStart"/>
      <w:r w:rsidRPr="003747CE">
        <w:rPr>
          <w:lang w:val="en-GB"/>
        </w:rPr>
        <w:t>unmodeled</w:t>
      </w:r>
      <w:proofErr w:type="spellEnd"/>
      <w:r w:rsidRPr="003747CE">
        <w:rPr>
          <w:lang w:val="en-GB"/>
        </w:rPr>
        <w:t xml:space="preserve"> networks were overrepresented compared to the ERGM simulated networks. Therefore, in order to get even more reasonable approximation</w:t>
      </w:r>
      <w:r w:rsidR="005571E2">
        <w:rPr>
          <w:lang w:val="en-GB"/>
        </w:rPr>
        <w:t>s of the networks, new models would be</w:t>
      </w:r>
      <w:r w:rsidRPr="003747CE">
        <w:rPr>
          <w:lang w:val="en-GB"/>
        </w:rPr>
        <w:t xml:space="preserve"> required, which take isolates into account. </w:t>
      </w:r>
    </w:p>
    <w:p w14:paraId="4A6D83EF" w14:textId="6912322E" w:rsidR="00095686" w:rsidRPr="003747CE" w:rsidRDefault="00095686" w:rsidP="00D209EB">
      <w:pPr>
        <w:spacing w:line="480" w:lineRule="auto"/>
        <w:ind w:firstLine="720"/>
        <w:rPr>
          <w:lang w:val="en-GB"/>
        </w:rPr>
      </w:pPr>
      <w:r w:rsidRPr="003747CE">
        <w:rPr>
          <w:lang w:val="en-GB"/>
        </w:rPr>
        <w:t>As t</w:t>
      </w:r>
      <w:r w:rsidR="00B57911" w:rsidRPr="003747CE">
        <w:rPr>
          <w:lang w:val="en-GB"/>
        </w:rPr>
        <w:t>he remarkably high number of isolates in each network</w:t>
      </w:r>
      <w:r w:rsidRPr="003747CE">
        <w:rPr>
          <w:lang w:val="en-GB"/>
        </w:rPr>
        <w:t xml:space="preserve"> were ignored in my analysis,</w:t>
      </w:r>
      <w:r w:rsidR="00B57911" w:rsidRPr="003747CE">
        <w:rPr>
          <w:lang w:val="en-GB"/>
        </w:rPr>
        <w:t xml:space="preserve"> </w:t>
      </w:r>
      <w:r w:rsidRPr="003747CE">
        <w:rPr>
          <w:lang w:val="en-GB"/>
        </w:rPr>
        <w:t xml:space="preserve">future research should </w:t>
      </w:r>
      <w:r w:rsidR="006F63C3" w:rsidRPr="003747CE">
        <w:rPr>
          <w:lang w:val="en-GB"/>
        </w:rPr>
        <w:t xml:space="preserve">consider why these isolates (or requests) did not receive DCND. Twenty-six requests did not receive </w:t>
      </w:r>
      <w:r w:rsidR="00C83A95" w:rsidRPr="003747CE">
        <w:rPr>
          <w:lang w:val="en-GB"/>
        </w:rPr>
        <w:t>any DCND whatsoever; 85</w:t>
      </w:r>
      <w:r w:rsidR="00061B4B" w:rsidRPr="003747CE">
        <w:rPr>
          <w:lang w:val="en-GB"/>
        </w:rPr>
        <w:t xml:space="preserve"> did not receive any Affect Individual DCND; 50 did not receive any Burdensome DCND; 40 did not receive any Compromise ICANN Integrity DCND; and 41 did not receive any Confidential External Business Information DCND.</w:t>
      </w:r>
      <w:r w:rsidR="00B57911" w:rsidRPr="003747CE">
        <w:rPr>
          <w:lang w:val="en-GB"/>
        </w:rPr>
        <w:t xml:space="preserve"> </w:t>
      </w:r>
      <w:r w:rsidRPr="003747CE">
        <w:rPr>
          <w:lang w:val="en-GB"/>
        </w:rPr>
        <w:t>Perhaps requests were not subject to certain categories of DCND because they asked for information already made public</w:t>
      </w:r>
      <w:r w:rsidR="002057DF" w:rsidRPr="003747CE">
        <w:rPr>
          <w:lang w:val="en-GB"/>
        </w:rPr>
        <w:t xml:space="preserve">. At a glance, this theory is certainly applicable to request 20110916-1, </w:t>
      </w:r>
      <w:r w:rsidRPr="003747CE">
        <w:rPr>
          <w:lang w:val="en-GB"/>
        </w:rPr>
        <w:t xml:space="preserve">for example. </w:t>
      </w:r>
      <w:r w:rsidR="002057DF" w:rsidRPr="003747CE">
        <w:rPr>
          <w:lang w:val="en-GB"/>
        </w:rPr>
        <w:t xml:space="preserve">Or another reason might be because they asked for DCND category-specific information, such as information about ICANN expenses, which falls into Compromise ICANN Integrity, but not Confidential External Business Information. </w:t>
      </w:r>
    </w:p>
    <w:p w14:paraId="3146D698" w14:textId="635338C0" w:rsidR="00A83E39" w:rsidRPr="003747CE" w:rsidRDefault="005571E2" w:rsidP="005571E2">
      <w:pPr>
        <w:spacing w:line="480" w:lineRule="auto"/>
        <w:ind w:firstLine="720"/>
        <w:rPr>
          <w:lang w:val="en-GB"/>
        </w:rPr>
      </w:pPr>
      <w:r>
        <w:rPr>
          <w:lang w:val="en-GB"/>
        </w:rPr>
        <w:t>Finally</w:t>
      </w:r>
      <w:r w:rsidR="0090309D" w:rsidRPr="003747CE">
        <w:rPr>
          <w:lang w:val="en-GB"/>
        </w:rPr>
        <w:t>,</w:t>
      </w:r>
      <w:r w:rsidR="003747CE" w:rsidRPr="003747CE">
        <w:rPr>
          <w:lang w:val="en-GB"/>
        </w:rPr>
        <w:t xml:space="preserve"> as word count was insufficient to account for the nature of information sought by DIDP requesters, future DIDP researchers should adopt detailed coding schemes to categorise information requested and information provided in ICANN’s response in order to produce more </w:t>
      </w:r>
      <w:proofErr w:type="spellStart"/>
      <w:r w:rsidR="003747CE" w:rsidRPr="003747CE">
        <w:rPr>
          <w:lang w:val="en-GB"/>
        </w:rPr>
        <w:t>generalisable</w:t>
      </w:r>
      <w:proofErr w:type="spellEnd"/>
      <w:r w:rsidR="003747CE" w:rsidRPr="003747CE">
        <w:rPr>
          <w:lang w:val="en-GB"/>
        </w:rPr>
        <w:t xml:space="preserve"> results.</w:t>
      </w:r>
      <w:r w:rsidRPr="003747CE">
        <w:rPr>
          <w:lang w:val="en-GB"/>
        </w:rPr>
        <w:t xml:space="preserve"> </w:t>
      </w:r>
      <w:r w:rsidR="00AD3F16" w:rsidRPr="003747CE">
        <w:rPr>
          <w:lang w:val="en-GB"/>
        </w:rPr>
        <w:br w:type="page"/>
      </w:r>
    </w:p>
    <w:p w14:paraId="7C7BEC31" w14:textId="2DC70F75" w:rsidR="0099620B" w:rsidRPr="003747CE" w:rsidRDefault="00DB2DD4" w:rsidP="00D209EB">
      <w:pPr>
        <w:spacing w:line="480" w:lineRule="auto"/>
        <w:jc w:val="center"/>
        <w:outlineLvl w:val="0"/>
        <w:rPr>
          <w:b/>
          <w:lang w:val="en-GB"/>
        </w:rPr>
      </w:pPr>
      <w:r w:rsidRPr="003747CE">
        <w:rPr>
          <w:b/>
          <w:lang w:val="en-GB"/>
        </w:rPr>
        <w:lastRenderedPageBreak/>
        <w:t>References</w:t>
      </w:r>
    </w:p>
    <w:p w14:paraId="67668D79" w14:textId="64A2F96D" w:rsidR="00F95E87" w:rsidRDefault="00F95E87" w:rsidP="00D209EB">
      <w:pPr>
        <w:spacing w:after="120" w:line="480" w:lineRule="auto"/>
        <w:rPr>
          <w:lang w:val="en-GB"/>
        </w:rPr>
      </w:pPr>
      <w:r w:rsidRPr="00F95E87">
        <w:rPr>
          <w:lang w:val="en-GB"/>
        </w:rPr>
        <w:t>93rd Congress., 2nd Session</w:t>
      </w:r>
      <w:r w:rsidR="00103D0D">
        <w:rPr>
          <w:lang w:val="en-GB"/>
        </w:rPr>
        <w:t>. (1974). Rep. No. 93-854.</w:t>
      </w:r>
    </w:p>
    <w:p w14:paraId="3C6A21C5" w14:textId="0D56497E" w:rsidR="00BD533B" w:rsidRPr="003747CE" w:rsidRDefault="00BD533B" w:rsidP="00D209EB">
      <w:pPr>
        <w:spacing w:after="120" w:line="480" w:lineRule="auto"/>
        <w:rPr>
          <w:lang w:val="en-GB"/>
        </w:rPr>
      </w:pPr>
      <w:proofErr w:type="spellStart"/>
      <w:r w:rsidRPr="003747CE">
        <w:rPr>
          <w:lang w:val="en-GB"/>
        </w:rPr>
        <w:t>Birkinshaw</w:t>
      </w:r>
      <w:proofErr w:type="spellEnd"/>
      <w:r w:rsidRPr="003747CE">
        <w:rPr>
          <w:lang w:val="en-GB"/>
        </w:rPr>
        <w:t xml:space="preserve">, P. (2010). </w:t>
      </w:r>
      <w:r w:rsidRPr="003747CE">
        <w:rPr>
          <w:i/>
          <w:lang w:val="en-GB"/>
        </w:rPr>
        <w:t>Freedom of Information: The Law, the Practice and the Ideal.</w:t>
      </w:r>
      <w:r w:rsidRPr="003747CE">
        <w:rPr>
          <w:lang w:val="en-GB"/>
        </w:rPr>
        <w:t xml:space="preserve"> New York: Cambridge University Press. </w:t>
      </w:r>
    </w:p>
    <w:p w14:paraId="7209E4D5" w14:textId="0985A69C" w:rsidR="00197A8C" w:rsidRPr="003747CE" w:rsidRDefault="00197A8C" w:rsidP="00D209EB">
      <w:pPr>
        <w:spacing w:after="120" w:line="480" w:lineRule="auto"/>
        <w:rPr>
          <w:lang w:val="en-GB"/>
        </w:rPr>
      </w:pPr>
      <w:r w:rsidRPr="003747CE">
        <w:rPr>
          <w:lang w:val="en-GB"/>
        </w:rPr>
        <w:t xml:space="preserve">Congressional Quarterly. (1999). </w:t>
      </w:r>
      <w:r w:rsidRPr="003747CE">
        <w:rPr>
          <w:i/>
          <w:lang w:val="en-GB"/>
        </w:rPr>
        <w:t>Watergate: Chronology of A Crisis</w:t>
      </w:r>
      <w:r w:rsidRPr="003747CE">
        <w:rPr>
          <w:lang w:val="en-GB"/>
        </w:rPr>
        <w:t xml:space="preserve">. CQ Press. </w:t>
      </w:r>
    </w:p>
    <w:p w14:paraId="76813D5D" w14:textId="1CB19A60" w:rsidR="00A20273" w:rsidRPr="003747CE" w:rsidRDefault="00A20273" w:rsidP="00D209EB">
      <w:pPr>
        <w:spacing w:after="120" w:line="480" w:lineRule="auto"/>
        <w:rPr>
          <w:lang w:val="en-GB"/>
        </w:rPr>
      </w:pPr>
      <w:r w:rsidRPr="003747CE">
        <w:rPr>
          <w:lang w:val="en-GB"/>
        </w:rPr>
        <w:t xml:space="preserve">Davis, K.C. (1967). The Information Act: A preliminary analysis. </w:t>
      </w:r>
      <w:r w:rsidRPr="003747CE">
        <w:rPr>
          <w:i/>
          <w:lang w:val="en-GB"/>
        </w:rPr>
        <w:t>University of Chicago Law Review, 34</w:t>
      </w:r>
      <w:r w:rsidRPr="003747CE">
        <w:rPr>
          <w:lang w:val="en-GB"/>
        </w:rPr>
        <w:t>. 761-816.</w:t>
      </w:r>
    </w:p>
    <w:p w14:paraId="78525CDB" w14:textId="2E8000CC" w:rsidR="0052209E" w:rsidRPr="003747CE" w:rsidRDefault="0052209E" w:rsidP="00D209EB">
      <w:pPr>
        <w:spacing w:after="120" w:line="480" w:lineRule="auto"/>
        <w:rPr>
          <w:lang w:val="en-GB"/>
        </w:rPr>
      </w:pPr>
      <w:r w:rsidRPr="003747CE">
        <w:rPr>
          <w:lang w:val="en-GB"/>
        </w:rPr>
        <w:t xml:space="preserve">Fischer, C.S. (1982). </w:t>
      </w:r>
      <w:r w:rsidRPr="003747CE">
        <w:rPr>
          <w:i/>
          <w:lang w:val="en-GB"/>
        </w:rPr>
        <w:t>To Dwell among Friends</w:t>
      </w:r>
      <w:r w:rsidRPr="003747CE">
        <w:rPr>
          <w:lang w:val="en-GB"/>
        </w:rPr>
        <w:t>. Chicago: Univ. Chicago Press.</w:t>
      </w:r>
    </w:p>
    <w:p w14:paraId="72F9A54E" w14:textId="63EF82FE" w:rsidR="00C63294" w:rsidRPr="003747CE" w:rsidRDefault="00A20273" w:rsidP="00D209EB">
      <w:pPr>
        <w:spacing w:after="120" w:line="480" w:lineRule="auto"/>
        <w:rPr>
          <w:lang w:val="en-GB"/>
        </w:rPr>
      </w:pPr>
      <w:r w:rsidRPr="003747CE">
        <w:rPr>
          <w:lang w:val="en-GB"/>
        </w:rPr>
        <w:t>Forbes, J.</w:t>
      </w:r>
      <w:r w:rsidR="00C63294" w:rsidRPr="003747CE">
        <w:rPr>
          <w:lang w:val="en-GB"/>
        </w:rPr>
        <w:t xml:space="preserve">R. &amp; </w:t>
      </w:r>
      <w:proofErr w:type="spellStart"/>
      <w:r w:rsidR="00C63294" w:rsidRPr="003747CE">
        <w:rPr>
          <w:lang w:val="en-GB"/>
        </w:rPr>
        <w:t>DelBene</w:t>
      </w:r>
      <w:proofErr w:type="spellEnd"/>
      <w:r w:rsidR="00C63294" w:rsidRPr="003747CE">
        <w:rPr>
          <w:lang w:val="en-GB"/>
        </w:rPr>
        <w:t xml:space="preserve">, S. (2015). Letter to ICANN from U.S. Congressional Trademark caucus representatives. Retrieved from: </w:t>
      </w:r>
      <w:hyperlink r:id="rId11" w:history="1">
        <w:r w:rsidR="00C63294" w:rsidRPr="003747CE">
          <w:rPr>
            <w:rStyle w:val="Hyperlink"/>
            <w:lang w:val="en-GB"/>
          </w:rPr>
          <w:t>https://www.icann.org/en/system/files/correspondence/forbes-delbene-to-chehade-crocker-19jun15-en.pdf</w:t>
        </w:r>
      </w:hyperlink>
      <w:r w:rsidR="00C63294" w:rsidRPr="003747CE">
        <w:rPr>
          <w:lang w:val="en-GB"/>
        </w:rPr>
        <w:t xml:space="preserve">  </w:t>
      </w:r>
    </w:p>
    <w:p w14:paraId="1BBF946B" w14:textId="2CCCEFE4" w:rsidR="004D6EF6" w:rsidRPr="003747CE" w:rsidRDefault="004D6EF6" w:rsidP="00D209EB">
      <w:pPr>
        <w:spacing w:after="120" w:line="480" w:lineRule="auto"/>
        <w:rPr>
          <w:lang w:val="en-GB"/>
        </w:rPr>
      </w:pPr>
      <w:r w:rsidRPr="003747CE">
        <w:rPr>
          <w:lang w:val="en-GB"/>
        </w:rPr>
        <w:t xml:space="preserve">Haas, M.R., and Hansen, M.T. (2007). Different knowledge, different benefits: Toward a productivity perspective on knowledge sharing in organizations. </w:t>
      </w:r>
      <w:r w:rsidRPr="003747CE">
        <w:rPr>
          <w:i/>
          <w:lang w:val="en-GB"/>
        </w:rPr>
        <w:t>Strategic Management Journal, 28</w:t>
      </w:r>
      <w:r w:rsidRPr="003747CE">
        <w:rPr>
          <w:lang w:val="en-GB"/>
        </w:rPr>
        <w:t>(11), 1133–1153.</w:t>
      </w:r>
    </w:p>
    <w:p w14:paraId="5A691E2C" w14:textId="50B368AA" w:rsidR="00C63294" w:rsidRPr="003747CE" w:rsidRDefault="00C63294" w:rsidP="00D209EB">
      <w:pPr>
        <w:spacing w:after="120" w:line="480" w:lineRule="auto"/>
        <w:rPr>
          <w:lang w:val="en-GB"/>
        </w:rPr>
      </w:pPr>
      <w:r w:rsidRPr="003747CE">
        <w:rPr>
          <w:lang w:val="en-GB"/>
        </w:rPr>
        <w:t xml:space="preserve">Hasbrouck, E. (2007). </w:t>
      </w:r>
      <w:r w:rsidRPr="003747CE">
        <w:rPr>
          <w:bCs/>
          <w:lang w:val="en-GB"/>
        </w:rPr>
        <w:t xml:space="preserve">Omissions from summary of comments, and request for independent review. </w:t>
      </w:r>
      <w:r w:rsidRPr="003747CE">
        <w:rPr>
          <w:bCs/>
          <w:i/>
          <w:lang w:val="en-GB"/>
        </w:rPr>
        <w:t>Email to ICANN.</w:t>
      </w:r>
      <w:r w:rsidRPr="003747CE">
        <w:rPr>
          <w:bCs/>
          <w:lang w:val="en-GB"/>
        </w:rPr>
        <w:t xml:space="preserve"> Retrieved from: </w:t>
      </w:r>
      <w:hyperlink r:id="rId12" w:history="1">
        <w:r w:rsidRPr="003747CE">
          <w:rPr>
            <w:rStyle w:val="Hyperlink"/>
            <w:lang w:val="en-GB"/>
          </w:rPr>
          <w:t>http://forum.icann.org/lists/draft-mop-2007/msg00011.html</w:t>
        </w:r>
      </w:hyperlink>
      <w:r w:rsidRPr="003747CE">
        <w:rPr>
          <w:lang w:val="en-GB"/>
        </w:rPr>
        <w:t xml:space="preserve"> </w:t>
      </w:r>
    </w:p>
    <w:p w14:paraId="6E47A7FB" w14:textId="77777777" w:rsidR="00C63294" w:rsidRPr="003747CE" w:rsidRDefault="00C63294" w:rsidP="00D209EB">
      <w:pPr>
        <w:spacing w:after="120" w:line="480" w:lineRule="auto"/>
        <w:rPr>
          <w:lang w:val="en-GB"/>
        </w:rPr>
      </w:pPr>
      <w:r w:rsidRPr="003747CE">
        <w:rPr>
          <w:lang w:val="en-GB"/>
        </w:rPr>
        <w:t xml:space="preserve">ICANN. (2015). New </w:t>
      </w:r>
      <w:proofErr w:type="spellStart"/>
      <w:r w:rsidRPr="003747CE">
        <w:rPr>
          <w:lang w:val="en-GB"/>
        </w:rPr>
        <w:t>gTLD</w:t>
      </w:r>
      <w:proofErr w:type="spellEnd"/>
      <w:r w:rsidRPr="003747CE">
        <w:rPr>
          <w:lang w:val="en-GB"/>
        </w:rPr>
        <w:t xml:space="preserve"> Auction Proceeds. Retrieved from: </w:t>
      </w:r>
      <w:hyperlink r:id="rId13" w:history="1">
        <w:r w:rsidRPr="003747CE">
          <w:rPr>
            <w:rStyle w:val="Hyperlink"/>
            <w:lang w:val="en-GB"/>
          </w:rPr>
          <w:t>http://newgtlds.icann.org/en/applicants/auctions/proceeds</w:t>
        </w:r>
      </w:hyperlink>
      <w:r w:rsidRPr="003747CE">
        <w:rPr>
          <w:lang w:val="en-GB"/>
        </w:rPr>
        <w:t xml:space="preserve"> </w:t>
      </w:r>
    </w:p>
    <w:p w14:paraId="64510A67" w14:textId="77777777" w:rsidR="00D209EB" w:rsidRDefault="00C63294" w:rsidP="00D209EB">
      <w:pPr>
        <w:spacing w:after="120" w:line="480" w:lineRule="auto"/>
        <w:rPr>
          <w:lang w:val="en-GB"/>
        </w:rPr>
      </w:pPr>
      <w:r w:rsidRPr="003747CE">
        <w:rPr>
          <w:lang w:val="en-GB"/>
        </w:rPr>
        <w:t xml:space="preserve">ICANN. (2014). </w:t>
      </w:r>
      <w:r w:rsidRPr="003747CE">
        <w:rPr>
          <w:i/>
          <w:lang w:val="en-GB"/>
        </w:rPr>
        <w:t>Accountability.</w:t>
      </w:r>
      <w:r w:rsidRPr="003747CE">
        <w:rPr>
          <w:lang w:val="en-GB"/>
        </w:rPr>
        <w:t xml:space="preserve"> Retrieved from: </w:t>
      </w:r>
      <w:hyperlink r:id="rId14" w:history="1">
        <w:r w:rsidRPr="003747CE">
          <w:rPr>
            <w:rStyle w:val="Hyperlink"/>
            <w:lang w:val="en-GB"/>
          </w:rPr>
          <w:t>https://www.icann.org/resources/accountability</w:t>
        </w:r>
      </w:hyperlink>
      <w:r w:rsidRPr="003747CE">
        <w:rPr>
          <w:lang w:val="en-GB"/>
        </w:rPr>
        <w:t xml:space="preserve"> </w:t>
      </w:r>
    </w:p>
    <w:p w14:paraId="56FD861B" w14:textId="1408ED0F" w:rsidR="00C63294" w:rsidRPr="003747CE" w:rsidRDefault="00C63294" w:rsidP="00D209EB">
      <w:pPr>
        <w:spacing w:after="120" w:line="480" w:lineRule="auto"/>
        <w:rPr>
          <w:lang w:val="en-GB"/>
        </w:rPr>
      </w:pPr>
      <w:r w:rsidRPr="003747CE">
        <w:rPr>
          <w:lang w:val="en-GB"/>
        </w:rPr>
        <w:lastRenderedPageBreak/>
        <w:t xml:space="preserve">ICANN. (2008). ICANN Accountability and Transparency Frameworks and Principles. </w:t>
      </w:r>
      <w:r w:rsidRPr="003747CE">
        <w:rPr>
          <w:i/>
          <w:lang w:val="en-GB"/>
        </w:rPr>
        <w:t>ICANN Management Operating Principles.</w:t>
      </w:r>
      <w:r w:rsidRPr="003747CE">
        <w:rPr>
          <w:lang w:val="en-GB"/>
        </w:rPr>
        <w:t xml:space="preserve"> Retrieved from: </w:t>
      </w:r>
      <w:hyperlink r:id="rId15" w:history="1">
        <w:r w:rsidRPr="003747CE">
          <w:rPr>
            <w:rStyle w:val="Hyperlink"/>
            <w:lang w:val="en-GB"/>
          </w:rPr>
          <w:t>https://www.icann.org/en/system/files/files/acct-trans-frameworks-principles-10jan08-en.pdf</w:t>
        </w:r>
      </w:hyperlink>
    </w:p>
    <w:p w14:paraId="11F5B6C5" w14:textId="77777777" w:rsidR="00C63294" w:rsidRPr="003747CE" w:rsidRDefault="00C63294" w:rsidP="00D209EB">
      <w:pPr>
        <w:spacing w:after="120" w:line="480" w:lineRule="auto"/>
        <w:rPr>
          <w:lang w:val="en-GB"/>
        </w:rPr>
      </w:pPr>
      <w:r w:rsidRPr="003747CE">
        <w:rPr>
          <w:lang w:val="en-GB"/>
        </w:rPr>
        <w:t xml:space="preserve">IPC. (2015). ICANN Requested to Immediately </w:t>
      </w:r>
      <w:proofErr w:type="gramStart"/>
      <w:r w:rsidRPr="003747CE">
        <w:rPr>
          <w:lang w:val="en-GB"/>
        </w:rPr>
        <w:t>Halt .SUCKS</w:t>
      </w:r>
      <w:proofErr w:type="gramEnd"/>
      <w:r w:rsidRPr="003747CE">
        <w:rPr>
          <w:lang w:val="en-GB"/>
        </w:rPr>
        <w:t xml:space="preserve"> Predatory Registration Scheme Designed to Exploit Trademark Owners. Letter to ICANN from the Intellectual Property Constituency. Retrieved from: </w:t>
      </w:r>
      <w:hyperlink r:id="rId16" w:history="1">
        <w:r w:rsidRPr="003747CE">
          <w:rPr>
            <w:rStyle w:val="Hyperlink"/>
            <w:lang w:val="en-GB"/>
          </w:rPr>
          <w:t>https://www.icann.org/en/system/files/correspondence/shatan-to-atallah-27mar15-en.pdf</w:t>
        </w:r>
      </w:hyperlink>
      <w:r w:rsidRPr="003747CE">
        <w:rPr>
          <w:lang w:val="en-GB"/>
        </w:rPr>
        <w:t xml:space="preserve"> </w:t>
      </w:r>
    </w:p>
    <w:p w14:paraId="07EBBA57" w14:textId="77777777" w:rsidR="00FF147C" w:rsidRDefault="00A20273" w:rsidP="00D209EB">
      <w:pPr>
        <w:spacing w:after="120" w:line="480" w:lineRule="auto"/>
        <w:rPr>
          <w:lang w:val="en-GB"/>
        </w:rPr>
      </w:pPr>
      <w:r w:rsidRPr="003747CE">
        <w:rPr>
          <w:lang w:val="en-GB"/>
        </w:rPr>
        <w:t xml:space="preserve">Katz, J.M. (1970). The games bureaucrats play: Hide and seek under the Freedom of Information Act. </w:t>
      </w:r>
      <w:r w:rsidRPr="003747CE">
        <w:rPr>
          <w:i/>
          <w:lang w:val="en-GB"/>
        </w:rPr>
        <w:t>Texas Law Review, 43</w:t>
      </w:r>
      <w:r w:rsidRPr="003747CE">
        <w:rPr>
          <w:lang w:val="en-GB"/>
        </w:rPr>
        <w:t>. 1047-1067.</w:t>
      </w:r>
    </w:p>
    <w:p w14:paraId="4C0F881A" w14:textId="54E0C263" w:rsidR="00FF147C" w:rsidRDefault="00FF147C" w:rsidP="00D209EB">
      <w:pPr>
        <w:spacing w:after="120" w:line="480" w:lineRule="auto"/>
        <w:rPr>
          <w:lang w:val="en-GB"/>
        </w:rPr>
      </w:pPr>
      <w:proofErr w:type="spellStart"/>
      <w:r w:rsidRPr="00FF147C">
        <w:rPr>
          <w:lang w:val="en-GB"/>
        </w:rPr>
        <w:t>Karanicolas</w:t>
      </w:r>
      <w:proofErr w:type="spellEnd"/>
      <w:r>
        <w:rPr>
          <w:lang w:val="en-GB"/>
        </w:rPr>
        <w:t xml:space="preserve">, M. (2015). </w:t>
      </w:r>
      <w:r w:rsidR="003A63E2">
        <w:rPr>
          <w:lang w:val="en-GB"/>
        </w:rPr>
        <w:t xml:space="preserve">DIDP Statement Draft. </w:t>
      </w:r>
      <w:r w:rsidR="000162B0" w:rsidRPr="000162B0">
        <w:rPr>
          <w:lang w:val="en-GB"/>
        </w:rPr>
        <w:t xml:space="preserve">Cross Community Working Group on Enhancing </w:t>
      </w:r>
      <w:r w:rsidR="000162B0">
        <w:rPr>
          <w:lang w:val="en-GB"/>
        </w:rPr>
        <w:t>ICANN</w:t>
      </w:r>
      <w:r w:rsidR="000162B0" w:rsidRPr="000162B0">
        <w:rPr>
          <w:lang w:val="en-GB"/>
        </w:rPr>
        <w:t>’s Accountability</w:t>
      </w:r>
      <w:r w:rsidR="000162B0">
        <w:rPr>
          <w:lang w:val="en-GB"/>
        </w:rPr>
        <w:t xml:space="preserve"> (</w:t>
      </w:r>
      <w:r w:rsidR="000162B0" w:rsidRPr="000162B0">
        <w:rPr>
          <w:lang w:val="en-GB"/>
        </w:rPr>
        <w:t>CCWG-ACCT</w:t>
      </w:r>
      <w:r w:rsidR="000162B0">
        <w:rPr>
          <w:lang w:val="en-GB"/>
        </w:rPr>
        <w:t>). NCSG Email Comm.</w:t>
      </w:r>
      <w:r w:rsidR="002E7A82">
        <w:rPr>
          <w:lang w:val="en-GB"/>
        </w:rPr>
        <w:t xml:space="preserve"> </w:t>
      </w:r>
    </w:p>
    <w:p w14:paraId="0B439ED8" w14:textId="7958505A" w:rsidR="0052209E" w:rsidRPr="003747CE" w:rsidRDefault="0052209E" w:rsidP="00D209EB">
      <w:pPr>
        <w:spacing w:after="120" w:line="480" w:lineRule="auto"/>
        <w:rPr>
          <w:lang w:val="en-GB"/>
        </w:rPr>
      </w:pPr>
      <w:proofErr w:type="spellStart"/>
      <w:r w:rsidRPr="003747CE">
        <w:rPr>
          <w:lang w:val="en-GB"/>
        </w:rPr>
        <w:t>Lazarsfeld</w:t>
      </w:r>
      <w:proofErr w:type="spellEnd"/>
      <w:r w:rsidRPr="003747CE">
        <w:rPr>
          <w:lang w:val="en-GB"/>
        </w:rPr>
        <w:t xml:space="preserve">, P. and Merton, R.K. (1954). Friendship as a social process: A substantive and methodological analysis. In </w:t>
      </w:r>
      <w:r w:rsidRPr="003747CE">
        <w:rPr>
          <w:i/>
          <w:lang w:val="en-GB"/>
        </w:rPr>
        <w:t>Freedom and control in modern society</w:t>
      </w:r>
      <w:r w:rsidRPr="003747CE">
        <w:rPr>
          <w:lang w:val="en-GB"/>
        </w:rPr>
        <w:t xml:space="preserve">, ed. </w:t>
      </w:r>
      <w:proofErr w:type="spellStart"/>
      <w:r w:rsidRPr="003747CE">
        <w:rPr>
          <w:lang w:val="en-GB"/>
        </w:rPr>
        <w:t>Morroe</w:t>
      </w:r>
      <w:proofErr w:type="spellEnd"/>
      <w:r w:rsidRPr="003747CE">
        <w:rPr>
          <w:lang w:val="en-GB"/>
        </w:rPr>
        <w:t xml:space="preserve"> Berger, Theodore Abel, and Charles H. Page, 18-66. New York: Van </w:t>
      </w:r>
      <w:proofErr w:type="spellStart"/>
      <w:r w:rsidRPr="003747CE">
        <w:rPr>
          <w:lang w:val="en-GB"/>
        </w:rPr>
        <w:t>Nostrand</w:t>
      </w:r>
      <w:proofErr w:type="spellEnd"/>
      <w:r w:rsidRPr="003747CE">
        <w:rPr>
          <w:lang w:val="en-GB"/>
        </w:rPr>
        <w:t>.</w:t>
      </w:r>
    </w:p>
    <w:p w14:paraId="760A61E3" w14:textId="77777777" w:rsidR="00A20273" w:rsidRPr="003747CE" w:rsidRDefault="00A20273" w:rsidP="00D209EB">
      <w:pPr>
        <w:spacing w:after="120" w:line="480" w:lineRule="auto"/>
        <w:rPr>
          <w:lang w:val="en-GB"/>
        </w:rPr>
      </w:pPr>
      <w:r w:rsidRPr="003747CE">
        <w:rPr>
          <w:lang w:val="en-GB"/>
        </w:rPr>
        <w:t>McPherson, J.M., Smith-</w:t>
      </w:r>
      <w:proofErr w:type="spellStart"/>
      <w:r w:rsidRPr="003747CE">
        <w:rPr>
          <w:lang w:val="en-GB"/>
        </w:rPr>
        <w:t>Lovin</w:t>
      </w:r>
      <w:proofErr w:type="spellEnd"/>
      <w:r w:rsidRPr="003747CE">
        <w:rPr>
          <w:lang w:val="en-GB"/>
        </w:rPr>
        <w:t xml:space="preserve">, L., and Cook, J. (2001). Birds of a feather: </w:t>
      </w:r>
      <w:proofErr w:type="spellStart"/>
      <w:r w:rsidRPr="003747CE">
        <w:rPr>
          <w:lang w:val="en-GB"/>
        </w:rPr>
        <w:t>Homophily</w:t>
      </w:r>
      <w:proofErr w:type="spellEnd"/>
      <w:r w:rsidRPr="003747CE">
        <w:rPr>
          <w:lang w:val="en-GB"/>
        </w:rPr>
        <w:t xml:space="preserve"> in social networks. </w:t>
      </w:r>
      <w:r w:rsidRPr="003747CE">
        <w:rPr>
          <w:i/>
          <w:lang w:val="en-GB"/>
        </w:rPr>
        <w:t>Annual Review of Sociology, 27</w:t>
      </w:r>
      <w:r w:rsidRPr="003747CE">
        <w:rPr>
          <w:lang w:val="en-GB"/>
        </w:rPr>
        <w:t>. 415-444.</w:t>
      </w:r>
    </w:p>
    <w:p w14:paraId="77B9A229" w14:textId="7F0934F6" w:rsidR="009F2D15" w:rsidRPr="003747CE" w:rsidRDefault="009F2D15" w:rsidP="00D209EB">
      <w:pPr>
        <w:spacing w:after="120" w:line="480" w:lineRule="auto"/>
        <w:rPr>
          <w:lang w:val="en-GB"/>
        </w:rPr>
      </w:pPr>
      <w:r w:rsidRPr="003747CE">
        <w:rPr>
          <w:lang w:val="en-GB"/>
        </w:rPr>
        <w:t xml:space="preserve">Metcalfe, D.J. (2014). The history of government transparency. In P. </w:t>
      </w:r>
      <w:proofErr w:type="spellStart"/>
      <w:r w:rsidRPr="003747CE">
        <w:rPr>
          <w:lang w:val="en-GB"/>
        </w:rPr>
        <w:t>Ala’a</w:t>
      </w:r>
      <w:proofErr w:type="spellEnd"/>
      <w:r w:rsidRPr="003747CE">
        <w:rPr>
          <w:lang w:val="en-GB"/>
        </w:rPr>
        <w:t xml:space="preserve"> and R.G. Vaughn (Eds.), </w:t>
      </w:r>
      <w:r w:rsidRPr="003747CE">
        <w:rPr>
          <w:i/>
          <w:lang w:val="en-GB"/>
        </w:rPr>
        <w:t xml:space="preserve">Research Handbook on Transparency </w:t>
      </w:r>
      <w:r w:rsidRPr="003747CE">
        <w:rPr>
          <w:lang w:val="en-GB"/>
        </w:rPr>
        <w:t xml:space="preserve">(pp. 247-262). Northampton, MA: Edward Elgar. </w:t>
      </w:r>
    </w:p>
    <w:p w14:paraId="3AAD848D" w14:textId="3601DB6A" w:rsidR="0052209E" w:rsidRPr="003747CE" w:rsidRDefault="00A20273" w:rsidP="00D209EB">
      <w:pPr>
        <w:spacing w:after="120" w:line="480" w:lineRule="auto"/>
        <w:rPr>
          <w:lang w:val="en-GB"/>
        </w:rPr>
      </w:pPr>
      <w:proofErr w:type="spellStart"/>
      <w:r w:rsidRPr="003747CE">
        <w:rPr>
          <w:lang w:val="en-GB"/>
        </w:rPr>
        <w:t>Monge</w:t>
      </w:r>
      <w:proofErr w:type="spellEnd"/>
      <w:r w:rsidRPr="003747CE">
        <w:rPr>
          <w:lang w:val="en-GB"/>
        </w:rPr>
        <w:t>, P.R. and Contractor, N.</w:t>
      </w:r>
      <w:r w:rsidR="0052209E" w:rsidRPr="003747CE">
        <w:rPr>
          <w:lang w:val="en-GB"/>
        </w:rPr>
        <w:t xml:space="preserve">S. (2003). </w:t>
      </w:r>
      <w:r w:rsidR="0052209E" w:rsidRPr="003747CE">
        <w:rPr>
          <w:i/>
          <w:lang w:val="en-GB"/>
        </w:rPr>
        <w:t>Theories of Communication Networks</w:t>
      </w:r>
      <w:r w:rsidR="0052209E" w:rsidRPr="003747CE">
        <w:rPr>
          <w:lang w:val="en-GB"/>
        </w:rPr>
        <w:t xml:space="preserve">. New York: Oxford University Press. </w:t>
      </w:r>
    </w:p>
    <w:p w14:paraId="1A716E7F" w14:textId="77777777" w:rsidR="00C63294" w:rsidRPr="003747CE" w:rsidRDefault="00C63294" w:rsidP="00D209EB">
      <w:pPr>
        <w:spacing w:after="120" w:line="480" w:lineRule="auto"/>
        <w:rPr>
          <w:lang w:val="en-GB"/>
        </w:rPr>
      </w:pPr>
      <w:r w:rsidRPr="003747CE">
        <w:rPr>
          <w:lang w:val="en-GB"/>
        </w:rPr>
        <w:t xml:space="preserve">NTIA. (2014). NTIA Announces Intent to Transition Key Internet Domain Name Functions. Retrieved from: </w:t>
      </w:r>
      <w:hyperlink r:id="rId17" w:history="1">
        <w:r w:rsidRPr="003747CE">
          <w:rPr>
            <w:rStyle w:val="Hyperlink"/>
            <w:lang w:val="en-GB"/>
          </w:rPr>
          <w:t>http://www.ntia.doc.gov/press-release/2014/ntia-announces-intent-transition-key-internet-domain-name-functions</w:t>
        </w:r>
      </w:hyperlink>
      <w:r w:rsidRPr="003747CE">
        <w:rPr>
          <w:lang w:val="en-GB"/>
        </w:rPr>
        <w:t xml:space="preserve">  </w:t>
      </w:r>
    </w:p>
    <w:p w14:paraId="0CA8CA31" w14:textId="77777777" w:rsidR="00C63294" w:rsidRPr="003747CE" w:rsidRDefault="00C63294" w:rsidP="00D209EB">
      <w:pPr>
        <w:spacing w:after="120" w:line="480" w:lineRule="auto"/>
        <w:rPr>
          <w:lang w:val="en-GB"/>
        </w:rPr>
      </w:pPr>
      <w:r w:rsidRPr="003747CE">
        <w:rPr>
          <w:lang w:val="en-GB"/>
        </w:rPr>
        <w:lastRenderedPageBreak/>
        <w:t xml:space="preserve">NTIA. (1998). Statement of Policy on the Management of Internet Names and Addresses. Retrieved from: </w:t>
      </w:r>
      <w:hyperlink r:id="rId18" w:history="1">
        <w:r w:rsidRPr="003747CE">
          <w:rPr>
            <w:rStyle w:val="Hyperlink"/>
            <w:lang w:val="en-GB"/>
          </w:rPr>
          <w:t>http://www.ntia.doc.gov/federal-register-notice/1998/statement-policy-management-internet-names-and-addresses</w:t>
        </w:r>
      </w:hyperlink>
      <w:r w:rsidRPr="003747CE">
        <w:rPr>
          <w:lang w:val="en-GB"/>
        </w:rPr>
        <w:t xml:space="preserve"> </w:t>
      </w:r>
    </w:p>
    <w:p w14:paraId="6CAA81E6" w14:textId="761DAB9A" w:rsidR="00C63294" w:rsidRPr="003747CE" w:rsidRDefault="00C63294" w:rsidP="00D209EB">
      <w:pPr>
        <w:spacing w:after="120" w:line="480" w:lineRule="auto"/>
        <w:rPr>
          <w:lang w:val="en-GB"/>
        </w:rPr>
      </w:pPr>
      <w:proofErr w:type="spellStart"/>
      <w:r w:rsidRPr="003747CE">
        <w:rPr>
          <w:lang w:val="en-GB"/>
        </w:rPr>
        <w:t>Rickert</w:t>
      </w:r>
      <w:proofErr w:type="spellEnd"/>
      <w:r w:rsidRPr="003747CE">
        <w:rPr>
          <w:lang w:val="en-GB"/>
        </w:rPr>
        <w:t xml:space="preserve">, T., Sanchez, L., Weill M. (2015). Cross Community Working Group on Enhancing ICANN Accountability (CCWG-Accountability) | Chairs' Statement. </w:t>
      </w:r>
      <w:r w:rsidRPr="003747CE">
        <w:rPr>
          <w:i/>
          <w:lang w:val="en-GB"/>
        </w:rPr>
        <w:t>ICANN.</w:t>
      </w:r>
      <w:r w:rsidRPr="003747CE">
        <w:rPr>
          <w:lang w:val="en-GB"/>
        </w:rPr>
        <w:t xml:space="preserve"> Retrieved from: </w:t>
      </w:r>
      <w:hyperlink r:id="rId19" w:history="1">
        <w:r w:rsidRPr="003747CE">
          <w:rPr>
            <w:rStyle w:val="Hyperlink"/>
            <w:lang w:val="en-GB"/>
          </w:rPr>
          <w:t>https://www.icann.org/news/announcement-2015-01-23-en</w:t>
        </w:r>
      </w:hyperlink>
      <w:r w:rsidRPr="003747CE">
        <w:rPr>
          <w:lang w:val="en-GB"/>
        </w:rPr>
        <w:t xml:space="preserve"> </w:t>
      </w:r>
    </w:p>
    <w:p w14:paraId="7A0508F9" w14:textId="725EEF2C" w:rsidR="0052209E" w:rsidRPr="003747CE" w:rsidRDefault="0052209E" w:rsidP="00D209EB">
      <w:pPr>
        <w:spacing w:after="120" w:line="480" w:lineRule="auto"/>
        <w:rPr>
          <w:lang w:val="en-GB"/>
        </w:rPr>
      </w:pPr>
      <w:proofErr w:type="spellStart"/>
      <w:r w:rsidRPr="003747CE">
        <w:rPr>
          <w:lang w:val="en-GB"/>
        </w:rPr>
        <w:t>Şimşek</w:t>
      </w:r>
      <w:proofErr w:type="spellEnd"/>
      <w:r w:rsidRPr="003747CE">
        <w:rPr>
          <w:lang w:val="en-GB"/>
        </w:rPr>
        <w:t xml:space="preserve">, Ö. and Jensen D. (2008). Navigating Networks by Using </w:t>
      </w:r>
      <w:proofErr w:type="spellStart"/>
      <w:r w:rsidRPr="003747CE">
        <w:rPr>
          <w:lang w:val="en-GB"/>
        </w:rPr>
        <w:t>Homophily</w:t>
      </w:r>
      <w:proofErr w:type="spellEnd"/>
      <w:r w:rsidRPr="003747CE">
        <w:rPr>
          <w:lang w:val="en-GB"/>
        </w:rPr>
        <w:t xml:space="preserve"> and Degree. </w:t>
      </w:r>
      <w:r w:rsidRPr="003747CE">
        <w:rPr>
          <w:i/>
          <w:lang w:val="en-GB"/>
        </w:rPr>
        <w:t>Proceedings of the National Academy of Sciences of the United States of America, 105</w:t>
      </w:r>
      <w:r w:rsidRPr="003747CE">
        <w:rPr>
          <w:lang w:val="en-GB"/>
        </w:rPr>
        <w:t>(35). 12758-12762.</w:t>
      </w:r>
    </w:p>
    <w:p w14:paraId="20BDCDFC" w14:textId="352AC372" w:rsidR="000531E6" w:rsidRPr="003747CE" w:rsidRDefault="000531E6" w:rsidP="00D209EB">
      <w:pPr>
        <w:spacing w:after="120" w:line="480" w:lineRule="auto"/>
        <w:rPr>
          <w:lang w:val="en-GB"/>
        </w:rPr>
      </w:pPr>
      <w:r w:rsidRPr="003747CE">
        <w:rPr>
          <w:lang w:val="en-GB"/>
        </w:rPr>
        <w:t>Wasserman</w:t>
      </w:r>
      <w:r w:rsidR="004D6EF6" w:rsidRPr="003747CE">
        <w:rPr>
          <w:lang w:val="en-GB"/>
        </w:rPr>
        <w:t xml:space="preserve">, S. and Faust, K. (1994). </w:t>
      </w:r>
      <w:r w:rsidR="004D6EF6" w:rsidRPr="003747CE">
        <w:rPr>
          <w:i/>
          <w:lang w:val="en-GB"/>
        </w:rPr>
        <w:t>Social network analysis: Methods and applications.</w:t>
      </w:r>
      <w:r w:rsidR="004D6EF6" w:rsidRPr="003747CE">
        <w:rPr>
          <w:lang w:val="en-GB"/>
        </w:rPr>
        <w:t xml:space="preserve"> </w:t>
      </w:r>
      <w:proofErr w:type="spellStart"/>
      <w:r w:rsidR="004D6EF6" w:rsidRPr="003747CE">
        <w:rPr>
          <w:lang w:val="en-GB"/>
        </w:rPr>
        <w:t>NewYork</w:t>
      </w:r>
      <w:proofErr w:type="spellEnd"/>
      <w:r w:rsidR="004D6EF6" w:rsidRPr="003747CE">
        <w:rPr>
          <w:lang w:val="en-GB"/>
        </w:rPr>
        <w:t>: Cambridge University Press.</w:t>
      </w:r>
    </w:p>
    <w:p w14:paraId="42617B4A" w14:textId="77777777" w:rsidR="00C63294" w:rsidRPr="003747CE" w:rsidRDefault="00C63294" w:rsidP="00D209EB">
      <w:pPr>
        <w:spacing w:after="120" w:line="480" w:lineRule="auto"/>
        <w:rPr>
          <w:lang w:val="en-GB"/>
        </w:rPr>
      </w:pPr>
      <w:r w:rsidRPr="003747CE">
        <w:rPr>
          <w:lang w:val="en-GB"/>
        </w:rPr>
        <w:t xml:space="preserve">Weber, R. H., &amp; </w:t>
      </w:r>
      <w:proofErr w:type="spellStart"/>
      <w:r w:rsidRPr="003747CE">
        <w:rPr>
          <w:lang w:val="en-GB"/>
        </w:rPr>
        <w:t>Gunnarson</w:t>
      </w:r>
      <w:proofErr w:type="spellEnd"/>
      <w:r w:rsidRPr="003747CE">
        <w:rPr>
          <w:lang w:val="en-GB"/>
        </w:rPr>
        <w:t>, R. S. (2012). A Constitutional Solution for Internet Governance</w:t>
      </w:r>
      <w:r w:rsidRPr="003747CE">
        <w:rPr>
          <w:i/>
          <w:lang w:val="en-GB"/>
        </w:rPr>
        <w:t>.  Columbia Science and Technology Law Review</w:t>
      </w:r>
      <w:r w:rsidRPr="003747CE">
        <w:rPr>
          <w:lang w:val="en-GB"/>
        </w:rPr>
        <w:t>, 14(1), 1-71.</w:t>
      </w:r>
    </w:p>
    <w:p w14:paraId="33C87A82" w14:textId="6B4D26C8" w:rsidR="00DB2DD4" w:rsidRPr="003747CE" w:rsidRDefault="00DB2DD4" w:rsidP="006A5D96">
      <w:pPr>
        <w:spacing w:after="120" w:line="360" w:lineRule="auto"/>
        <w:rPr>
          <w:lang w:val="en-GB"/>
        </w:rPr>
      </w:pPr>
    </w:p>
    <w:sectPr w:rsidR="00DB2DD4" w:rsidRPr="003747CE" w:rsidSect="00CA34A7">
      <w:headerReference w:type="default" r:id="rId20"/>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0586A8" w14:textId="77777777" w:rsidR="00B25A6C" w:rsidRDefault="00B25A6C" w:rsidP="00C63294">
      <w:r>
        <w:separator/>
      </w:r>
    </w:p>
  </w:endnote>
  <w:endnote w:type="continuationSeparator" w:id="0">
    <w:p w14:paraId="5E10E0A9" w14:textId="77777777" w:rsidR="00B25A6C" w:rsidRDefault="00B25A6C" w:rsidP="00C632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Light">
    <w:panose1 w:val="020F0302020204030204"/>
    <w:charset w:val="00"/>
    <w:family w:val="auto"/>
    <w:pitch w:val="variable"/>
    <w:sig w:usb0="A00002EF" w:usb1="4000207B" w:usb2="00000000" w:usb3="00000000" w:csb0="0000019F"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9D572C" w14:textId="77777777" w:rsidR="00B25A6C" w:rsidRDefault="00B25A6C" w:rsidP="00C63294">
      <w:r>
        <w:separator/>
      </w:r>
    </w:p>
  </w:footnote>
  <w:footnote w:type="continuationSeparator" w:id="0">
    <w:p w14:paraId="6A9F67AF" w14:textId="77777777" w:rsidR="00B25A6C" w:rsidRDefault="00B25A6C" w:rsidP="00C6329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9F1BC1" w14:textId="77777777" w:rsidR="005611EE" w:rsidRPr="00D57624" w:rsidRDefault="005611EE" w:rsidP="00C63294">
    <w:pPr>
      <w:pStyle w:val="Header"/>
      <w:framePr w:wrap="none" w:vAnchor="text" w:hAnchor="page" w:x="10342" w:y="1"/>
      <w:rPr>
        <w:rStyle w:val="PageNumber"/>
      </w:rPr>
    </w:pPr>
    <w:r w:rsidRPr="00D57624">
      <w:rPr>
        <w:rStyle w:val="PageNumber"/>
      </w:rPr>
      <w:fldChar w:fldCharType="begin"/>
    </w:r>
    <w:r w:rsidRPr="00D57624">
      <w:rPr>
        <w:rStyle w:val="PageNumber"/>
      </w:rPr>
      <w:instrText xml:space="preserve">PAGE  </w:instrText>
    </w:r>
    <w:r w:rsidRPr="00D57624">
      <w:rPr>
        <w:rStyle w:val="PageNumber"/>
      </w:rPr>
      <w:fldChar w:fldCharType="separate"/>
    </w:r>
    <w:r w:rsidR="00BC5BD2">
      <w:rPr>
        <w:rStyle w:val="PageNumber"/>
        <w:noProof/>
      </w:rPr>
      <w:t>2</w:t>
    </w:r>
    <w:r w:rsidRPr="00D57624">
      <w:rPr>
        <w:rStyle w:val="PageNumber"/>
      </w:rPr>
      <w:fldChar w:fldCharType="end"/>
    </w:r>
  </w:p>
  <w:p w14:paraId="49ABD38D" w14:textId="1168C263" w:rsidR="005611EE" w:rsidRDefault="008F3A88" w:rsidP="008F3A88">
    <w:pPr>
      <w:pStyle w:val="Header"/>
    </w:pPr>
    <w:r w:rsidRPr="0030153B">
      <w:t>Sarah Clayton</w:t>
    </w:r>
    <w:r>
      <w:t>:</w:t>
    </w:r>
    <w:r w:rsidRPr="0030153B">
      <w:t xml:space="preserve"> </w:t>
    </w:r>
    <w:r>
      <w:t>Which authors of DIDP requests are likely to receive DCND</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3110F"/>
    <w:multiLevelType w:val="hybridMultilevel"/>
    <w:tmpl w:val="E1A29778"/>
    <w:lvl w:ilvl="0" w:tplc="67C8052C">
      <w:start w:val="1"/>
      <w:numFmt w:val="low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1748D3"/>
    <w:multiLevelType w:val="hybridMultilevel"/>
    <w:tmpl w:val="9DDA27E8"/>
    <w:lvl w:ilvl="0" w:tplc="35208A6C">
      <w:start w:val="1"/>
      <w:numFmt w:val="lowerRoman"/>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0B4938"/>
    <w:multiLevelType w:val="hybridMultilevel"/>
    <w:tmpl w:val="53C05DA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4C6742E"/>
    <w:multiLevelType w:val="hybridMultilevel"/>
    <w:tmpl w:val="939C4162"/>
    <w:lvl w:ilvl="0" w:tplc="04090019">
      <w:start w:val="1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37B43F5"/>
    <w:multiLevelType w:val="hybridMultilevel"/>
    <w:tmpl w:val="050862A8"/>
    <w:lvl w:ilvl="0" w:tplc="04090019">
      <w:start w:val="6"/>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4A438DE"/>
    <w:multiLevelType w:val="hybridMultilevel"/>
    <w:tmpl w:val="1C7C15CC"/>
    <w:lvl w:ilvl="0" w:tplc="04090019">
      <w:start w:val="7"/>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6121932"/>
    <w:multiLevelType w:val="hybridMultilevel"/>
    <w:tmpl w:val="3E54AF38"/>
    <w:lvl w:ilvl="0" w:tplc="B90ECDD6">
      <w:start w:val="50"/>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AC5518C"/>
    <w:multiLevelType w:val="hybridMultilevel"/>
    <w:tmpl w:val="45DEA3E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D2A4215"/>
    <w:multiLevelType w:val="hybridMultilevel"/>
    <w:tmpl w:val="756AD03E"/>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5FA5A06"/>
    <w:multiLevelType w:val="hybridMultilevel"/>
    <w:tmpl w:val="BDE227FA"/>
    <w:lvl w:ilvl="0" w:tplc="67C8052C">
      <w:start w:val="1"/>
      <w:numFmt w:val="low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B641153"/>
    <w:multiLevelType w:val="hybridMultilevel"/>
    <w:tmpl w:val="0914C454"/>
    <w:lvl w:ilvl="0" w:tplc="04090019">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7"/>
  </w:num>
  <w:num w:numId="4">
    <w:abstractNumId w:val="9"/>
  </w:num>
  <w:num w:numId="5">
    <w:abstractNumId w:val="10"/>
  </w:num>
  <w:num w:numId="6">
    <w:abstractNumId w:val="5"/>
  </w:num>
  <w:num w:numId="7">
    <w:abstractNumId w:val="6"/>
  </w:num>
  <w:num w:numId="8">
    <w:abstractNumId w:val="8"/>
  </w:num>
  <w:num w:numId="9">
    <w:abstractNumId w:val="4"/>
  </w:num>
  <w:num w:numId="10">
    <w:abstractNumId w:val="3"/>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620B"/>
    <w:rsid w:val="0001062B"/>
    <w:rsid w:val="00012154"/>
    <w:rsid w:val="000122DE"/>
    <w:rsid w:val="000162B0"/>
    <w:rsid w:val="000176E9"/>
    <w:rsid w:val="000219D4"/>
    <w:rsid w:val="000314EB"/>
    <w:rsid w:val="00033B06"/>
    <w:rsid w:val="00042938"/>
    <w:rsid w:val="000531E6"/>
    <w:rsid w:val="00061B4B"/>
    <w:rsid w:val="000917DA"/>
    <w:rsid w:val="00095686"/>
    <w:rsid w:val="000A5F31"/>
    <w:rsid w:val="000B21F3"/>
    <w:rsid w:val="000C56DC"/>
    <w:rsid w:val="000E08BF"/>
    <w:rsid w:val="000F776F"/>
    <w:rsid w:val="00103D0D"/>
    <w:rsid w:val="00111CCC"/>
    <w:rsid w:val="00155D47"/>
    <w:rsid w:val="001840FC"/>
    <w:rsid w:val="00190DD5"/>
    <w:rsid w:val="00197A8C"/>
    <w:rsid w:val="00197E50"/>
    <w:rsid w:val="001B0B90"/>
    <w:rsid w:val="001C5061"/>
    <w:rsid w:val="001D1537"/>
    <w:rsid w:val="001D4A14"/>
    <w:rsid w:val="00202617"/>
    <w:rsid w:val="002057DF"/>
    <w:rsid w:val="002060CE"/>
    <w:rsid w:val="002155AD"/>
    <w:rsid w:val="0022175D"/>
    <w:rsid w:val="00230768"/>
    <w:rsid w:val="00250DBF"/>
    <w:rsid w:val="002532B2"/>
    <w:rsid w:val="002542D2"/>
    <w:rsid w:val="00255163"/>
    <w:rsid w:val="002609D0"/>
    <w:rsid w:val="00277C41"/>
    <w:rsid w:val="00287F09"/>
    <w:rsid w:val="00297AF4"/>
    <w:rsid w:val="002A1F64"/>
    <w:rsid w:val="002B7E85"/>
    <w:rsid w:val="002E02F5"/>
    <w:rsid w:val="002E5FAB"/>
    <w:rsid w:val="002E7A82"/>
    <w:rsid w:val="002F3265"/>
    <w:rsid w:val="003012F8"/>
    <w:rsid w:val="00310261"/>
    <w:rsid w:val="0031383F"/>
    <w:rsid w:val="00336D0D"/>
    <w:rsid w:val="0034519D"/>
    <w:rsid w:val="003514ED"/>
    <w:rsid w:val="003605F7"/>
    <w:rsid w:val="003719BA"/>
    <w:rsid w:val="003741F6"/>
    <w:rsid w:val="003747CE"/>
    <w:rsid w:val="003A246D"/>
    <w:rsid w:val="003A63E2"/>
    <w:rsid w:val="003C2F82"/>
    <w:rsid w:val="003C4A2E"/>
    <w:rsid w:val="003C6644"/>
    <w:rsid w:val="003D112F"/>
    <w:rsid w:val="003D2871"/>
    <w:rsid w:val="003D3313"/>
    <w:rsid w:val="004018FB"/>
    <w:rsid w:val="00402228"/>
    <w:rsid w:val="00403515"/>
    <w:rsid w:val="0044016F"/>
    <w:rsid w:val="00440B8D"/>
    <w:rsid w:val="00445F46"/>
    <w:rsid w:val="004543B5"/>
    <w:rsid w:val="00456946"/>
    <w:rsid w:val="00483402"/>
    <w:rsid w:val="0049348C"/>
    <w:rsid w:val="004C6680"/>
    <w:rsid w:val="004D6EF6"/>
    <w:rsid w:val="0050609A"/>
    <w:rsid w:val="0052209E"/>
    <w:rsid w:val="00535FD8"/>
    <w:rsid w:val="005571E2"/>
    <w:rsid w:val="005611EE"/>
    <w:rsid w:val="005617E8"/>
    <w:rsid w:val="00596943"/>
    <w:rsid w:val="005B50B2"/>
    <w:rsid w:val="005D1ED7"/>
    <w:rsid w:val="005D3CBF"/>
    <w:rsid w:val="005F5D94"/>
    <w:rsid w:val="00602F62"/>
    <w:rsid w:val="00614978"/>
    <w:rsid w:val="00626B8C"/>
    <w:rsid w:val="00631B07"/>
    <w:rsid w:val="006667F0"/>
    <w:rsid w:val="00670B58"/>
    <w:rsid w:val="00672177"/>
    <w:rsid w:val="00674E18"/>
    <w:rsid w:val="00676755"/>
    <w:rsid w:val="00682DB8"/>
    <w:rsid w:val="006847CB"/>
    <w:rsid w:val="0068628E"/>
    <w:rsid w:val="006912C9"/>
    <w:rsid w:val="00696960"/>
    <w:rsid w:val="006A4C7D"/>
    <w:rsid w:val="006A5D96"/>
    <w:rsid w:val="006C0600"/>
    <w:rsid w:val="006D59A1"/>
    <w:rsid w:val="006F63C3"/>
    <w:rsid w:val="00756654"/>
    <w:rsid w:val="007B42B4"/>
    <w:rsid w:val="007C0151"/>
    <w:rsid w:val="007C6C3A"/>
    <w:rsid w:val="007D1DA0"/>
    <w:rsid w:val="007D42D9"/>
    <w:rsid w:val="007F080A"/>
    <w:rsid w:val="0084547E"/>
    <w:rsid w:val="008633D6"/>
    <w:rsid w:val="00875317"/>
    <w:rsid w:val="00885D14"/>
    <w:rsid w:val="008974C6"/>
    <w:rsid w:val="008A1066"/>
    <w:rsid w:val="008A7FD6"/>
    <w:rsid w:val="008B3D0A"/>
    <w:rsid w:val="008F0C2D"/>
    <w:rsid w:val="008F3A88"/>
    <w:rsid w:val="0090309D"/>
    <w:rsid w:val="00907B87"/>
    <w:rsid w:val="00915A7F"/>
    <w:rsid w:val="00916666"/>
    <w:rsid w:val="00922719"/>
    <w:rsid w:val="00931D81"/>
    <w:rsid w:val="00933196"/>
    <w:rsid w:val="0093401F"/>
    <w:rsid w:val="00935C12"/>
    <w:rsid w:val="00936F61"/>
    <w:rsid w:val="00967093"/>
    <w:rsid w:val="009909FC"/>
    <w:rsid w:val="0099620B"/>
    <w:rsid w:val="009B631B"/>
    <w:rsid w:val="009B69B0"/>
    <w:rsid w:val="009C3C34"/>
    <w:rsid w:val="009E4187"/>
    <w:rsid w:val="009E6A47"/>
    <w:rsid w:val="009F2D15"/>
    <w:rsid w:val="00A1247F"/>
    <w:rsid w:val="00A20122"/>
    <w:rsid w:val="00A20273"/>
    <w:rsid w:val="00A2253B"/>
    <w:rsid w:val="00A40CC3"/>
    <w:rsid w:val="00A42697"/>
    <w:rsid w:val="00A44157"/>
    <w:rsid w:val="00A56F86"/>
    <w:rsid w:val="00A605A3"/>
    <w:rsid w:val="00A66C57"/>
    <w:rsid w:val="00A707CB"/>
    <w:rsid w:val="00A76F43"/>
    <w:rsid w:val="00A83E39"/>
    <w:rsid w:val="00A90149"/>
    <w:rsid w:val="00A91B64"/>
    <w:rsid w:val="00AA53DE"/>
    <w:rsid w:val="00AC2E39"/>
    <w:rsid w:val="00AC4AF4"/>
    <w:rsid w:val="00AD3F16"/>
    <w:rsid w:val="00AE010F"/>
    <w:rsid w:val="00AE1CB8"/>
    <w:rsid w:val="00B06A97"/>
    <w:rsid w:val="00B25A6C"/>
    <w:rsid w:val="00B266E7"/>
    <w:rsid w:val="00B272D7"/>
    <w:rsid w:val="00B57911"/>
    <w:rsid w:val="00B61055"/>
    <w:rsid w:val="00B91A1F"/>
    <w:rsid w:val="00BC5931"/>
    <w:rsid w:val="00BC5BD2"/>
    <w:rsid w:val="00BD086E"/>
    <w:rsid w:val="00BD533B"/>
    <w:rsid w:val="00BE74DA"/>
    <w:rsid w:val="00C32A0C"/>
    <w:rsid w:val="00C45083"/>
    <w:rsid w:val="00C63294"/>
    <w:rsid w:val="00C71478"/>
    <w:rsid w:val="00C75251"/>
    <w:rsid w:val="00C83A95"/>
    <w:rsid w:val="00C933DB"/>
    <w:rsid w:val="00CA34A7"/>
    <w:rsid w:val="00CB0B8A"/>
    <w:rsid w:val="00CB147A"/>
    <w:rsid w:val="00CB4D0F"/>
    <w:rsid w:val="00CC02F3"/>
    <w:rsid w:val="00CE3B8D"/>
    <w:rsid w:val="00CF2AE3"/>
    <w:rsid w:val="00CF3493"/>
    <w:rsid w:val="00D00893"/>
    <w:rsid w:val="00D12A72"/>
    <w:rsid w:val="00D209EB"/>
    <w:rsid w:val="00D37D5A"/>
    <w:rsid w:val="00D5144C"/>
    <w:rsid w:val="00D71766"/>
    <w:rsid w:val="00D95FB3"/>
    <w:rsid w:val="00DB2DD4"/>
    <w:rsid w:val="00DD06F0"/>
    <w:rsid w:val="00DE6397"/>
    <w:rsid w:val="00E01DFE"/>
    <w:rsid w:val="00E02020"/>
    <w:rsid w:val="00E24A0F"/>
    <w:rsid w:val="00E41C45"/>
    <w:rsid w:val="00E53705"/>
    <w:rsid w:val="00E71BF5"/>
    <w:rsid w:val="00E81D27"/>
    <w:rsid w:val="00E9038C"/>
    <w:rsid w:val="00E9650F"/>
    <w:rsid w:val="00EA3A12"/>
    <w:rsid w:val="00ED6DE2"/>
    <w:rsid w:val="00F351AF"/>
    <w:rsid w:val="00F37564"/>
    <w:rsid w:val="00F64F9C"/>
    <w:rsid w:val="00F81F8B"/>
    <w:rsid w:val="00F93634"/>
    <w:rsid w:val="00F95E87"/>
    <w:rsid w:val="00F97F50"/>
    <w:rsid w:val="00FC5F6E"/>
    <w:rsid w:val="00FC6734"/>
    <w:rsid w:val="00FE44A9"/>
    <w:rsid w:val="00FF14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AD923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12C9"/>
    <w:rPr>
      <w:rFonts w:ascii="Times New Roman" w:hAnsi="Times New Roman" w:cs="Times New Roman"/>
    </w:rPr>
  </w:style>
  <w:style w:type="paragraph" w:styleId="Heading3">
    <w:name w:val="heading 3"/>
    <w:basedOn w:val="Normal"/>
    <w:next w:val="Normal"/>
    <w:link w:val="Heading3Char"/>
    <w:uiPriority w:val="9"/>
    <w:semiHidden/>
    <w:unhideWhenUsed/>
    <w:qFormat/>
    <w:rsid w:val="005B50B2"/>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962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DB2DD4"/>
    <w:rPr>
      <w:color w:val="0563C1" w:themeColor="hyperlink"/>
      <w:u w:val="single"/>
    </w:rPr>
  </w:style>
  <w:style w:type="character" w:customStyle="1" w:styleId="Heading3Char">
    <w:name w:val="Heading 3 Char"/>
    <w:basedOn w:val="DefaultParagraphFont"/>
    <w:link w:val="Heading3"/>
    <w:uiPriority w:val="9"/>
    <w:semiHidden/>
    <w:rsid w:val="005B50B2"/>
    <w:rPr>
      <w:rFonts w:asciiTheme="majorHAnsi" w:eastAsiaTheme="majorEastAsia" w:hAnsiTheme="majorHAnsi" w:cstheme="majorBidi"/>
      <w:color w:val="1F4D78" w:themeColor="accent1" w:themeShade="7F"/>
    </w:rPr>
  </w:style>
  <w:style w:type="character" w:styleId="FollowedHyperlink">
    <w:name w:val="FollowedHyperlink"/>
    <w:basedOn w:val="DefaultParagraphFont"/>
    <w:uiPriority w:val="99"/>
    <w:semiHidden/>
    <w:unhideWhenUsed/>
    <w:rsid w:val="005B50B2"/>
    <w:rPr>
      <w:color w:val="954F72" w:themeColor="followedHyperlink"/>
      <w:u w:val="single"/>
    </w:rPr>
  </w:style>
  <w:style w:type="paragraph" w:styleId="Header">
    <w:name w:val="header"/>
    <w:basedOn w:val="Normal"/>
    <w:link w:val="HeaderChar"/>
    <w:uiPriority w:val="99"/>
    <w:unhideWhenUsed/>
    <w:rsid w:val="00C63294"/>
    <w:pPr>
      <w:tabs>
        <w:tab w:val="center" w:pos="4513"/>
        <w:tab w:val="right" w:pos="9026"/>
      </w:tabs>
    </w:pPr>
  </w:style>
  <w:style w:type="character" w:customStyle="1" w:styleId="HeaderChar">
    <w:name w:val="Header Char"/>
    <w:basedOn w:val="DefaultParagraphFont"/>
    <w:link w:val="Header"/>
    <w:uiPriority w:val="99"/>
    <w:rsid w:val="00C63294"/>
    <w:rPr>
      <w:rFonts w:ascii="Times New Roman" w:hAnsi="Times New Roman" w:cs="Times New Roman"/>
    </w:rPr>
  </w:style>
  <w:style w:type="paragraph" w:styleId="Footer">
    <w:name w:val="footer"/>
    <w:basedOn w:val="Normal"/>
    <w:link w:val="FooterChar"/>
    <w:uiPriority w:val="99"/>
    <w:unhideWhenUsed/>
    <w:rsid w:val="00C63294"/>
    <w:pPr>
      <w:tabs>
        <w:tab w:val="center" w:pos="4513"/>
        <w:tab w:val="right" w:pos="9026"/>
      </w:tabs>
    </w:pPr>
  </w:style>
  <w:style w:type="character" w:customStyle="1" w:styleId="FooterChar">
    <w:name w:val="Footer Char"/>
    <w:basedOn w:val="DefaultParagraphFont"/>
    <w:link w:val="Footer"/>
    <w:uiPriority w:val="99"/>
    <w:rsid w:val="00C63294"/>
    <w:rPr>
      <w:rFonts w:ascii="Times New Roman" w:hAnsi="Times New Roman" w:cs="Times New Roman"/>
    </w:rPr>
  </w:style>
  <w:style w:type="character" w:styleId="PageNumber">
    <w:name w:val="page number"/>
    <w:basedOn w:val="DefaultParagraphFont"/>
    <w:uiPriority w:val="99"/>
    <w:semiHidden/>
    <w:unhideWhenUsed/>
    <w:rsid w:val="00C63294"/>
  </w:style>
  <w:style w:type="paragraph" w:styleId="ListParagraph">
    <w:name w:val="List Paragraph"/>
    <w:basedOn w:val="Normal"/>
    <w:uiPriority w:val="34"/>
    <w:qFormat/>
    <w:rsid w:val="00936F61"/>
    <w:pPr>
      <w:ind w:left="720"/>
      <w:contextualSpacing/>
    </w:pPr>
  </w:style>
  <w:style w:type="paragraph" w:styleId="BalloonText">
    <w:name w:val="Balloon Text"/>
    <w:basedOn w:val="Normal"/>
    <w:link w:val="BalloonTextChar"/>
    <w:uiPriority w:val="99"/>
    <w:semiHidden/>
    <w:unhideWhenUsed/>
    <w:rsid w:val="00756654"/>
    <w:rPr>
      <w:rFonts w:ascii="Tahoma" w:hAnsi="Tahoma" w:cs="Tahoma"/>
      <w:sz w:val="16"/>
      <w:szCs w:val="16"/>
    </w:rPr>
  </w:style>
  <w:style w:type="character" w:customStyle="1" w:styleId="BalloonTextChar">
    <w:name w:val="Balloon Text Char"/>
    <w:basedOn w:val="DefaultParagraphFont"/>
    <w:link w:val="BalloonText"/>
    <w:uiPriority w:val="99"/>
    <w:semiHidden/>
    <w:rsid w:val="0075665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309505">
      <w:bodyDiv w:val="1"/>
      <w:marLeft w:val="0"/>
      <w:marRight w:val="0"/>
      <w:marTop w:val="0"/>
      <w:marBottom w:val="0"/>
      <w:divBdr>
        <w:top w:val="none" w:sz="0" w:space="0" w:color="auto"/>
        <w:left w:val="none" w:sz="0" w:space="0" w:color="auto"/>
        <w:bottom w:val="none" w:sz="0" w:space="0" w:color="auto"/>
        <w:right w:val="none" w:sz="0" w:space="0" w:color="auto"/>
      </w:divBdr>
    </w:div>
    <w:div w:id="436217703">
      <w:bodyDiv w:val="1"/>
      <w:marLeft w:val="0"/>
      <w:marRight w:val="0"/>
      <w:marTop w:val="0"/>
      <w:marBottom w:val="0"/>
      <w:divBdr>
        <w:top w:val="none" w:sz="0" w:space="0" w:color="auto"/>
        <w:left w:val="none" w:sz="0" w:space="0" w:color="auto"/>
        <w:bottom w:val="none" w:sz="0" w:space="0" w:color="auto"/>
        <w:right w:val="none" w:sz="0" w:space="0" w:color="auto"/>
      </w:divBdr>
    </w:div>
    <w:div w:id="596015921">
      <w:bodyDiv w:val="1"/>
      <w:marLeft w:val="0"/>
      <w:marRight w:val="0"/>
      <w:marTop w:val="0"/>
      <w:marBottom w:val="0"/>
      <w:divBdr>
        <w:top w:val="none" w:sz="0" w:space="0" w:color="auto"/>
        <w:left w:val="none" w:sz="0" w:space="0" w:color="auto"/>
        <w:bottom w:val="none" w:sz="0" w:space="0" w:color="auto"/>
        <w:right w:val="none" w:sz="0" w:space="0" w:color="auto"/>
      </w:divBdr>
    </w:div>
    <w:div w:id="835731617">
      <w:bodyDiv w:val="1"/>
      <w:marLeft w:val="0"/>
      <w:marRight w:val="0"/>
      <w:marTop w:val="0"/>
      <w:marBottom w:val="0"/>
      <w:divBdr>
        <w:top w:val="none" w:sz="0" w:space="0" w:color="auto"/>
        <w:left w:val="none" w:sz="0" w:space="0" w:color="auto"/>
        <w:bottom w:val="none" w:sz="0" w:space="0" w:color="auto"/>
        <w:right w:val="none" w:sz="0" w:space="0" w:color="auto"/>
      </w:divBdr>
    </w:div>
    <w:div w:id="932208758">
      <w:bodyDiv w:val="1"/>
      <w:marLeft w:val="0"/>
      <w:marRight w:val="0"/>
      <w:marTop w:val="0"/>
      <w:marBottom w:val="0"/>
      <w:divBdr>
        <w:top w:val="none" w:sz="0" w:space="0" w:color="auto"/>
        <w:left w:val="none" w:sz="0" w:space="0" w:color="auto"/>
        <w:bottom w:val="none" w:sz="0" w:space="0" w:color="auto"/>
        <w:right w:val="none" w:sz="0" w:space="0" w:color="auto"/>
      </w:divBdr>
    </w:div>
    <w:div w:id="1086264318">
      <w:bodyDiv w:val="1"/>
      <w:marLeft w:val="0"/>
      <w:marRight w:val="0"/>
      <w:marTop w:val="0"/>
      <w:marBottom w:val="0"/>
      <w:divBdr>
        <w:top w:val="none" w:sz="0" w:space="0" w:color="auto"/>
        <w:left w:val="none" w:sz="0" w:space="0" w:color="auto"/>
        <w:bottom w:val="none" w:sz="0" w:space="0" w:color="auto"/>
        <w:right w:val="none" w:sz="0" w:space="0" w:color="auto"/>
      </w:divBdr>
    </w:div>
    <w:div w:id="1172450576">
      <w:bodyDiv w:val="1"/>
      <w:marLeft w:val="0"/>
      <w:marRight w:val="0"/>
      <w:marTop w:val="0"/>
      <w:marBottom w:val="0"/>
      <w:divBdr>
        <w:top w:val="none" w:sz="0" w:space="0" w:color="auto"/>
        <w:left w:val="none" w:sz="0" w:space="0" w:color="auto"/>
        <w:bottom w:val="none" w:sz="0" w:space="0" w:color="auto"/>
        <w:right w:val="none" w:sz="0" w:space="0" w:color="auto"/>
      </w:divBdr>
    </w:div>
    <w:div w:id="1184785488">
      <w:bodyDiv w:val="1"/>
      <w:marLeft w:val="0"/>
      <w:marRight w:val="0"/>
      <w:marTop w:val="0"/>
      <w:marBottom w:val="0"/>
      <w:divBdr>
        <w:top w:val="none" w:sz="0" w:space="0" w:color="auto"/>
        <w:left w:val="none" w:sz="0" w:space="0" w:color="auto"/>
        <w:bottom w:val="none" w:sz="0" w:space="0" w:color="auto"/>
        <w:right w:val="none" w:sz="0" w:space="0" w:color="auto"/>
      </w:divBdr>
    </w:div>
    <w:div w:id="1330253068">
      <w:bodyDiv w:val="1"/>
      <w:marLeft w:val="0"/>
      <w:marRight w:val="0"/>
      <w:marTop w:val="0"/>
      <w:marBottom w:val="0"/>
      <w:divBdr>
        <w:top w:val="none" w:sz="0" w:space="0" w:color="auto"/>
        <w:left w:val="none" w:sz="0" w:space="0" w:color="auto"/>
        <w:bottom w:val="none" w:sz="0" w:space="0" w:color="auto"/>
        <w:right w:val="none" w:sz="0" w:space="0" w:color="auto"/>
      </w:divBdr>
    </w:div>
    <w:div w:id="1585264074">
      <w:bodyDiv w:val="1"/>
      <w:marLeft w:val="0"/>
      <w:marRight w:val="0"/>
      <w:marTop w:val="0"/>
      <w:marBottom w:val="0"/>
      <w:divBdr>
        <w:top w:val="none" w:sz="0" w:space="0" w:color="auto"/>
        <w:left w:val="none" w:sz="0" w:space="0" w:color="auto"/>
        <w:bottom w:val="none" w:sz="0" w:space="0" w:color="auto"/>
        <w:right w:val="none" w:sz="0" w:space="0" w:color="auto"/>
      </w:divBdr>
    </w:div>
    <w:div w:id="210360376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png"/><Relationship Id="rId20" Type="http://schemas.openxmlformats.org/officeDocument/2006/relationships/header" Target="header1.xml"/><Relationship Id="rId21" Type="http://schemas.openxmlformats.org/officeDocument/2006/relationships/fontTable" Target="fontTable.xml"/><Relationship Id="rId22" Type="http://schemas.openxmlformats.org/officeDocument/2006/relationships/theme" Target="theme/theme1.xml"/><Relationship Id="rId10" Type="http://schemas.openxmlformats.org/officeDocument/2006/relationships/image" Target="media/image2.png"/><Relationship Id="rId11" Type="http://schemas.openxmlformats.org/officeDocument/2006/relationships/hyperlink" Target="https://www.icann.org/en/system/files/correspondence/forbes-delbene-to-chehade-crocker-19jun15-en.pdf" TargetMode="External"/><Relationship Id="rId12" Type="http://schemas.openxmlformats.org/officeDocument/2006/relationships/hyperlink" Target="http://forum.icann.org/lists/draft-mop-2007/msg00011.html" TargetMode="External"/><Relationship Id="rId13" Type="http://schemas.openxmlformats.org/officeDocument/2006/relationships/hyperlink" Target="http://newgtlds.icann.org/en/applicants/auctions/proceeds" TargetMode="External"/><Relationship Id="rId14" Type="http://schemas.openxmlformats.org/officeDocument/2006/relationships/hyperlink" Target="https://www.icann.org/resources/accountability" TargetMode="External"/><Relationship Id="rId15" Type="http://schemas.openxmlformats.org/officeDocument/2006/relationships/hyperlink" Target="https://www.icann.org/en/system/files/files/acct-trans-frameworks-principles-10jan08-en.pdf" TargetMode="External"/><Relationship Id="rId16" Type="http://schemas.openxmlformats.org/officeDocument/2006/relationships/hyperlink" Target="https://www.icann.org/en/system/files/correspondence/shatan-to-atallah-27mar15-en.pdf" TargetMode="External"/><Relationship Id="rId17" Type="http://schemas.openxmlformats.org/officeDocument/2006/relationships/hyperlink" Target="http://www.ntia.doc.gov/press-release/2014/ntia-announces-intent-transition-key-internet-domain-name-functions" TargetMode="External"/><Relationship Id="rId18" Type="http://schemas.openxmlformats.org/officeDocument/2006/relationships/hyperlink" Target="http://www.ntia.doc.gov/federal-register-notice/1998/statement-policy-management-internet-names-and-addresses" TargetMode="External"/><Relationship Id="rId19" Type="http://schemas.openxmlformats.org/officeDocument/2006/relationships/hyperlink" Target="https://www.icann.org/news/announcement-2015-01-23-en"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www.icann.org/resources/pages/governance/transparency-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87CB56-FDDA-2648-8991-5B583A6FDC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25</Pages>
  <Words>6280</Words>
  <Characters>35801</Characters>
  <Application>Microsoft Macintosh Word</Application>
  <DocSecurity>0</DocSecurity>
  <Lines>298</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2015-12-09T23:14:00Z</cp:lastPrinted>
  <dcterms:created xsi:type="dcterms:W3CDTF">2016-02-25T23:49:00Z</dcterms:created>
  <dcterms:modified xsi:type="dcterms:W3CDTF">2016-02-25T23:49:00Z</dcterms:modified>
</cp:coreProperties>
</file>