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B0E" w:rsidRDefault="003479B8">
      <w:pPr>
        <w:pStyle w:val="NormalWeb"/>
        <w:spacing w:before="0" w:after="0" w:line="276" w:lineRule="auto"/>
        <w:jc w:val="center"/>
        <w:rPr>
          <w:rFonts w:ascii="Trebuchet MS" w:hAnsi="Trebuchet MS" w:cs="Calibri"/>
          <w:b/>
          <w:bCs/>
          <w:sz w:val="32"/>
          <w:szCs w:val="32"/>
          <w:lang w:val="en-US"/>
        </w:rPr>
      </w:pPr>
      <w:bookmarkStart w:id="0" w:name="_GoBack"/>
      <w:bookmarkEnd w:id="0"/>
      <w:r>
        <w:rPr>
          <w:rFonts w:ascii="Trebuchet MS" w:hAnsi="Trebuchet MS" w:cs="Calibri"/>
          <w:b/>
          <w:bCs/>
          <w:sz w:val="32"/>
          <w:szCs w:val="32"/>
          <w:lang w:val="en-US"/>
        </w:rPr>
        <w:t>AFRALO / AfrICANN joint meeting</w:t>
      </w:r>
    </w:p>
    <w:p w:rsidR="00BD0B0E" w:rsidRDefault="003479B8">
      <w:pPr>
        <w:pStyle w:val="NormalWeb"/>
        <w:spacing w:before="0" w:after="0" w:line="276" w:lineRule="auto"/>
        <w:jc w:val="center"/>
        <w:rPr>
          <w:rFonts w:ascii="Trebuchet MS" w:hAnsi="Trebuchet MS" w:cs="Calibri"/>
          <w:b/>
          <w:bCs/>
          <w:sz w:val="32"/>
          <w:szCs w:val="32"/>
          <w:lang w:val="en-US"/>
        </w:rPr>
      </w:pPr>
      <w:r>
        <w:rPr>
          <w:rFonts w:ascii="Trebuchet MS" w:hAnsi="Trebuchet MS" w:cs="Calibri"/>
          <w:b/>
          <w:bCs/>
          <w:sz w:val="32"/>
          <w:szCs w:val="32"/>
          <w:lang w:val="en-US"/>
        </w:rPr>
        <w:t xml:space="preserve">Dublin, Wednesday 21 October 2015 </w:t>
      </w:r>
    </w:p>
    <w:p w:rsidR="00BD0B0E" w:rsidRDefault="003479B8">
      <w:pPr>
        <w:pStyle w:val="NormalWeb"/>
        <w:spacing w:before="0" w:after="0" w:line="276" w:lineRule="auto"/>
        <w:jc w:val="center"/>
        <w:rPr>
          <w:rFonts w:ascii="Trebuchet MS" w:hAnsi="Trebuchet MS" w:cs="Calibri"/>
          <w:b/>
          <w:bCs/>
          <w:sz w:val="22"/>
          <w:szCs w:val="22"/>
          <w:lang w:val="en-US"/>
        </w:rPr>
      </w:pPr>
      <w:r>
        <w:rPr>
          <w:rFonts w:ascii="Trebuchet MS" w:hAnsi="Trebuchet MS" w:cs="Calibri"/>
          <w:b/>
          <w:bCs/>
          <w:sz w:val="22"/>
          <w:szCs w:val="22"/>
          <w:lang w:val="en-US"/>
        </w:rPr>
        <w:t>-------------------------------------</w:t>
      </w:r>
    </w:p>
    <w:p w:rsidR="00BD0B0E" w:rsidRDefault="003479B8">
      <w:pPr>
        <w:pStyle w:val="NormalWeb"/>
        <w:spacing w:before="0" w:after="0" w:line="276" w:lineRule="auto"/>
        <w:jc w:val="center"/>
        <w:rPr>
          <w:rFonts w:ascii="Trebuchet MS" w:hAnsi="Trebuchet MS" w:cs="Calibri"/>
          <w:b/>
          <w:bCs/>
          <w:sz w:val="32"/>
          <w:szCs w:val="32"/>
          <w:lang w:val="en-US"/>
        </w:rPr>
      </w:pPr>
      <w:r>
        <w:rPr>
          <w:rFonts w:ascii="Trebuchet MS" w:hAnsi="Trebuchet MS" w:cs="Calibri"/>
          <w:b/>
          <w:bCs/>
          <w:sz w:val="32"/>
          <w:szCs w:val="32"/>
          <w:lang w:val="en-US"/>
        </w:rPr>
        <w:t>Statement</w:t>
      </w:r>
    </w:p>
    <w:p w:rsidR="00BD0B0E" w:rsidRDefault="003479B8">
      <w:pPr>
        <w:pStyle w:val="NormalWeb"/>
        <w:spacing w:before="0" w:after="0" w:line="276" w:lineRule="auto"/>
        <w:jc w:val="center"/>
        <w:rPr>
          <w:rFonts w:ascii="Trebuchet MS" w:hAnsi="Trebuchet MS" w:cs="Calibri"/>
          <w:b/>
          <w:bCs/>
          <w:sz w:val="22"/>
          <w:szCs w:val="22"/>
          <w:lang w:val="en-US"/>
        </w:rPr>
      </w:pPr>
      <w:r>
        <w:rPr>
          <w:rFonts w:ascii="Trebuchet MS" w:hAnsi="Trebuchet MS" w:cs="Calibri"/>
          <w:b/>
          <w:bCs/>
          <w:sz w:val="22"/>
          <w:szCs w:val="22"/>
          <w:lang w:val="en-US"/>
        </w:rPr>
        <w:t>--------------</w:t>
      </w:r>
    </w:p>
    <w:p w:rsidR="00BD0B0E" w:rsidRDefault="00BD0B0E"/>
    <w:p w:rsidR="00BD0B0E" w:rsidRDefault="003479B8">
      <w:pPr>
        <w:spacing w:after="0" w:line="288" w:lineRule="auto"/>
        <w:jc w:val="both"/>
        <w:rPr>
          <w:rFonts w:ascii="Trebuchet MS" w:hAnsi="Trebuchet MS"/>
          <w:sz w:val="24"/>
          <w:szCs w:val="24"/>
        </w:rPr>
      </w:pPr>
      <w:r>
        <w:rPr>
          <w:rFonts w:ascii="Trebuchet MS" w:hAnsi="Trebuchet MS"/>
          <w:sz w:val="24"/>
          <w:szCs w:val="24"/>
        </w:rPr>
        <w:t>We, the African Internet Community participating in the ICANN 54</w:t>
      </w:r>
      <w:r>
        <w:rPr>
          <w:rFonts w:ascii="Trebuchet MS" w:hAnsi="Trebuchet MS"/>
          <w:sz w:val="24"/>
          <w:szCs w:val="24"/>
          <w:vertAlign w:val="superscript"/>
        </w:rPr>
        <w:t>th</w:t>
      </w:r>
      <w:r>
        <w:rPr>
          <w:rFonts w:ascii="Trebuchet MS" w:hAnsi="Trebuchet MS"/>
          <w:sz w:val="24"/>
          <w:szCs w:val="24"/>
        </w:rPr>
        <w:t xml:space="preserve"> public meeting and attending the joint AFRALO-AfrICANN meeting held in Dublin on Wednesday 21 October 2015, debated the IANA stewardship transition and ICANN Accountability processes. </w:t>
      </w:r>
    </w:p>
    <w:p w:rsidR="00BD0B0E" w:rsidRDefault="00BD0B0E">
      <w:pPr>
        <w:spacing w:after="0" w:line="288" w:lineRule="auto"/>
        <w:jc w:val="both"/>
        <w:rPr>
          <w:rFonts w:ascii="Trebuchet MS" w:hAnsi="Trebuchet MS"/>
          <w:sz w:val="24"/>
          <w:szCs w:val="24"/>
        </w:rPr>
      </w:pPr>
    </w:p>
    <w:p w:rsidR="00BD0B0E" w:rsidRDefault="003479B8">
      <w:pPr>
        <w:spacing w:after="0" w:line="288" w:lineRule="auto"/>
        <w:jc w:val="both"/>
        <w:rPr>
          <w:rFonts w:ascii="Trebuchet MS" w:hAnsi="Trebuchet MS"/>
          <w:sz w:val="24"/>
          <w:szCs w:val="24"/>
        </w:rPr>
      </w:pPr>
      <w:r>
        <w:rPr>
          <w:rFonts w:ascii="Trebuchet MS" w:hAnsi="Trebuchet MS"/>
          <w:sz w:val="24"/>
          <w:szCs w:val="24"/>
        </w:rPr>
        <w:t>We acknowled</w:t>
      </w:r>
      <w:r w:rsidR="00801C90">
        <w:rPr>
          <w:rFonts w:ascii="Trebuchet MS" w:hAnsi="Trebuchet MS"/>
          <w:sz w:val="24"/>
          <w:szCs w:val="24"/>
        </w:rPr>
        <w:t>ge the comments submitted by AF</w:t>
      </w:r>
      <w:r>
        <w:rPr>
          <w:rFonts w:ascii="Trebuchet MS" w:hAnsi="Trebuchet MS"/>
          <w:sz w:val="24"/>
          <w:szCs w:val="24"/>
        </w:rPr>
        <w:t>RALO last September about the proposals put for public comment by the IANA Coordination Group (ICG) and the Cross Community Working Group on Enhancing ICANN Accountability (CCWG).</w:t>
      </w:r>
    </w:p>
    <w:p w:rsidR="00BD0B0E" w:rsidRDefault="00BD0B0E">
      <w:pPr>
        <w:spacing w:after="0" w:line="288" w:lineRule="auto"/>
        <w:jc w:val="both"/>
        <w:rPr>
          <w:rFonts w:ascii="Trebuchet MS" w:hAnsi="Trebuchet MS"/>
          <w:sz w:val="24"/>
          <w:szCs w:val="24"/>
        </w:rPr>
      </w:pPr>
    </w:p>
    <w:p w:rsidR="00BD0B0E" w:rsidRDefault="003479B8">
      <w:pPr>
        <w:spacing w:after="0" w:line="288" w:lineRule="auto"/>
        <w:jc w:val="both"/>
        <w:rPr>
          <w:rFonts w:ascii="Trebuchet MS" w:hAnsi="Trebuchet MS"/>
          <w:sz w:val="24"/>
          <w:szCs w:val="24"/>
        </w:rPr>
      </w:pPr>
      <w:r>
        <w:rPr>
          <w:rFonts w:ascii="Trebuchet MS" w:hAnsi="Trebuchet MS"/>
          <w:sz w:val="24"/>
          <w:szCs w:val="24"/>
        </w:rPr>
        <w:t xml:space="preserve">We have been following the outcomes of ICG recent face to face meeting held in Los Angeles on 18-19 September 2015, and would like to congratulate the ICG on continuing its progress towards finalizing the final IANA transition proposal. We are pleased to </w:t>
      </w:r>
      <w:r w:rsidR="00801C90">
        <w:rPr>
          <w:rFonts w:ascii="Trebuchet MS" w:hAnsi="Trebuchet MS"/>
          <w:sz w:val="24"/>
          <w:szCs w:val="24"/>
        </w:rPr>
        <w:t>note</w:t>
      </w:r>
      <w:r>
        <w:rPr>
          <w:rFonts w:ascii="Trebuchet MS" w:hAnsi="Trebuchet MS"/>
          <w:sz w:val="24"/>
          <w:szCs w:val="24"/>
        </w:rPr>
        <w:t xml:space="preserve"> that the ICG has taken in</w:t>
      </w:r>
      <w:r w:rsidR="00801C90">
        <w:rPr>
          <w:rFonts w:ascii="Trebuchet MS" w:hAnsi="Trebuchet MS"/>
          <w:sz w:val="24"/>
          <w:szCs w:val="24"/>
        </w:rPr>
        <w:t>to</w:t>
      </w:r>
      <w:r>
        <w:rPr>
          <w:rFonts w:ascii="Trebuchet MS" w:hAnsi="Trebuchet MS"/>
          <w:sz w:val="24"/>
          <w:szCs w:val="24"/>
        </w:rPr>
        <w:t xml:space="preserve"> consideration most of the issues raised in the AFRALO comments on the draft final proposal. </w:t>
      </w:r>
    </w:p>
    <w:p w:rsidR="00BD0B0E" w:rsidRDefault="00BD0B0E">
      <w:pPr>
        <w:spacing w:after="0" w:line="288" w:lineRule="auto"/>
        <w:jc w:val="both"/>
        <w:rPr>
          <w:rFonts w:ascii="Trebuchet MS" w:hAnsi="Trebuchet MS"/>
          <w:sz w:val="24"/>
          <w:szCs w:val="24"/>
        </w:rPr>
      </w:pPr>
    </w:p>
    <w:p w:rsidR="00BD0B0E" w:rsidRDefault="003479B8" w:rsidP="002A33AE">
      <w:pPr>
        <w:spacing w:after="0" w:line="288" w:lineRule="auto"/>
        <w:jc w:val="both"/>
        <w:rPr>
          <w:rFonts w:ascii="Trebuchet MS" w:hAnsi="Trebuchet MS"/>
          <w:sz w:val="24"/>
          <w:szCs w:val="24"/>
        </w:rPr>
      </w:pPr>
      <w:r>
        <w:rPr>
          <w:rFonts w:ascii="Trebuchet MS" w:hAnsi="Trebuchet MS"/>
          <w:sz w:val="24"/>
          <w:szCs w:val="24"/>
        </w:rPr>
        <w:t xml:space="preserve">Nevertheless, we still have important concerns related to </w:t>
      </w:r>
      <w:r w:rsidR="002A33AE">
        <w:rPr>
          <w:rFonts w:ascii="Trebuchet MS" w:hAnsi="Trebuchet MS"/>
          <w:sz w:val="24"/>
          <w:szCs w:val="24"/>
        </w:rPr>
        <w:t>the</w:t>
      </w:r>
      <w:r>
        <w:rPr>
          <w:rFonts w:ascii="Trebuchet MS" w:hAnsi="Trebuchet MS"/>
          <w:sz w:val="24"/>
          <w:szCs w:val="24"/>
        </w:rPr>
        <w:t xml:space="preserve"> coordination </w:t>
      </w:r>
      <w:r w:rsidR="00801C90">
        <w:rPr>
          <w:rFonts w:ascii="Trebuchet MS" w:hAnsi="Trebuchet MS"/>
          <w:sz w:val="24"/>
          <w:szCs w:val="24"/>
        </w:rPr>
        <w:t>among</w:t>
      </w:r>
      <w:r>
        <w:rPr>
          <w:rFonts w:ascii="Trebuchet MS" w:hAnsi="Trebuchet MS"/>
          <w:sz w:val="24"/>
          <w:szCs w:val="24"/>
        </w:rPr>
        <w:t xml:space="preserve"> </w:t>
      </w:r>
      <w:r w:rsidR="002A33AE">
        <w:rPr>
          <w:rFonts w:ascii="Trebuchet MS" w:hAnsi="Trebuchet MS"/>
          <w:sz w:val="24"/>
          <w:szCs w:val="24"/>
        </w:rPr>
        <w:t xml:space="preserve">the </w:t>
      </w:r>
      <w:r>
        <w:rPr>
          <w:rFonts w:ascii="Trebuchet MS" w:hAnsi="Trebuchet MS"/>
          <w:sz w:val="24"/>
          <w:szCs w:val="24"/>
        </w:rPr>
        <w:t>operational communities when making critical decisions like the separation of related IANA operations from the current IANA fun</w:t>
      </w:r>
      <w:r w:rsidR="002A33AE">
        <w:rPr>
          <w:rFonts w:ascii="Trebuchet MS" w:hAnsi="Trebuchet MS"/>
          <w:sz w:val="24"/>
          <w:szCs w:val="24"/>
        </w:rPr>
        <w:t>c</w:t>
      </w:r>
      <w:r>
        <w:rPr>
          <w:rFonts w:ascii="Trebuchet MS" w:hAnsi="Trebuchet MS"/>
          <w:sz w:val="24"/>
          <w:szCs w:val="24"/>
        </w:rPr>
        <w:t xml:space="preserve">tion operator; we believe such decisions, if not well coordinated, could have major impact on the security and stability of the Internet. Though we understand that some informal relationship exist </w:t>
      </w:r>
      <w:r w:rsidR="00801C90">
        <w:rPr>
          <w:rFonts w:ascii="Trebuchet MS" w:hAnsi="Trebuchet MS"/>
          <w:sz w:val="24"/>
          <w:szCs w:val="24"/>
        </w:rPr>
        <w:t>between</w:t>
      </w:r>
      <w:r>
        <w:rPr>
          <w:rFonts w:ascii="Trebuchet MS" w:hAnsi="Trebuchet MS"/>
          <w:sz w:val="24"/>
          <w:szCs w:val="24"/>
        </w:rPr>
        <w:t xml:space="preserve"> the operational communities, we believe it will be helpful if the 3 communities formerly commit to coordinating with </w:t>
      </w:r>
      <w:r w:rsidR="002A33AE">
        <w:rPr>
          <w:rFonts w:ascii="Trebuchet MS" w:hAnsi="Trebuchet MS"/>
          <w:sz w:val="24"/>
          <w:szCs w:val="24"/>
        </w:rPr>
        <w:t>each-</w:t>
      </w:r>
      <w:r>
        <w:rPr>
          <w:rFonts w:ascii="Trebuchet MS" w:hAnsi="Trebuchet MS"/>
          <w:sz w:val="24"/>
          <w:szCs w:val="24"/>
        </w:rPr>
        <w:t xml:space="preserve">other whenever the need arises. </w:t>
      </w:r>
    </w:p>
    <w:p w:rsidR="00BD0B0E" w:rsidRDefault="00BD0B0E">
      <w:pPr>
        <w:spacing w:after="0" w:line="288" w:lineRule="auto"/>
        <w:jc w:val="both"/>
        <w:rPr>
          <w:rFonts w:ascii="Trebuchet MS" w:hAnsi="Trebuchet MS"/>
          <w:sz w:val="24"/>
          <w:szCs w:val="24"/>
        </w:rPr>
      </w:pPr>
    </w:p>
    <w:p w:rsidR="00BD0B0E" w:rsidRDefault="003479B8">
      <w:pPr>
        <w:spacing w:after="0" w:line="288" w:lineRule="auto"/>
        <w:jc w:val="both"/>
        <w:rPr>
          <w:rFonts w:ascii="Trebuchet MS" w:hAnsi="Trebuchet MS"/>
          <w:sz w:val="24"/>
          <w:szCs w:val="24"/>
        </w:rPr>
      </w:pPr>
      <w:r>
        <w:rPr>
          <w:rFonts w:ascii="Trebuchet MS" w:hAnsi="Trebuchet MS"/>
          <w:sz w:val="24"/>
          <w:szCs w:val="24"/>
        </w:rPr>
        <w:t xml:space="preserve">We would like to congratulate the CCWG for the </w:t>
      </w:r>
      <w:r w:rsidR="00801C90">
        <w:rPr>
          <w:rFonts w:ascii="Trebuchet MS" w:hAnsi="Trebuchet MS"/>
          <w:sz w:val="24"/>
          <w:szCs w:val="24"/>
        </w:rPr>
        <w:t>tremendous</w:t>
      </w:r>
      <w:r>
        <w:rPr>
          <w:rFonts w:ascii="Trebuchet MS" w:hAnsi="Trebuchet MS"/>
          <w:sz w:val="24"/>
          <w:szCs w:val="24"/>
        </w:rPr>
        <w:t xml:space="preserve"> work done so far. </w:t>
      </w:r>
      <w:r w:rsidR="00801C90">
        <w:rPr>
          <w:rFonts w:ascii="Trebuchet MS" w:hAnsi="Trebuchet MS"/>
          <w:sz w:val="24"/>
          <w:szCs w:val="24"/>
        </w:rPr>
        <w:t>However, w</w:t>
      </w:r>
      <w:r>
        <w:rPr>
          <w:rFonts w:ascii="Trebuchet MS" w:hAnsi="Trebuchet MS"/>
          <w:sz w:val="24"/>
          <w:szCs w:val="24"/>
        </w:rPr>
        <w:t xml:space="preserve">e </w:t>
      </w:r>
      <w:r w:rsidR="00801C90">
        <w:rPr>
          <w:rFonts w:ascii="Trebuchet MS" w:hAnsi="Trebuchet MS"/>
          <w:sz w:val="24"/>
          <w:szCs w:val="24"/>
        </w:rPr>
        <w:t>are worried that the completion of its work may be delayed. We sincerely hop</w:t>
      </w:r>
      <w:r w:rsidR="00B672DD">
        <w:rPr>
          <w:rFonts w:ascii="Trebuchet MS" w:hAnsi="Trebuchet MS"/>
          <w:sz w:val="24"/>
          <w:szCs w:val="24"/>
        </w:rPr>
        <w:t>e that the group manages</w:t>
      </w:r>
      <w:r w:rsidR="00801C90">
        <w:rPr>
          <w:rFonts w:ascii="Trebuchet MS" w:hAnsi="Trebuchet MS"/>
          <w:sz w:val="24"/>
          <w:szCs w:val="24"/>
        </w:rPr>
        <w:t xml:space="preserve"> to deliver its final report </w:t>
      </w:r>
      <w:r>
        <w:rPr>
          <w:rFonts w:ascii="Trebuchet MS" w:hAnsi="Trebuchet MS"/>
          <w:sz w:val="24"/>
          <w:szCs w:val="24"/>
        </w:rPr>
        <w:t>on time in accordance with the transition time-lines.</w:t>
      </w:r>
    </w:p>
    <w:p w:rsidR="00BD0B0E" w:rsidRDefault="00BD0B0E">
      <w:pPr>
        <w:spacing w:after="0" w:line="288" w:lineRule="auto"/>
        <w:jc w:val="both"/>
        <w:rPr>
          <w:rFonts w:ascii="Trebuchet MS" w:hAnsi="Trebuchet MS"/>
          <w:sz w:val="24"/>
          <w:szCs w:val="24"/>
        </w:rPr>
      </w:pPr>
    </w:p>
    <w:p w:rsidR="00BD0B0E" w:rsidRDefault="003479B8" w:rsidP="00517562">
      <w:pPr>
        <w:spacing w:after="0" w:line="288" w:lineRule="auto"/>
        <w:jc w:val="both"/>
        <w:rPr>
          <w:rFonts w:ascii="Trebuchet MS" w:hAnsi="Trebuchet MS"/>
          <w:sz w:val="24"/>
          <w:szCs w:val="24"/>
        </w:rPr>
      </w:pPr>
      <w:r>
        <w:rPr>
          <w:rFonts w:ascii="Trebuchet MS" w:hAnsi="Trebuchet MS"/>
          <w:sz w:val="24"/>
          <w:szCs w:val="24"/>
        </w:rPr>
        <w:t>Although NTIA has recently extended its contract with ICANN to 30</w:t>
      </w:r>
      <w:r>
        <w:rPr>
          <w:rFonts w:ascii="Trebuchet MS" w:hAnsi="Trebuchet MS"/>
          <w:sz w:val="24"/>
          <w:szCs w:val="24"/>
          <w:vertAlign w:val="superscript"/>
        </w:rPr>
        <w:t>th</w:t>
      </w:r>
      <w:r>
        <w:rPr>
          <w:rFonts w:ascii="Trebuchet MS" w:hAnsi="Trebuchet MS"/>
          <w:sz w:val="24"/>
          <w:szCs w:val="24"/>
        </w:rPr>
        <w:t xml:space="preserve"> of September 2016 to enable the community to finish its work on the transition plan and ICANN </w:t>
      </w:r>
      <w:r>
        <w:rPr>
          <w:rFonts w:ascii="Trebuchet MS" w:hAnsi="Trebuchet MS"/>
          <w:sz w:val="24"/>
          <w:szCs w:val="24"/>
        </w:rPr>
        <w:lastRenderedPageBreak/>
        <w:t>Accountability, we urge the CCWG and its stakeholders to work in good faith in order to finalize its recommendations without further delays</w:t>
      </w:r>
      <w:r w:rsidR="00517562">
        <w:rPr>
          <w:rFonts w:ascii="Trebuchet MS" w:hAnsi="Trebuchet MS"/>
          <w:sz w:val="24"/>
          <w:szCs w:val="24"/>
        </w:rPr>
        <w:t>.</w:t>
      </w:r>
    </w:p>
    <w:p w:rsidR="00BD0B0E" w:rsidRDefault="00BD0B0E">
      <w:pPr>
        <w:spacing w:after="0" w:line="288" w:lineRule="auto"/>
        <w:jc w:val="both"/>
        <w:rPr>
          <w:rFonts w:ascii="Trebuchet MS" w:hAnsi="Trebuchet MS"/>
          <w:sz w:val="24"/>
          <w:szCs w:val="24"/>
        </w:rPr>
      </w:pPr>
    </w:p>
    <w:p w:rsidR="00BD0B0E" w:rsidRDefault="003479B8">
      <w:pPr>
        <w:spacing w:after="0" w:line="288" w:lineRule="auto"/>
        <w:jc w:val="both"/>
        <w:rPr>
          <w:rFonts w:ascii="Trebuchet MS" w:hAnsi="Trebuchet MS"/>
          <w:sz w:val="24"/>
          <w:szCs w:val="24"/>
        </w:rPr>
      </w:pPr>
      <w:r>
        <w:rPr>
          <w:rFonts w:ascii="Trebuchet MS" w:hAnsi="Trebuchet MS"/>
          <w:sz w:val="24"/>
          <w:szCs w:val="24"/>
        </w:rPr>
        <w:t xml:space="preserve">While we welcome the ICANN Board comments on the second report of CCWG, especially those related to the budget veto, the recall of individual board Directors, and the enforceability of the proposed community powers, we believe that their proposal of exercising the community powers through the Chairs of SOs and ACs is not appropriate: we already expressed our disagreement about this issue in our statement on </w:t>
      </w:r>
      <w:r w:rsidR="00517562">
        <w:rPr>
          <w:rFonts w:ascii="Trebuchet MS" w:hAnsi="Trebuchet MS"/>
          <w:sz w:val="24"/>
          <w:szCs w:val="24"/>
        </w:rPr>
        <w:t xml:space="preserve">the </w:t>
      </w:r>
      <w:r>
        <w:rPr>
          <w:rFonts w:ascii="Trebuchet MS" w:hAnsi="Trebuchet MS"/>
          <w:sz w:val="24"/>
          <w:szCs w:val="24"/>
        </w:rPr>
        <w:t>first CCWG report.</w:t>
      </w:r>
    </w:p>
    <w:p w:rsidR="00BD0B0E" w:rsidRDefault="00BD0B0E">
      <w:pPr>
        <w:spacing w:after="0" w:line="288" w:lineRule="auto"/>
        <w:jc w:val="both"/>
        <w:rPr>
          <w:rFonts w:ascii="Trebuchet MS" w:hAnsi="Trebuchet MS"/>
          <w:sz w:val="24"/>
          <w:szCs w:val="24"/>
        </w:rPr>
      </w:pPr>
    </w:p>
    <w:p w:rsidR="00BD0B0E" w:rsidRDefault="003479B8" w:rsidP="00517562">
      <w:pPr>
        <w:spacing w:after="0" w:line="288" w:lineRule="auto"/>
        <w:jc w:val="both"/>
        <w:rPr>
          <w:rFonts w:ascii="Trebuchet MS" w:hAnsi="Trebuchet MS"/>
          <w:sz w:val="24"/>
          <w:szCs w:val="24"/>
        </w:rPr>
      </w:pPr>
      <w:r>
        <w:rPr>
          <w:rFonts w:ascii="Trebuchet MS" w:hAnsi="Trebuchet MS"/>
          <w:sz w:val="24"/>
          <w:szCs w:val="24"/>
        </w:rPr>
        <w:t xml:space="preserve">We reiterate our proposal </w:t>
      </w:r>
      <w:r w:rsidR="00B672DD">
        <w:rPr>
          <w:rFonts w:ascii="Trebuchet MS" w:hAnsi="Trebuchet MS"/>
          <w:sz w:val="24"/>
          <w:szCs w:val="24"/>
        </w:rPr>
        <w:t>for a single community power to</w:t>
      </w:r>
      <w:r>
        <w:rPr>
          <w:rFonts w:ascii="Trebuchet MS" w:hAnsi="Trebuchet MS"/>
          <w:sz w:val="24"/>
          <w:szCs w:val="24"/>
        </w:rPr>
        <w:t xml:space="preserve"> recall</w:t>
      </w:r>
      <w:r w:rsidR="00B672DD">
        <w:rPr>
          <w:rFonts w:ascii="Trebuchet MS" w:hAnsi="Trebuchet MS"/>
          <w:sz w:val="24"/>
          <w:szCs w:val="24"/>
        </w:rPr>
        <w:t xml:space="preserve"> either </w:t>
      </w:r>
      <w:r>
        <w:rPr>
          <w:rFonts w:ascii="Trebuchet MS" w:hAnsi="Trebuchet MS"/>
          <w:sz w:val="24"/>
          <w:szCs w:val="24"/>
        </w:rPr>
        <w:t xml:space="preserve">individual board members </w:t>
      </w:r>
      <w:r w:rsidR="00B672DD">
        <w:rPr>
          <w:rFonts w:ascii="Trebuchet MS" w:hAnsi="Trebuchet MS"/>
          <w:sz w:val="24"/>
          <w:szCs w:val="24"/>
        </w:rPr>
        <w:t xml:space="preserve">or the whole ICANN Board. This will permit to </w:t>
      </w:r>
      <w:r>
        <w:rPr>
          <w:rFonts w:ascii="Trebuchet MS" w:hAnsi="Trebuchet MS"/>
          <w:sz w:val="24"/>
          <w:szCs w:val="24"/>
        </w:rPr>
        <w:t xml:space="preserve">the community as a whole </w:t>
      </w:r>
      <w:r w:rsidR="00B672DD">
        <w:rPr>
          <w:rFonts w:ascii="Trebuchet MS" w:hAnsi="Trebuchet MS"/>
          <w:sz w:val="24"/>
          <w:szCs w:val="24"/>
        </w:rPr>
        <w:t>to</w:t>
      </w:r>
      <w:r w:rsidR="00517562">
        <w:rPr>
          <w:rFonts w:ascii="Trebuchet MS" w:hAnsi="Trebuchet MS"/>
          <w:sz w:val="24"/>
          <w:szCs w:val="24"/>
        </w:rPr>
        <w:t xml:space="preserve"> </w:t>
      </w:r>
      <w:r>
        <w:rPr>
          <w:rFonts w:ascii="Trebuchet MS" w:hAnsi="Trebuchet MS"/>
          <w:sz w:val="24"/>
          <w:szCs w:val="24"/>
        </w:rPr>
        <w:t xml:space="preserve">recall ICANN Board directors after giving the justification of this decision. They can recall from one to 15 Directors, means the whole directors except the CEO. </w:t>
      </w:r>
      <w:r w:rsidR="0037372F">
        <w:rPr>
          <w:rFonts w:ascii="Trebuchet MS" w:hAnsi="Trebuchet MS"/>
          <w:sz w:val="24"/>
          <w:szCs w:val="24"/>
        </w:rPr>
        <w:t>In such a way, problems such as the unequal treatment of the Board directors (SO/AC appointees and the NomCom appointees), the replacement of the recalled directors avoiding a reduced interim board</w:t>
      </w:r>
      <w:r>
        <w:rPr>
          <w:rFonts w:ascii="Trebuchet MS" w:hAnsi="Trebuchet MS"/>
          <w:sz w:val="24"/>
          <w:szCs w:val="24"/>
        </w:rPr>
        <w:t xml:space="preserve"> will solve several. It will also make it simpler to reduce the number of the proposed powers.</w:t>
      </w:r>
    </w:p>
    <w:p w:rsidR="00BD0B0E" w:rsidRDefault="00BD0B0E">
      <w:pPr>
        <w:spacing w:after="0" w:line="288" w:lineRule="auto"/>
        <w:jc w:val="both"/>
        <w:rPr>
          <w:rFonts w:ascii="Trebuchet MS" w:hAnsi="Trebuchet MS"/>
          <w:sz w:val="24"/>
          <w:szCs w:val="24"/>
        </w:rPr>
      </w:pPr>
    </w:p>
    <w:p w:rsidR="00BD0B0E" w:rsidRDefault="003479B8">
      <w:pPr>
        <w:spacing w:after="0" w:line="288" w:lineRule="auto"/>
        <w:jc w:val="both"/>
        <w:rPr>
          <w:rFonts w:ascii="Trebuchet MS" w:hAnsi="Trebuchet MS"/>
          <w:sz w:val="24"/>
          <w:szCs w:val="24"/>
        </w:rPr>
      </w:pPr>
      <w:r>
        <w:rPr>
          <w:rFonts w:ascii="Trebuchet MS" w:hAnsi="Trebuchet MS"/>
          <w:sz w:val="24"/>
          <w:szCs w:val="24"/>
        </w:rPr>
        <w:t xml:space="preserve">Besides, spilling the whole board is not really reasonable since at any time, there are on the board directors who we just appointed, others in the middle of their term, and some about to leave. Recalling those we just appointed is a non sense. </w:t>
      </w:r>
      <w:r w:rsidR="0037372F">
        <w:rPr>
          <w:rFonts w:ascii="Trebuchet MS" w:hAnsi="Trebuchet MS"/>
          <w:sz w:val="24"/>
          <w:szCs w:val="24"/>
        </w:rPr>
        <w:t>Even if we believe that this kind of power, if exercised, will mean the failure of the Multi-Stakeholder model,</w:t>
      </w:r>
      <w:r>
        <w:rPr>
          <w:rFonts w:ascii="Trebuchet MS" w:hAnsi="Trebuchet MS"/>
          <w:sz w:val="24"/>
          <w:szCs w:val="24"/>
        </w:rPr>
        <w:t xml:space="preserve"> we will support it </w:t>
      </w:r>
      <w:r w:rsidR="0037372F">
        <w:rPr>
          <w:rFonts w:ascii="Trebuchet MS" w:hAnsi="Trebuchet MS"/>
          <w:sz w:val="24"/>
          <w:szCs w:val="24"/>
        </w:rPr>
        <w:t>in case it</w:t>
      </w:r>
      <w:r>
        <w:rPr>
          <w:rFonts w:ascii="Trebuchet MS" w:hAnsi="Trebuchet MS"/>
          <w:sz w:val="24"/>
          <w:szCs w:val="24"/>
        </w:rPr>
        <w:t xml:space="preserve"> becomes ultimately required.  </w:t>
      </w:r>
    </w:p>
    <w:p w:rsidR="00BD0B0E" w:rsidRDefault="003479B8">
      <w:pPr>
        <w:spacing w:after="0" w:line="288" w:lineRule="auto"/>
        <w:jc w:val="both"/>
        <w:rPr>
          <w:rFonts w:ascii="Trebuchet MS" w:hAnsi="Trebuchet MS"/>
          <w:sz w:val="24"/>
          <w:szCs w:val="24"/>
        </w:rPr>
      </w:pPr>
      <w:r>
        <w:rPr>
          <w:rFonts w:ascii="Trebuchet MS" w:hAnsi="Trebuchet MS"/>
          <w:sz w:val="24"/>
          <w:szCs w:val="24"/>
        </w:rPr>
        <w:t xml:space="preserve">   </w:t>
      </w:r>
    </w:p>
    <w:p w:rsidR="00BD0B0E" w:rsidRDefault="003479B8">
      <w:pPr>
        <w:spacing w:after="0" w:line="288" w:lineRule="auto"/>
        <w:jc w:val="both"/>
        <w:rPr>
          <w:rFonts w:ascii="Trebuchet MS" w:hAnsi="Trebuchet MS"/>
          <w:sz w:val="24"/>
          <w:szCs w:val="24"/>
        </w:rPr>
      </w:pPr>
      <w:r>
        <w:rPr>
          <w:rFonts w:ascii="Trebuchet MS" w:hAnsi="Trebuchet MS"/>
          <w:sz w:val="24"/>
          <w:szCs w:val="24"/>
        </w:rPr>
        <w:t>We would like to stress the importance of the IANA stewardship transition process and the ICANN accountability mechanisms to the African Internet community as a safe guard for the future of the Internet growth and development in our continent which is currently experiencing the highest Internet access rates in the world.</w:t>
      </w:r>
    </w:p>
    <w:sectPr w:rsidR="00BD0B0E" w:rsidSect="00BD0B0E">
      <w:pgSz w:w="12240" w:h="15840"/>
      <w:pgMar w:top="1440" w:right="1440" w:bottom="1440" w:left="1440" w:header="0" w:footer="0" w:gutter="0"/>
      <w:cols w:space="720"/>
      <w:formProt w:val="0"/>
      <w:docGrid w:linePitch="24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1"/>
    <w:family w:val="swiss"/>
    <w:pitch w:val="variable"/>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20"/>
  <w:hyphenationZone w:val="425"/>
  <w:characterSpacingControl w:val="doNotCompress"/>
  <w:compat/>
  <w:rsids>
    <w:rsidRoot w:val="00BD0B0E"/>
    <w:rsid w:val="00093366"/>
    <w:rsid w:val="0022062B"/>
    <w:rsid w:val="002A33AE"/>
    <w:rsid w:val="003479B8"/>
    <w:rsid w:val="0037372F"/>
    <w:rsid w:val="003A667B"/>
    <w:rsid w:val="0051148B"/>
    <w:rsid w:val="00517562"/>
    <w:rsid w:val="00801C90"/>
    <w:rsid w:val="00910A54"/>
    <w:rsid w:val="00AE3A97"/>
    <w:rsid w:val="00B672DD"/>
    <w:rsid w:val="00BD0B0E"/>
    <w:rsid w:val="00BE2B5B"/>
    <w:rsid w:val="00CD10CC"/>
    <w:rsid w:val="00D070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Calibri"/>
        <w:sz w:val="22"/>
        <w:szCs w:val="22"/>
        <w:lang w:val="en-US" w:eastAsia="en-US" w:bidi="ar-SA"/>
      </w:rPr>
    </w:rPrDefault>
    <w:pPrDefault>
      <w:pPr>
        <w:spacing w:line="25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06C35"/>
    <w:pPr>
      <w:suppressAutoHyphens/>
      <w:spacing w:after="200" w:line="240" w:lineRule="auto"/>
    </w:pPr>
    <w:rPr>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750025"/>
    <w:rPr>
      <w:sz w:val="16"/>
      <w:szCs w:val="16"/>
    </w:rPr>
  </w:style>
  <w:style w:type="character" w:customStyle="1" w:styleId="CommentaireCar">
    <w:name w:val="Commentaire Car"/>
    <w:basedOn w:val="Policepardfaut"/>
    <w:link w:val="Commentaire"/>
    <w:uiPriority w:val="99"/>
    <w:semiHidden/>
    <w:rsid w:val="00750025"/>
    <w:rPr>
      <w:sz w:val="20"/>
      <w:szCs w:val="20"/>
    </w:rPr>
  </w:style>
  <w:style w:type="character" w:customStyle="1" w:styleId="ObjetducommentaireCar">
    <w:name w:val="Objet du commentaire Car"/>
    <w:basedOn w:val="CommentaireCar"/>
    <w:link w:val="Objetducommentaire"/>
    <w:uiPriority w:val="99"/>
    <w:semiHidden/>
    <w:rsid w:val="00750025"/>
    <w:rPr>
      <w:b/>
      <w:bCs/>
      <w:sz w:val="20"/>
      <w:szCs w:val="20"/>
    </w:rPr>
  </w:style>
  <w:style w:type="character" w:customStyle="1" w:styleId="TextedebullesCar">
    <w:name w:val="Texte de bulles Car"/>
    <w:basedOn w:val="Policepardfaut"/>
    <w:link w:val="Textedebulles"/>
    <w:uiPriority w:val="99"/>
    <w:semiHidden/>
    <w:rsid w:val="00750025"/>
    <w:rPr>
      <w:rFonts w:ascii="Segoe UI" w:hAnsi="Segoe UI" w:cs="Segoe UI"/>
      <w:sz w:val="18"/>
      <w:szCs w:val="18"/>
    </w:rPr>
  </w:style>
  <w:style w:type="paragraph" w:customStyle="1" w:styleId="Heading">
    <w:name w:val="Heading"/>
    <w:basedOn w:val="Normal"/>
    <w:next w:val="TextBody"/>
    <w:rsid w:val="00BD0B0E"/>
    <w:pPr>
      <w:keepNext/>
      <w:spacing w:before="240" w:after="120"/>
    </w:pPr>
    <w:rPr>
      <w:rFonts w:ascii="Liberation Sans" w:hAnsi="Liberation Sans" w:cs="FreeSans"/>
      <w:sz w:val="28"/>
      <w:szCs w:val="28"/>
    </w:rPr>
  </w:style>
  <w:style w:type="paragraph" w:customStyle="1" w:styleId="TextBody">
    <w:name w:val="Text Body"/>
    <w:basedOn w:val="Normal"/>
    <w:rsid w:val="00BD0B0E"/>
    <w:pPr>
      <w:spacing w:after="140" w:line="288" w:lineRule="auto"/>
    </w:pPr>
  </w:style>
  <w:style w:type="paragraph" w:styleId="Liste">
    <w:name w:val="List"/>
    <w:basedOn w:val="TextBody"/>
    <w:rsid w:val="00BD0B0E"/>
    <w:rPr>
      <w:rFonts w:cs="FreeSans"/>
    </w:rPr>
  </w:style>
  <w:style w:type="paragraph" w:customStyle="1" w:styleId="Caption">
    <w:name w:val="Caption"/>
    <w:basedOn w:val="Normal"/>
    <w:rsid w:val="00BD0B0E"/>
    <w:pPr>
      <w:suppressLineNumbers/>
      <w:spacing w:before="120" w:after="120"/>
    </w:pPr>
    <w:rPr>
      <w:rFonts w:cs="FreeSans"/>
      <w:i/>
      <w:iCs/>
      <w:sz w:val="24"/>
      <w:szCs w:val="24"/>
    </w:rPr>
  </w:style>
  <w:style w:type="paragraph" w:customStyle="1" w:styleId="Index">
    <w:name w:val="Index"/>
    <w:basedOn w:val="Normal"/>
    <w:rsid w:val="00BD0B0E"/>
    <w:pPr>
      <w:suppressLineNumbers/>
    </w:pPr>
    <w:rPr>
      <w:rFonts w:cs="FreeSans"/>
    </w:rPr>
  </w:style>
  <w:style w:type="paragraph" w:customStyle="1" w:styleId="Publishwithline">
    <w:name w:val="Publish with line"/>
    <w:semiHidden/>
    <w:qFormat/>
    <w:rsid w:val="00406C35"/>
    <w:pPr>
      <w:suppressAutoHyphens/>
      <w:spacing w:line="240" w:lineRule="auto"/>
    </w:pPr>
    <w:rPr>
      <w:rFonts w:ascii="Calibri Light" w:hAnsi="Calibri Light"/>
      <w:b/>
      <w:bCs/>
      <w:color w:val="262626"/>
      <w:sz w:val="32"/>
      <w:szCs w:val="38"/>
    </w:rPr>
  </w:style>
  <w:style w:type="paragraph" w:customStyle="1" w:styleId="PadderBetweenControlandBody">
    <w:name w:val="Padder Between Control and Body"/>
    <w:basedOn w:val="Normal"/>
    <w:next w:val="Normal"/>
    <w:semiHidden/>
    <w:rsid w:val="00406C35"/>
    <w:pPr>
      <w:spacing w:after="120"/>
    </w:pPr>
    <w:rPr>
      <w:sz w:val="2"/>
      <w:szCs w:val="2"/>
    </w:rPr>
  </w:style>
  <w:style w:type="paragraph" w:customStyle="1" w:styleId="underline">
    <w:name w:val="underline"/>
    <w:semiHidden/>
    <w:rsid w:val="00406C35"/>
    <w:pPr>
      <w:pBdr>
        <w:top w:val="nil"/>
        <w:left w:val="nil"/>
        <w:bottom w:val="single" w:sz="8" w:space="2" w:color="C6C6C6"/>
        <w:right w:val="nil"/>
      </w:pBdr>
      <w:suppressAutoHyphens/>
      <w:spacing w:line="240" w:lineRule="auto"/>
    </w:pPr>
    <w:rPr>
      <w:sz w:val="2"/>
      <w:szCs w:val="2"/>
    </w:rPr>
  </w:style>
  <w:style w:type="paragraph" w:styleId="Commentaire">
    <w:name w:val="annotation text"/>
    <w:basedOn w:val="Normal"/>
    <w:link w:val="CommentaireCar"/>
    <w:uiPriority w:val="99"/>
    <w:semiHidden/>
    <w:unhideWhenUsed/>
    <w:rsid w:val="00750025"/>
    <w:rPr>
      <w:sz w:val="20"/>
    </w:rPr>
  </w:style>
  <w:style w:type="paragraph" w:styleId="Objetducommentaire">
    <w:name w:val="annotation subject"/>
    <w:basedOn w:val="Commentaire"/>
    <w:link w:val="ObjetducommentaireCar"/>
    <w:uiPriority w:val="99"/>
    <w:semiHidden/>
    <w:unhideWhenUsed/>
    <w:rsid w:val="00750025"/>
    <w:rPr>
      <w:b/>
      <w:bCs/>
    </w:rPr>
  </w:style>
  <w:style w:type="paragraph" w:styleId="Textedebulles">
    <w:name w:val="Balloon Text"/>
    <w:basedOn w:val="Normal"/>
    <w:link w:val="TextedebullesCar"/>
    <w:uiPriority w:val="99"/>
    <w:semiHidden/>
    <w:unhideWhenUsed/>
    <w:rsid w:val="00750025"/>
    <w:pPr>
      <w:spacing w:after="0"/>
    </w:pPr>
    <w:rPr>
      <w:rFonts w:ascii="Segoe UI" w:hAnsi="Segoe UI" w:cs="Segoe UI"/>
      <w:sz w:val="18"/>
      <w:szCs w:val="18"/>
    </w:rPr>
  </w:style>
  <w:style w:type="paragraph" w:styleId="NormalWeb">
    <w:name w:val="Normal (Web)"/>
    <w:basedOn w:val="Normal"/>
    <w:rsid w:val="00CA00BC"/>
    <w:pPr>
      <w:tabs>
        <w:tab w:val="left" w:pos="708"/>
      </w:tabs>
      <w:spacing w:before="280" w:after="280" w:line="100" w:lineRule="atLeast"/>
    </w:pPr>
    <w:rPr>
      <w:rFonts w:ascii="Times New Roman" w:eastAsia="Calibri" w:hAnsi="Times New Roman" w:cs="Times New Roman"/>
      <w:sz w:val="24"/>
      <w:szCs w:val="24"/>
      <w:lang w:val="fr-FR"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3339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El-Bashir</dc:creator>
  <cp:lastModifiedBy>Hilali</cp:lastModifiedBy>
  <cp:revision>2</cp:revision>
  <dcterms:created xsi:type="dcterms:W3CDTF">2015-10-20T09:44:00Z</dcterms:created>
  <dcterms:modified xsi:type="dcterms:W3CDTF">2015-10-20T09:44:00Z</dcterms:modified>
  <dc:language>en-GB</dc:language>
</cp:coreProperties>
</file>