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09ADC" w14:textId="77777777" w:rsidR="002355AE" w:rsidRPr="002355AE" w:rsidRDefault="002355AE" w:rsidP="002355AE">
      <w:pPr>
        <w:jc w:val="center"/>
        <w:rPr>
          <w:rFonts w:asciiTheme="minorHAnsi" w:eastAsia="Verdana" w:hAnsiTheme="minorHAnsi" w:cs="Verdana"/>
          <w:b/>
          <w:sz w:val="32"/>
          <w:szCs w:val="32"/>
        </w:rPr>
      </w:pPr>
      <w:r w:rsidRPr="002355AE">
        <w:rPr>
          <w:rFonts w:asciiTheme="minorHAnsi" w:eastAsia="Verdana" w:hAnsiTheme="minorHAnsi" w:cs="Verdana"/>
          <w:b/>
          <w:sz w:val="32"/>
          <w:szCs w:val="32"/>
        </w:rPr>
        <w:t xml:space="preserve">AFRALO / </w:t>
      </w:r>
      <w:proofErr w:type="spellStart"/>
      <w:r w:rsidRPr="002355AE">
        <w:rPr>
          <w:rFonts w:asciiTheme="minorHAnsi" w:eastAsia="Verdana" w:hAnsiTheme="minorHAnsi" w:cs="Verdana"/>
          <w:b/>
          <w:sz w:val="32"/>
          <w:szCs w:val="32"/>
        </w:rPr>
        <w:t>AfrICANN</w:t>
      </w:r>
      <w:proofErr w:type="spellEnd"/>
      <w:r w:rsidRPr="002355AE">
        <w:rPr>
          <w:rFonts w:asciiTheme="minorHAnsi" w:eastAsia="Verdana" w:hAnsiTheme="minorHAnsi" w:cs="Verdana"/>
          <w:b/>
          <w:sz w:val="32"/>
          <w:szCs w:val="32"/>
        </w:rPr>
        <w:t xml:space="preserve"> joint meeting</w:t>
      </w:r>
    </w:p>
    <w:p w14:paraId="38E1D179" w14:textId="77777777" w:rsidR="002355AE" w:rsidRPr="002355AE" w:rsidRDefault="002355AE" w:rsidP="002355AE">
      <w:pPr>
        <w:jc w:val="center"/>
        <w:rPr>
          <w:rFonts w:asciiTheme="majorHAnsi" w:eastAsia="Verdana" w:hAnsiTheme="majorHAnsi" w:cs="Verdana"/>
          <w:sz w:val="28"/>
          <w:szCs w:val="28"/>
        </w:rPr>
      </w:pPr>
      <w:r w:rsidRPr="002355AE">
        <w:rPr>
          <w:rFonts w:asciiTheme="majorHAnsi" w:eastAsia="Verdana" w:hAnsiTheme="majorHAnsi" w:cs="Verdana"/>
          <w:sz w:val="28"/>
          <w:szCs w:val="28"/>
        </w:rPr>
        <w:t>Barcelona, Monday 22 November 2018</w:t>
      </w:r>
    </w:p>
    <w:p w14:paraId="4A2DE9FF" w14:textId="77777777" w:rsidR="002355AE" w:rsidRPr="002355AE" w:rsidRDefault="002355AE" w:rsidP="002355AE">
      <w:pPr>
        <w:jc w:val="center"/>
        <w:rPr>
          <w:rFonts w:asciiTheme="majorHAnsi" w:eastAsia="Verdana" w:hAnsiTheme="majorHAnsi" w:cs="Verdana"/>
          <w:b/>
          <w:sz w:val="20"/>
          <w:szCs w:val="20"/>
        </w:rPr>
      </w:pPr>
      <w:r w:rsidRPr="002355AE">
        <w:rPr>
          <w:rFonts w:asciiTheme="majorHAnsi" w:eastAsia="Verdana" w:hAnsiTheme="majorHAnsi" w:cs="Verdana"/>
          <w:b/>
          <w:sz w:val="20"/>
          <w:szCs w:val="20"/>
        </w:rPr>
        <w:t>-----------------------------------------</w:t>
      </w:r>
    </w:p>
    <w:p w14:paraId="5E76A9B6" w14:textId="77777777" w:rsidR="002355AE" w:rsidRPr="002355AE" w:rsidRDefault="002355AE" w:rsidP="002355AE">
      <w:pPr>
        <w:jc w:val="center"/>
        <w:rPr>
          <w:rFonts w:asciiTheme="minorHAnsi" w:eastAsia="Verdana" w:hAnsiTheme="minorHAnsi" w:cs="Verdana"/>
          <w:b/>
          <w:sz w:val="32"/>
          <w:szCs w:val="32"/>
        </w:rPr>
      </w:pPr>
      <w:r w:rsidRPr="002355AE">
        <w:rPr>
          <w:rFonts w:asciiTheme="minorHAnsi" w:eastAsia="Verdana" w:hAnsiTheme="minorHAnsi" w:cs="Verdana"/>
          <w:b/>
          <w:sz w:val="32"/>
          <w:szCs w:val="32"/>
        </w:rPr>
        <w:t>Statement</w:t>
      </w:r>
    </w:p>
    <w:p w14:paraId="09598F4D" w14:textId="77777777" w:rsidR="002355AE" w:rsidRPr="002355AE" w:rsidRDefault="002355AE" w:rsidP="002355AE">
      <w:pPr>
        <w:jc w:val="center"/>
        <w:rPr>
          <w:rFonts w:asciiTheme="majorHAnsi" w:eastAsia="Verdana" w:hAnsiTheme="majorHAnsi" w:cs="Verdana"/>
          <w:b/>
          <w:sz w:val="20"/>
          <w:szCs w:val="20"/>
        </w:rPr>
      </w:pPr>
      <w:r w:rsidRPr="002355AE">
        <w:rPr>
          <w:rFonts w:asciiTheme="majorHAnsi" w:eastAsia="Verdana" w:hAnsiTheme="majorHAnsi" w:cs="Verdana"/>
          <w:b/>
          <w:sz w:val="20"/>
          <w:szCs w:val="20"/>
        </w:rPr>
        <w:t>-----------------------------------------</w:t>
      </w:r>
    </w:p>
    <w:p w14:paraId="4BDB2AD4" w14:textId="77777777" w:rsidR="002355AE" w:rsidRDefault="002355AE" w:rsidP="002355AE">
      <w:pPr>
        <w:spacing w:line="288" w:lineRule="auto"/>
        <w:jc w:val="both"/>
        <w:rPr>
          <w:rFonts w:ascii="Verdana" w:eastAsia="Verdana" w:hAnsi="Verdana" w:cs="Verdana"/>
        </w:rPr>
      </w:pPr>
    </w:p>
    <w:p w14:paraId="3206E726" w14:textId="77777777" w:rsidR="002355AE" w:rsidRPr="002355AE" w:rsidRDefault="002355AE" w:rsidP="002355AE">
      <w:pPr>
        <w:spacing w:line="288" w:lineRule="auto"/>
        <w:jc w:val="both"/>
        <w:rPr>
          <w:rFonts w:asciiTheme="majorHAnsi" w:eastAsia="Verdana" w:hAnsiTheme="majorHAnsi" w:cs="Verdana"/>
        </w:rPr>
      </w:pPr>
      <w:r w:rsidRPr="002355AE">
        <w:rPr>
          <w:rFonts w:asciiTheme="majorHAnsi" w:eastAsia="Verdana" w:hAnsiTheme="majorHAnsi" w:cs="Verdana"/>
        </w:rPr>
        <w:t>We, African ICANN Community members participating in the ICANN 63</w:t>
      </w:r>
      <w:r w:rsidRPr="002355AE">
        <w:rPr>
          <w:rFonts w:asciiTheme="majorHAnsi" w:eastAsia="Verdana" w:hAnsiTheme="majorHAnsi" w:cs="Verdana"/>
          <w:vertAlign w:val="superscript"/>
        </w:rPr>
        <w:t xml:space="preserve">rd </w:t>
      </w:r>
      <w:r w:rsidRPr="002355AE">
        <w:rPr>
          <w:rFonts w:asciiTheme="majorHAnsi" w:eastAsia="Verdana" w:hAnsiTheme="majorHAnsi" w:cs="Verdana"/>
        </w:rPr>
        <w:t xml:space="preserve">International Public meeting in Barcelona and attending the joint AFRALO / </w:t>
      </w:r>
      <w:proofErr w:type="spellStart"/>
      <w:r w:rsidRPr="002355AE">
        <w:rPr>
          <w:rFonts w:asciiTheme="majorHAnsi" w:eastAsia="Verdana" w:hAnsiTheme="majorHAnsi" w:cs="Verdana"/>
        </w:rPr>
        <w:t>AfrICANN</w:t>
      </w:r>
      <w:proofErr w:type="spellEnd"/>
      <w:r w:rsidRPr="002355AE">
        <w:rPr>
          <w:rFonts w:asciiTheme="majorHAnsi" w:eastAsia="Verdana" w:hAnsiTheme="majorHAnsi" w:cs="Verdana"/>
        </w:rPr>
        <w:t xml:space="preserve"> meeting on Monday 22 November 2018, discussed the initial report of the new </w:t>
      </w:r>
      <w:proofErr w:type="spellStart"/>
      <w:r w:rsidRPr="002355AE">
        <w:rPr>
          <w:rFonts w:asciiTheme="majorHAnsi" w:eastAsia="Verdana" w:hAnsiTheme="majorHAnsi" w:cs="Verdana"/>
        </w:rPr>
        <w:t>gTLD</w:t>
      </w:r>
      <w:proofErr w:type="spellEnd"/>
      <w:r w:rsidRPr="002355AE">
        <w:rPr>
          <w:rFonts w:asciiTheme="majorHAnsi" w:eastAsia="Verdana" w:hAnsiTheme="majorHAnsi" w:cs="Verdana"/>
        </w:rPr>
        <w:t xml:space="preserve"> subsequent procedure PDP Working Group and especially the concept of “rounds” and the community application recommendations.</w:t>
      </w:r>
    </w:p>
    <w:p w14:paraId="4DDE785E" w14:textId="77777777" w:rsidR="002355AE" w:rsidRPr="009D4914" w:rsidRDefault="002355AE" w:rsidP="002355AE">
      <w:pPr>
        <w:spacing w:line="288" w:lineRule="auto"/>
        <w:jc w:val="both"/>
        <w:rPr>
          <w:rFonts w:asciiTheme="majorHAnsi" w:eastAsia="Verdana" w:hAnsiTheme="majorHAnsi" w:cs="Verdana"/>
          <w:sz w:val="15"/>
          <w:szCs w:val="15"/>
        </w:rPr>
      </w:pPr>
      <w:r w:rsidRPr="009D4914">
        <w:rPr>
          <w:rFonts w:asciiTheme="majorHAnsi" w:eastAsia="Verdana" w:hAnsiTheme="majorHAnsi" w:cs="Verdana"/>
          <w:sz w:val="15"/>
          <w:szCs w:val="15"/>
        </w:rPr>
        <w:t xml:space="preserve"> </w:t>
      </w:r>
    </w:p>
    <w:p w14:paraId="6ABC86A3" w14:textId="77777777" w:rsidR="002355AE" w:rsidRPr="002355AE" w:rsidRDefault="002355AE" w:rsidP="002355AE">
      <w:pPr>
        <w:spacing w:line="288" w:lineRule="auto"/>
        <w:jc w:val="both"/>
        <w:rPr>
          <w:rFonts w:asciiTheme="majorHAnsi" w:eastAsia="Verdana" w:hAnsiTheme="majorHAnsi" w:cs="Verdana"/>
        </w:rPr>
      </w:pPr>
      <w:r w:rsidRPr="002355AE">
        <w:rPr>
          <w:rFonts w:asciiTheme="majorHAnsi" w:eastAsia="Verdana" w:hAnsiTheme="majorHAnsi" w:cs="Verdana"/>
        </w:rPr>
        <w:t xml:space="preserve">First, we  want to congratulate the new </w:t>
      </w:r>
      <w:proofErr w:type="spellStart"/>
      <w:r w:rsidRPr="002355AE">
        <w:rPr>
          <w:rFonts w:asciiTheme="majorHAnsi" w:eastAsia="Verdana" w:hAnsiTheme="majorHAnsi" w:cs="Verdana"/>
        </w:rPr>
        <w:t>gTLD</w:t>
      </w:r>
      <w:proofErr w:type="spellEnd"/>
      <w:r w:rsidRPr="002355AE">
        <w:rPr>
          <w:rFonts w:asciiTheme="majorHAnsi" w:eastAsia="Verdana" w:hAnsiTheme="majorHAnsi" w:cs="Verdana"/>
        </w:rPr>
        <w:t xml:space="preserve"> subsequent procedure PDP Working Group members for the huge amount of work undertaken to prepare the initial report and thank them for their time and efforts. Nevertheless, we want to make the following comments:</w:t>
      </w:r>
    </w:p>
    <w:p w14:paraId="5D8608E9" w14:textId="77777777" w:rsidR="002355AE" w:rsidRPr="009D4914" w:rsidRDefault="002355AE" w:rsidP="002355AE">
      <w:pPr>
        <w:spacing w:line="288" w:lineRule="auto"/>
        <w:jc w:val="both"/>
        <w:rPr>
          <w:rFonts w:asciiTheme="majorHAnsi" w:eastAsia="Verdana" w:hAnsiTheme="majorHAnsi" w:cs="Verdana"/>
          <w:b/>
          <w:sz w:val="15"/>
          <w:szCs w:val="15"/>
        </w:rPr>
      </w:pPr>
      <w:r w:rsidRPr="009D4914">
        <w:rPr>
          <w:rFonts w:asciiTheme="majorHAnsi" w:eastAsia="Verdana" w:hAnsiTheme="majorHAnsi" w:cs="Verdana"/>
          <w:sz w:val="15"/>
          <w:szCs w:val="15"/>
        </w:rPr>
        <w:t xml:space="preserve"> </w:t>
      </w:r>
    </w:p>
    <w:p w14:paraId="7A10A97C" w14:textId="77777777" w:rsidR="002355AE" w:rsidRPr="002355AE" w:rsidRDefault="002355AE" w:rsidP="002355AE">
      <w:pPr>
        <w:spacing w:line="288" w:lineRule="auto"/>
        <w:ind w:left="284" w:hanging="284"/>
        <w:jc w:val="both"/>
        <w:rPr>
          <w:rFonts w:asciiTheme="minorHAnsi" w:eastAsia="Verdana" w:hAnsiTheme="minorHAnsi" w:cs="Verdana"/>
          <w:b/>
        </w:rPr>
      </w:pPr>
      <w:r w:rsidRPr="002355AE">
        <w:rPr>
          <w:rFonts w:asciiTheme="minorHAnsi" w:eastAsia="Verdana" w:hAnsiTheme="minorHAnsi" w:cs="Verdana"/>
          <w:b/>
        </w:rPr>
        <w:t xml:space="preserve">1. </w:t>
      </w:r>
      <w:r w:rsidRPr="002355AE">
        <w:rPr>
          <w:rFonts w:asciiTheme="minorHAnsi" w:eastAsia="Verdana" w:hAnsiTheme="minorHAnsi" w:cs="Verdana"/>
          <w:b/>
        </w:rPr>
        <w:tab/>
        <w:t>Concept of “rounds”</w:t>
      </w:r>
    </w:p>
    <w:p w14:paraId="6C42E7E4" w14:textId="77777777" w:rsidR="002355AE" w:rsidRPr="009D4914" w:rsidRDefault="002355AE" w:rsidP="002355AE">
      <w:pPr>
        <w:spacing w:line="288" w:lineRule="auto"/>
        <w:ind w:left="420"/>
        <w:jc w:val="both"/>
        <w:rPr>
          <w:rFonts w:asciiTheme="majorHAnsi" w:eastAsia="Verdana" w:hAnsiTheme="majorHAnsi" w:cs="Verdana"/>
          <w:b/>
          <w:sz w:val="15"/>
          <w:szCs w:val="15"/>
        </w:rPr>
      </w:pPr>
      <w:r w:rsidRPr="009D4914">
        <w:rPr>
          <w:rFonts w:asciiTheme="majorHAnsi" w:eastAsia="Verdana" w:hAnsiTheme="majorHAnsi" w:cs="Verdana"/>
          <w:b/>
          <w:sz w:val="15"/>
          <w:szCs w:val="15"/>
        </w:rPr>
        <w:t xml:space="preserve"> </w:t>
      </w:r>
    </w:p>
    <w:p w14:paraId="5DC6FAC1" w14:textId="77777777" w:rsidR="006B497A" w:rsidRPr="002355AE" w:rsidRDefault="002355AE" w:rsidP="002355AE">
      <w:pPr>
        <w:rPr>
          <w:rFonts w:asciiTheme="majorHAnsi" w:eastAsia="Verdana" w:hAnsiTheme="majorHAnsi" w:cs="Verdana"/>
        </w:rPr>
      </w:pPr>
      <w:r w:rsidRPr="002355AE">
        <w:rPr>
          <w:rFonts w:asciiTheme="majorHAnsi" w:eastAsia="Verdana" w:hAnsiTheme="majorHAnsi" w:cs="Verdana"/>
        </w:rPr>
        <w:t xml:space="preserve">Regarding whether the new </w:t>
      </w:r>
      <w:proofErr w:type="spellStart"/>
      <w:r w:rsidRPr="002355AE">
        <w:rPr>
          <w:rFonts w:asciiTheme="majorHAnsi" w:eastAsia="Verdana" w:hAnsiTheme="majorHAnsi" w:cs="Verdana"/>
        </w:rPr>
        <w:t>gTLD</w:t>
      </w:r>
      <w:proofErr w:type="spellEnd"/>
      <w:r w:rsidRPr="002355AE">
        <w:rPr>
          <w:rFonts w:asciiTheme="majorHAnsi" w:eastAsia="Verdana" w:hAnsiTheme="majorHAnsi" w:cs="Verdana"/>
        </w:rPr>
        <w:t xml:space="preserve"> program should continue in the form of succ</w:t>
      </w:r>
      <w:r w:rsidRPr="002355AE">
        <w:rPr>
          <w:rFonts w:asciiTheme="majorHAnsi" w:eastAsia="Verdana" w:hAnsiTheme="majorHAnsi" w:cs="Verdana"/>
        </w:rPr>
        <w:t>essive rounds or one open round:</w:t>
      </w:r>
    </w:p>
    <w:p w14:paraId="358EB1BB" w14:textId="77777777" w:rsidR="002355AE" w:rsidRPr="009D4914" w:rsidRDefault="002355AE" w:rsidP="002355AE">
      <w:pPr>
        <w:rPr>
          <w:rFonts w:asciiTheme="majorHAnsi" w:eastAsia="Verdana" w:hAnsiTheme="majorHAnsi" w:cs="Verdana"/>
          <w:color w:val="000000"/>
          <w:sz w:val="15"/>
          <w:szCs w:val="15"/>
        </w:rPr>
      </w:pPr>
    </w:p>
    <w:p w14:paraId="3E4510D3" w14:textId="77777777" w:rsidR="002355AE" w:rsidRPr="002355AE" w:rsidRDefault="002355AE" w:rsidP="002355AE">
      <w:pPr>
        <w:pStyle w:val="Pardeliste"/>
        <w:numPr>
          <w:ilvl w:val="0"/>
          <w:numId w:val="1"/>
        </w:numPr>
        <w:rPr>
          <w:rFonts w:asciiTheme="majorHAnsi" w:hAnsiTheme="majorHAnsi"/>
        </w:rPr>
      </w:pPr>
      <w:r w:rsidRPr="002355AE">
        <w:rPr>
          <w:rFonts w:asciiTheme="majorHAnsi" w:eastAsia="Verdana" w:hAnsiTheme="majorHAnsi" w:cs="Verdana"/>
          <w:color w:val="000000"/>
        </w:rPr>
        <w:t>We believe that the program didn’t gain sufficient maturity to be able to decide if it is better to go to a first come first served open round. We also are still not yet in a position to definitively announce with certainty when the next round should be</w:t>
      </w:r>
    </w:p>
    <w:p w14:paraId="7AA349D6" w14:textId="77777777" w:rsidR="002355AE" w:rsidRPr="009D4914" w:rsidRDefault="002355AE" w:rsidP="002355AE">
      <w:pPr>
        <w:pStyle w:val="Pardeliste"/>
        <w:rPr>
          <w:rFonts w:asciiTheme="majorHAnsi" w:hAnsiTheme="majorHAnsi"/>
          <w:sz w:val="15"/>
          <w:szCs w:val="15"/>
        </w:rPr>
      </w:pPr>
    </w:p>
    <w:p w14:paraId="6554991E" w14:textId="77777777" w:rsidR="002355AE" w:rsidRPr="002355AE" w:rsidRDefault="002355AE" w:rsidP="002355AE">
      <w:pPr>
        <w:pStyle w:val="Pardeliste"/>
        <w:numPr>
          <w:ilvl w:val="0"/>
          <w:numId w:val="1"/>
        </w:numPr>
        <w:spacing w:line="240" w:lineRule="auto"/>
        <w:rPr>
          <w:rFonts w:asciiTheme="majorHAnsi" w:eastAsia="Times New Roman" w:hAnsiTheme="majorHAnsi" w:cs="Times New Roman"/>
          <w:sz w:val="24"/>
          <w:szCs w:val="24"/>
          <w:lang w:val="en-US"/>
        </w:rPr>
      </w:pPr>
      <w:r w:rsidRPr="002355AE">
        <w:rPr>
          <w:rFonts w:asciiTheme="majorHAnsi" w:eastAsia="Times New Roman" w:hAnsiTheme="majorHAnsi" w:cs="Times New Roman"/>
          <w:color w:val="000000"/>
          <w:lang w:val="en-US"/>
        </w:rPr>
        <w:t xml:space="preserve">We propose to Conduct one additional “round” followed by an undefined review period to determine how future applications for new </w:t>
      </w:r>
      <w:proofErr w:type="spellStart"/>
      <w:r w:rsidRPr="002355AE">
        <w:rPr>
          <w:rFonts w:asciiTheme="majorHAnsi" w:eastAsia="Times New Roman" w:hAnsiTheme="majorHAnsi" w:cs="Times New Roman"/>
          <w:color w:val="000000"/>
          <w:lang w:val="en-US"/>
        </w:rPr>
        <w:t>gTLDs</w:t>
      </w:r>
      <w:proofErr w:type="spellEnd"/>
      <w:r w:rsidRPr="002355AE">
        <w:rPr>
          <w:rFonts w:asciiTheme="majorHAnsi" w:eastAsia="Times New Roman" w:hAnsiTheme="majorHAnsi" w:cs="Times New Roman"/>
          <w:color w:val="000000"/>
          <w:lang w:val="en-US"/>
        </w:rPr>
        <w:t xml:space="preserve"> should be accepted. </w:t>
      </w:r>
    </w:p>
    <w:p w14:paraId="7982EFD5" w14:textId="77777777" w:rsidR="002355AE" w:rsidRPr="009D4914" w:rsidRDefault="002355AE" w:rsidP="002355AE">
      <w:pPr>
        <w:spacing w:line="240" w:lineRule="auto"/>
        <w:rPr>
          <w:rFonts w:asciiTheme="majorHAnsi" w:eastAsia="Times New Roman" w:hAnsiTheme="majorHAnsi" w:cs="Times New Roman"/>
          <w:sz w:val="15"/>
          <w:szCs w:val="15"/>
          <w:lang w:val="en-US"/>
        </w:rPr>
      </w:pPr>
    </w:p>
    <w:p w14:paraId="2F37B9B6" w14:textId="77777777" w:rsidR="002355AE" w:rsidRPr="002355AE" w:rsidRDefault="002355AE" w:rsidP="002355AE">
      <w:pPr>
        <w:pStyle w:val="Pardeliste"/>
        <w:numPr>
          <w:ilvl w:val="0"/>
          <w:numId w:val="1"/>
        </w:numPr>
        <w:spacing w:line="240" w:lineRule="auto"/>
        <w:jc w:val="both"/>
        <w:rPr>
          <w:rFonts w:asciiTheme="majorHAnsi" w:eastAsiaTheme="minorHAnsi" w:hAnsiTheme="majorHAnsi" w:cs="Times New Roman"/>
          <w:sz w:val="24"/>
          <w:szCs w:val="24"/>
          <w:lang w:val="en-US"/>
        </w:rPr>
      </w:pPr>
      <w:r w:rsidRPr="002355AE">
        <w:rPr>
          <w:rFonts w:asciiTheme="majorHAnsi" w:eastAsiaTheme="minorHAnsi" w:hAnsiTheme="majorHAnsi" w:cs="Times New Roman"/>
          <w:color w:val="000000"/>
          <w:lang w:val="en-US"/>
        </w:rPr>
        <w:t>But in any case, and regardless of whether re-introduction of the Program is done via consecutive rounds or an open round on a FCFS basis, we think that there is a need for:</w:t>
      </w:r>
    </w:p>
    <w:p w14:paraId="07DC545C" w14:textId="77777777" w:rsidR="002355AE" w:rsidRPr="002355AE" w:rsidRDefault="002355AE" w:rsidP="002355AE">
      <w:pPr>
        <w:pStyle w:val="Pardeliste"/>
        <w:numPr>
          <w:ilvl w:val="0"/>
          <w:numId w:val="2"/>
        </w:numPr>
        <w:spacing w:line="240" w:lineRule="auto"/>
        <w:ind w:left="1276"/>
        <w:jc w:val="both"/>
        <w:rPr>
          <w:rFonts w:asciiTheme="majorHAnsi" w:eastAsiaTheme="minorHAnsi" w:hAnsiTheme="majorHAnsi" w:cs="Times New Roman"/>
          <w:sz w:val="24"/>
          <w:szCs w:val="24"/>
          <w:lang w:val="en-US"/>
        </w:rPr>
      </w:pPr>
      <w:r w:rsidRPr="002355AE">
        <w:rPr>
          <w:rFonts w:asciiTheme="majorHAnsi" w:eastAsiaTheme="minorHAnsi" w:hAnsiTheme="majorHAnsi" w:cs="Times New Roman"/>
          <w:color w:val="000000"/>
          <w:lang w:val="en-US"/>
        </w:rPr>
        <w:t>A mechanism be established to allow for course corrections mandated by policy development processes to make substantial, policy-driven changes to the Program;</w:t>
      </w:r>
    </w:p>
    <w:p w14:paraId="2A9D0DB6" w14:textId="77777777" w:rsidR="002355AE" w:rsidRPr="002355AE" w:rsidRDefault="002355AE" w:rsidP="002355AE">
      <w:pPr>
        <w:pStyle w:val="Pardeliste"/>
        <w:numPr>
          <w:ilvl w:val="0"/>
          <w:numId w:val="2"/>
        </w:numPr>
        <w:spacing w:line="240" w:lineRule="auto"/>
        <w:ind w:left="1276"/>
        <w:jc w:val="both"/>
        <w:rPr>
          <w:rFonts w:asciiTheme="majorHAnsi" w:eastAsiaTheme="minorHAnsi" w:hAnsiTheme="majorHAnsi" w:cs="Times New Roman"/>
          <w:sz w:val="24"/>
          <w:szCs w:val="24"/>
          <w:lang w:val="en-US"/>
        </w:rPr>
      </w:pPr>
      <w:r w:rsidRPr="002355AE">
        <w:rPr>
          <w:rFonts w:asciiTheme="majorHAnsi" w:eastAsiaTheme="minorHAnsi" w:hAnsiTheme="majorHAnsi" w:cs="Times New Roman"/>
          <w:color w:val="000000"/>
          <w:lang w:val="en-US"/>
        </w:rPr>
        <w:t>Community-based applications be prioritized in the first instance;</w:t>
      </w:r>
    </w:p>
    <w:p w14:paraId="6623D31C" w14:textId="77777777" w:rsidR="002355AE" w:rsidRPr="002355AE" w:rsidRDefault="002355AE" w:rsidP="002355AE">
      <w:pPr>
        <w:pStyle w:val="Pardeliste"/>
        <w:numPr>
          <w:ilvl w:val="0"/>
          <w:numId w:val="2"/>
        </w:numPr>
        <w:spacing w:line="240" w:lineRule="auto"/>
        <w:ind w:left="1276"/>
        <w:jc w:val="both"/>
        <w:rPr>
          <w:rFonts w:asciiTheme="majorHAnsi" w:eastAsiaTheme="minorHAnsi" w:hAnsiTheme="majorHAnsi" w:cs="Times New Roman"/>
          <w:sz w:val="24"/>
          <w:szCs w:val="24"/>
          <w:lang w:val="en-US"/>
        </w:rPr>
      </w:pPr>
      <w:r w:rsidRPr="002355AE">
        <w:rPr>
          <w:rFonts w:asciiTheme="majorHAnsi" w:eastAsiaTheme="minorHAnsi" w:hAnsiTheme="majorHAnsi" w:cs="Times New Roman"/>
          <w:color w:val="000000"/>
          <w:lang w:val="en-US"/>
        </w:rPr>
        <w:t>The Community Priority Evaluation (CPE) panel composition and procedure be reviewed;</w:t>
      </w:r>
    </w:p>
    <w:p w14:paraId="0766CAC4" w14:textId="77777777" w:rsidR="002355AE" w:rsidRPr="002355AE" w:rsidRDefault="002355AE" w:rsidP="002355AE">
      <w:pPr>
        <w:pStyle w:val="Pardeliste"/>
        <w:numPr>
          <w:ilvl w:val="0"/>
          <w:numId w:val="2"/>
        </w:numPr>
        <w:spacing w:line="240" w:lineRule="auto"/>
        <w:ind w:left="1276"/>
        <w:jc w:val="both"/>
        <w:rPr>
          <w:rFonts w:asciiTheme="majorHAnsi" w:eastAsiaTheme="minorHAnsi" w:hAnsiTheme="majorHAnsi" w:cs="Times New Roman"/>
          <w:sz w:val="24"/>
          <w:szCs w:val="24"/>
          <w:lang w:val="en-US"/>
        </w:rPr>
      </w:pPr>
      <w:r w:rsidRPr="002355AE">
        <w:rPr>
          <w:rFonts w:asciiTheme="majorHAnsi" w:eastAsiaTheme="minorHAnsi" w:hAnsiTheme="majorHAnsi" w:cs="Times New Roman"/>
          <w:color w:val="000000"/>
          <w:lang w:val="en-US"/>
        </w:rPr>
        <w:t>Greater transparency in ICANN Org’s selection of Dispute Resolution Service Providers (DRSPs);</w:t>
      </w:r>
    </w:p>
    <w:p w14:paraId="0D7D82C5" w14:textId="77777777" w:rsidR="002355AE" w:rsidRPr="002355AE" w:rsidRDefault="002355AE" w:rsidP="002355AE">
      <w:pPr>
        <w:pStyle w:val="Pardeliste"/>
        <w:numPr>
          <w:ilvl w:val="0"/>
          <w:numId w:val="2"/>
        </w:numPr>
        <w:spacing w:line="240" w:lineRule="auto"/>
        <w:ind w:left="1276"/>
        <w:jc w:val="both"/>
        <w:rPr>
          <w:rFonts w:asciiTheme="majorHAnsi" w:eastAsiaTheme="minorHAnsi" w:hAnsiTheme="majorHAnsi" w:cs="Times New Roman"/>
          <w:sz w:val="24"/>
          <w:szCs w:val="24"/>
          <w:lang w:val="en-US"/>
        </w:rPr>
      </w:pPr>
      <w:r w:rsidRPr="002355AE">
        <w:rPr>
          <w:rFonts w:asciiTheme="majorHAnsi" w:eastAsia="Times New Roman" w:hAnsiTheme="majorHAnsi" w:cs="Times New Roman"/>
          <w:color w:val="000000"/>
          <w:lang w:val="en-US"/>
        </w:rPr>
        <w:t>Outreach efforts be undertaken to better create awareness of not only the Program but also parallel programs such as the Applicant Support Program (ASP). Promoting greater awareness of the Program in regions where numbers of applications from the 2012 round were comparatively very low (</w:t>
      </w:r>
      <w:proofErr w:type="spellStart"/>
      <w:r w:rsidRPr="002355AE">
        <w:rPr>
          <w:rFonts w:asciiTheme="majorHAnsi" w:eastAsia="Times New Roman" w:hAnsiTheme="majorHAnsi" w:cs="Times New Roman"/>
          <w:color w:val="000000"/>
          <w:lang w:val="en-US"/>
        </w:rPr>
        <w:t>eg</w:t>
      </w:r>
      <w:proofErr w:type="spellEnd"/>
      <w:r w:rsidRPr="002355AE">
        <w:rPr>
          <w:rFonts w:asciiTheme="majorHAnsi" w:eastAsia="Times New Roman" w:hAnsiTheme="majorHAnsi" w:cs="Times New Roman"/>
          <w:color w:val="000000"/>
          <w:lang w:val="en-US"/>
        </w:rPr>
        <w:t xml:space="preserve"> Global South), using appropriate means and channels is key for the success of the program.</w:t>
      </w:r>
    </w:p>
    <w:p w14:paraId="230E7092" w14:textId="77777777" w:rsidR="002355AE" w:rsidRPr="009D4914" w:rsidRDefault="002355AE" w:rsidP="002355AE">
      <w:pPr>
        <w:pStyle w:val="Pardeliste"/>
        <w:spacing w:line="240" w:lineRule="auto"/>
        <w:ind w:left="1276"/>
        <w:jc w:val="both"/>
        <w:rPr>
          <w:rFonts w:asciiTheme="majorHAnsi" w:eastAsiaTheme="minorHAnsi" w:hAnsiTheme="majorHAnsi" w:cs="Times New Roman"/>
          <w:sz w:val="15"/>
          <w:szCs w:val="15"/>
          <w:lang w:val="en-US"/>
        </w:rPr>
      </w:pPr>
    </w:p>
    <w:p w14:paraId="7C0162EF" w14:textId="77777777" w:rsidR="002355AE" w:rsidRPr="002355AE" w:rsidRDefault="002355AE" w:rsidP="002355AE">
      <w:pPr>
        <w:pStyle w:val="Pardeliste"/>
        <w:numPr>
          <w:ilvl w:val="0"/>
          <w:numId w:val="3"/>
        </w:numPr>
        <w:spacing w:before="240" w:line="240" w:lineRule="auto"/>
        <w:ind w:left="284" w:hanging="284"/>
        <w:jc w:val="both"/>
        <w:outlineLvl w:val="3"/>
        <w:rPr>
          <w:rFonts w:asciiTheme="minorHAnsi" w:eastAsia="Times New Roman" w:hAnsiTheme="minorHAnsi" w:cs="Times New Roman"/>
          <w:b/>
          <w:bCs/>
          <w:sz w:val="24"/>
          <w:szCs w:val="24"/>
          <w:lang w:val="en-US"/>
        </w:rPr>
      </w:pPr>
      <w:r w:rsidRPr="002355AE">
        <w:rPr>
          <w:rFonts w:asciiTheme="minorHAnsi" w:eastAsia="Times New Roman" w:hAnsiTheme="minorHAnsi" w:cs="Times New Roman"/>
          <w:b/>
          <w:bCs/>
          <w:color w:val="000000"/>
          <w:lang w:val="en-US"/>
        </w:rPr>
        <w:t>Community Application</w:t>
      </w:r>
    </w:p>
    <w:p w14:paraId="5C3D591E" w14:textId="77777777" w:rsidR="00973C4E" w:rsidRPr="009D4914" w:rsidRDefault="00973C4E" w:rsidP="00973C4E">
      <w:pPr>
        <w:spacing w:line="288" w:lineRule="auto"/>
        <w:jc w:val="both"/>
        <w:rPr>
          <w:rFonts w:asciiTheme="majorHAnsi" w:eastAsia="Verdana" w:hAnsiTheme="majorHAnsi" w:cs="Verdana"/>
          <w:sz w:val="15"/>
          <w:szCs w:val="15"/>
        </w:rPr>
      </w:pPr>
    </w:p>
    <w:p w14:paraId="3890BC20" w14:textId="60112C5C" w:rsidR="00973C4E" w:rsidRPr="008D5B0C" w:rsidRDefault="00973C4E" w:rsidP="00340688">
      <w:pPr>
        <w:spacing w:line="288" w:lineRule="auto"/>
        <w:jc w:val="both"/>
        <w:rPr>
          <w:rFonts w:asciiTheme="majorHAnsi" w:eastAsia="Verdana" w:hAnsiTheme="majorHAnsi" w:cs="Verdana"/>
          <w:lang w:val="en-US"/>
        </w:rPr>
      </w:pPr>
      <w:r w:rsidRPr="00973C4E">
        <w:rPr>
          <w:rFonts w:asciiTheme="majorHAnsi" w:eastAsia="Verdana" w:hAnsiTheme="majorHAnsi" w:cs="Verdana"/>
        </w:rPr>
        <w:t xml:space="preserve">With respect to the definition of communities, we think that the following definition used by the European Court of Human Rights is the most accurate: </w:t>
      </w:r>
      <w:r w:rsidRPr="008D5B0C">
        <w:rPr>
          <w:rFonts w:asciiTheme="majorHAnsi" w:eastAsia="Verdana" w:hAnsiTheme="majorHAnsi" w:cs="Verdana"/>
          <w:lang w:val="en-US"/>
        </w:rPr>
        <w:t>"</w:t>
      </w:r>
      <w:r w:rsidR="00340688" w:rsidRPr="008D5B0C">
        <w:rPr>
          <w:rFonts w:asciiTheme="majorHAnsi" w:eastAsiaTheme="minorHAnsi" w:hAnsiTheme="majorHAnsi" w:cs="Verdana"/>
          <w:i/>
          <w:iCs/>
          <w:lang w:val="en-US" w:eastAsia="en-US"/>
        </w:rPr>
        <w:t>Any not for profit group of individuals or legal entities brought together for at-least 3 consecutive years in order to collectively act, express, promote, pursue or defend a field of common interests</w:t>
      </w:r>
      <w:r w:rsidR="00340688" w:rsidRPr="008D5B0C">
        <w:rPr>
          <w:rFonts w:asciiTheme="majorHAnsi" w:eastAsia="Verdana" w:hAnsiTheme="majorHAnsi" w:cs="Verdana"/>
          <w:lang w:val="en-US"/>
        </w:rPr>
        <w:t xml:space="preserve"> </w:t>
      </w:r>
      <w:r w:rsidRPr="008D5B0C">
        <w:rPr>
          <w:rFonts w:asciiTheme="majorHAnsi" w:eastAsia="Verdana" w:hAnsiTheme="majorHAnsi" w:cs="Verdana"/>
          <w:lang w:val="en-US"/>
        </w:rPr>
        <w:t>".</w:t>
      </w:r>
    </w:p>
    <w:p w14:paraId="238DE481" w14:textId="77777777" w:rsidR="00973C4E" w:rsidRPr="008D5B0C" w:rsidRDefault="00973C4E" w:rsidP="009D4914">
      <w:pPr>
        <w:pStyle w:val="Pardeliste"/>
        <w:spacing w:line="288" w:lineRule="auto"/>
        <w:jc w:val="both"/>
        <w:rPr>
          <w:rFonts w:asciiTheme="majorHAnsi" w:eastAsia="Verdana" w:hAnsiTheme="majorHAnsi" w:cs="Verdana"/>
          <w:sz w:val="15"/>
          <w:szCs w:val="15"/>
          <w:lang w:val="en-US"/>
        </w:rPr>
      </w:pPr>
      <w:r w:rsidRPr="008D5B0C">
        <w:rPr>
          <w:rFonts w:asciiTheme="majorHAnsi" w:eastAsia="Verdana" w:hAnsiTheme="majorHAnsi" w:cs="Verdana"/>
          <w:sz w:val="15"/>
          <w:szCs w:val="15"/>
          <w:lang w:val="en-US"/>
        </w:rPr>
        <w:t xml:space="preserve"> </w:t>
      </w:r>
      <w:bookmarkStart w:id="0" w:name="_GoBack"/>
      <w:bookmarkEnd w:id="0"/>
    </w:p>
    <w:p w14:paraId="1583EA47" w14:textId="77777777" w:rsidR="00973C4E" w:rsidRPr="00973C4E" w:rsidRDefault="00973C4E" w:rsidP="009D4914">
      <w:pPr>
        <w:spacing w:line="288" w:lineRule="auto"/>
        <w:jc w:val="both"/>
        <w:rPr>
          <w:rFonts w:asciiTheme="majorHAnsi" w:eastAsia="Verdana" w:hAnsiTheme="majorHAnsi" w:cs="Verdana"/>
        </w:rPr>
      </w:pPr>
      <w:r w:rsidRPr="00973C4E">
        <w:rPr>
          <w:rFonts w:asciiTheme="majorHAnsi" w:eastAsia="Verdana" w:hAnsiTheme="majorHAnsi" w:cs="Verdana"/>
        </w:rPr>
        <w:lastRenderedPageBreak/>
        <w:t>We believe that communities should continue to be given special consideration:</w:t>
      </w:r>
    </w:p>
    <w:p w14:paraId="00BF6F3A" w14:textId="77777777" w:rsidR="00973C4E" w:rsidRPr="00973C4E" w:rsidRDefault="00973C4E" w:rsidP="009D4914">
      <w:pPr>
        <w:pStyle w:val="Pardeliste"/>
        <w:numPr>
          <w:ilvl w:val="0"/>
          <w:numId w:val="4"/>
        </w:numPr>
        <w:spacing w:line="288" w:lineRule="auto"/>
        <w:jc w:val="both"/>
        <w:rPr>
          <w:rFonts w:asciiTheme="majorHAnsi" w:eastAsia="Verdana" w:hAnsiTheme="majorHAnsi" w:cs="Verdana"/>
        </w:rPr>
      </w:pPr>
      <w:r w:rsidRPr="00973C4E">
        <w:rPr>
          <w:rFonts w:asciiTheme="majorHAnsi" w:eastAsia="Verdana" w:hAnsiTheme="majorHAnsi" w:cs="Verdana"/>
        </w:rPr>
        <w:t>Differential treatment for community applications in the form of Priority in case of string contention.</w:t>
      </w:r>
    </w:p>
    <w:p w14:paraId="4B1AB7D8" w14:textId="77777777" w:rsidR="00973C4E" w:rsidRPr="00973C4E" w:rsidRDefault="00973C4E" w:rsidP="009D4914">
      <w:pPr>
        <w:pStyle w:val="Pardeliste"/>
        <w:numPr>
          <w:ilvl w:val="0"/>
          <w:numId w:val="4"/>
        </w:numPr>
        <w:spacing w:line="288" w:lineRule="auto"/>
        <w:jc w:val="both"/>
        <w:rPr>
          <w:rFonts w:asciiTheme="majorHAnsi" w:eastAsia="Verdana" w:hAnsiTheme="majorHAnsi" w:cs="Verdana"/>
        </w:rPr>
      </w:pPr>
      <w:r w:rsidRPr="00973C4E">
        <w:rPr>
          <w:rFonts w:asciiTheme="majorHAnsi" w:eastAsia="Verdana" w:hAnsiTheme="majorHAnsi" w:cs="Verdana"/>
        </w:rPr>
        <w:t>Eligibility for support through the Applicant Support Program (ASP), particularly those from underserved regions and/or those which are conceived to serve underserved Communities.</w:t>
      </w:r>
    </w:p>
    <w:p w14:paraId="5B0BC704" w14:textId="77777777" w:rsidR="00973C4E" w:rsidRPr="009D4914" w:rsidRDefault="00973C4E" w:rsidP="009D4914">
      <w:pPr>
        <w:spacing w:line="288" w:lineRule="auto"/>
        <w:ind w:firstLine="40"/>
        <w:jc w:val="both"/>
        <w:rPr>
          <w:rFonts w:asciiTheme="majorHAnsi" w:eastAsia="Verdana" w:hAnsiTheme="majorHAnsi" w:cs="Verdana"/>
          <w:sz w:val="15"/>
          <w:szCs w:val="15"/>
        </w:rPr>
      </w:pPr>
    </w:p>
    <w:p w14:paraId="6DDEB8D2" w14:textId="77777777" w:rsidR="00973C4E" w:rsidRPr="00973C4E" w:rsidRDefault="00973C4E" w:rsidP="009D4914">
      <w:pPr>
        <w:spacing w:line="288" w:lineRule="auto"/>
        <w:jc w:val="both"/>
        <w:rPr>
          <w:rFonts w:asciiTheme="majorHAnsi" w:eastAsia="Verdana" w:hAnsiTheme="majorHAnsi" w:cs="Verdana"/>
        </w:rPr>
      </w:pPr>
      <w:r w:rsidRPr="00973C4E">
        <w:rPr>
          <w:rFonts w:asciiTheme="majorHAnsi" w:eastAsia="Verdana" w:hAnsiTheme="majorHAnsi" w:cs="Verdana"/>
        </w:rPr>
        <w:t>For the Community Priority Evaluation (CPE), We are of the opinion that:</w:t>
      </w:r>
    </w:p>
    <w:p w14:paraId="14653E5D" w14:textId="77777777" w:rsidR="00973C4E" w:rsidRPr="00973C4E" w:rsidRDefault="00973C4E" w:rsidP="009D4914">
      <w:pPr>
        <w:pStyle w:val="Pardeliste"/>
        <w:numPr>
          <w:ilvl w:val="0"/>
          <w:numId w:val="4"/>
        </w:numPr>
        <w:spacing w:line="288" w:lineRule="auto"/>
        <w:jc w:val="both"/>
        <w:rPr>
          <w:rFonts w:asciiTheme="majorHAnsi" w:eastAsia="Verdana" w:hAnsiTheme="majorHAnsi" w:cs="Verdana"/>
        </w:rPr>
      </w:pPr>
      <w:r w:rsidRPr="00973C4E">
        <w:rPr>
          <w:rFonts w:asciiTheme="majorHAnsi" w:eastAsia="Verdana" w:hAnsiTheme="majorHAnsi" w:cs="Verdana"/>
        </w:rPr>
        <w:t>The CPE process needs to be more transparent and predictable. Details about all the procedures used in decision making must be available to applicants well in advance of the deadline for submissions;</w:t>
      </w:r>
    </w:p>
    <w:p w14:paraId="0B1622D2" w14:textId="77777777" w:rsidR="00973C4E" w:rsidRPr="009D4914" w:rsidRDefault="00973C4E" w:rsidP="009D4914">
      <w:pPr>
        <w:spacing w:line="288" w:lineRule="auto"/>
        <w:ind w:firstLine="40"/>
        <w:jc w:val="both"/>
        <w:rPr>
          <w:rFonts w:asciiTheme="majorHAnsi" w:eastAsia="Verdana" w:hAnsiTheme="majorHAnsi" w:cs="Verdana"/>
          <w:sz w:val="15"/>
          <w:szCs w:val="15"/>
        </w:rPr>
      </w:pPr>
    </w:p>
    <w:p w14:paraId="6B428C22" w14:textId="77777777" w:rsidR="00973C4E" w:rsidRPr="00973C4E" w:rsidRDefault="00973C4E" w:rsidP="009D4914">
      <w:pPr>
        <w:pStyle w:val="Pardeliste"/>
        <w:numPr>
          <w:ilvl w:val="0"/>
          <w:numId w:val="4"/>
        </w:numPr>
        <w:spacing w:line="288" w:lineRule="auto"/>
        <w:jc w:val="both"/>
        <w:rPr>
          <w:rFonts w:asciiTheme="majorHAnsi" w:eastAsia="Verdana" w:hAnsiTheme="majorHAnsi" w:cs="Verdana"/>
        </w:rPr>
      </w:pPr>
      <w:r w:rsidRPr="00973C4E">
        <w:rPr>
          <w:rFonts w:asciiTheme="majorHAnsi" w:eastAsia="Verdana" w:hAnsiTheme="majorHAnsi" w:cs="Verdana"/>
        </w:rPr>
        <w:t>The concept of membership must be flexible Enough to take into account the fact that geographically distributed communities often do not have traditional membership lists and should not be penalized for this.</w:t>
      </w:r>
    </w:p>
    <w:p w14:paraId="7306D6E1" w14:textId="77777777" w:rsidR="00973C4E" w:rsidRPr="009D4914" w:rsidRDefault="00973C4E" w:rsidP="009D4914">
      <w:pPr>
        <w:spacing w:line="288" w:lineRule="auto"/>
        <w:ind w:firstLine="40"/>
        <w:jc w:val="both"/>
        <w:rPr>
          <w:rFonts w:asciiTheme="majorHAnsi" w:eastAsia="Verdana" w:hAnsiTheme="majorHAnsi" w:cs="Verdana"/>
          <w:sz w:val="15"/>
          <w:szCs w:val="15"/>
        </w:rPr>
      </w:pPr>
    </w:p>
    <w:p w14:paraId="686E708B" w14:textId="77777777" w:rsidR="00973C4E" w:rsidRPr="00973C4E" w:rsidRDefault="00973C4E" w:rsidP="009D4914">
      <w:pPr>
        <w:pStyle w:val="Pardeliste"/>
        <w:numPr>
          <w:ilvl w:val="0"/>
          <w:numId w:val="4"/>
        </w:numPr>
        <w:spacing w:line="288" w:lineRule="auto"/>
        <w:jc w:val="both"/>
        <w:rPr>
          <w:rFonts w:asciiTheme="majorHAnsi" w:eastAsia="Verdana" w:hAnsiTheme="majorHAnsi" w:cs="Verdana"/>
        </w:rPr>
      </w:pPr>
      <w:r w:rsidRPr="00973C4E">
        <w:rPr>
          <w:rFonts w:asciiTheme="majorHAnsi" w:eastAsia="Verdana" w:hAnsiTheme="majorHAnsi" w:cs="Verdana"/>
        </w:rPr>
        <w:t>Background information about CPE participants, including support teams must be fully available to enable conflict of interest oversight;</w:t>
      </w:r>
    </w:p>
    <w:p w14:paraId="6FE0799B" w14:textId="77777777" w:rsidR="00973C4E" w:rsidRPr="009D4914" w:rsidRDefault="00973C4E" w:rsidP="009D4914">
      <w:pPr>
        <w:spacing w:line="288" w:lineRule="auto"/>
        <w:ind w:firstLine="40"/>
        <w:jc w:val="both"/>
        <w:rPr>
          <w:rFonts w:asciiTheme="majorHAnsi" w:eastAsia="Verdana" w:hAnsiTheme="majorHAnsi" w:cs="Verdana"/>
          <w:sz w:val="15"/>
          <w:szCs w:val="15"/>
        </w:rPr>
      </w:pPr>
    </w:p>
    <w:p w14:paraId="11A62BD8" w14:textId="77777777" w:rsidR="00973C4E" w:rsidRPr="00973C4E" w:rsidRDefault="00973C4E" w:rsidP="009D4914">
      <w:pPr>
        <w:pStyle w:val="Pardeliste"/>
        <w:numPr>
          <w:ilvl w:val="0"/>
          <w:numId w:val="4"/>
        </w:numPr>
        <w:spacing w:line="288" w:lineRule="auto"/>
        <w:jc w:val="both"/>
        <w:rPr>
          <w:rFonts w:asciiTheme="majorHAnsi" w:eastAsia="Verdana" w:hAnsiTheme="majorHAnsi" w:cs="Verdana"/>
        </w:rPr>
      </w:pPr>
      <w:r w:rsidRPr="00973C4E">
        <w:rPr>
          <w:rFonts w:asciiTheme="majorHAnsi" w:eastAsia="Verdana" w:hAnsiTheme="majorHAnsi" w:cs="Verdana"/>
        </w:rPr>
        <w:t>Data/documentation/research materials consulted in decision making must be referenced and released as part of the decision.</w:t>
      </w:r>
    </w:p>
    <w:p w14:paraId="2EECACC0" w14:textId="77777777" w:rsidR="00973C4E" w:rsidRPr="009D4914" w:rsidRDefault="00973C4E" w:rsidP="009D4914">
      <w:pPr>
        <w:spacing w:line="288" w:lineRule="auto"/>
        <w:ind w:firstLine="40"/>
        <w:jc w:val="both"/>
        <w:rPr>
          <w:rFonts w:asciiTheme="majorHAnsi" w:eastAsia="Verdana" w:hAnsiTheme="majorHAnsi" w:cs="Verdana"/>
          <w:sz w:val="15"/>
          <w:szCs w:val="15"/>
        </w:rPr>
      </w:pPr>
    </w:p>
    <w:p w14:paraId="48AC0CD4" w14:textId="77777777" w:rsidR="00973C4E" w:rsidRPr="00973C4E" w:rsidRDefault="00973C4E" w:rsidP="009D4914">
      <w:pPr>
        <w:pStyle w:val="Pardeliste"/>
        <w:numPr>
          <w:ilvl w:val="0"/>
          <w:numId w:val="4"/>
        </w:numPr>
        <w:spacing w:line="288" w:lineRule="auto"/>
        <w:jc w:val="both"/>
        <w:rPr>
          <w:rFonts w:asciiTheme="majorHAnsi" w:eastAsia="Verdana" w:hAnsiTheme="majorHAnsi" w:cs="Verdana"/>
        </w:rPr>
      </w:pPr>
      <w:r w:rsidRPr="00973C4E">
        <w:rPr>
          <w:rFonts w:asciiTheme="majorHAnsi" w:eastAsia="Verdana" w:hAnsiTheme="majorHAnsi" w:cs="Verdana"/>
        </w:rPr>
        <w:t>Applicants should also be updated periodically about the status of their application.</w:t>
      </w:r>
    </w:p>
    <w:p w14:paraId="0B74FB02" w14:textId="77777777" w:rsidR="00973C4E" w:rsidRPr="009D4914" w:rsidRDefault="00973C4E" w:rsidP="009D4914">
      <w:pPr>
        <w:spacing w:line="288" w:lineRule="auto"/>
        <w:ind w:firstLine="40"/>
        <w:jc w:val="both"/>
        <w:rPr>
          <w:rFonts w:asciiTheme="majorHAnsi" w:eastAsia="Verdana" w:hAnsiTheme="majorHAnsi" w:cs="Verdana"/>
          <w:sz w:val="15"/>
          <w:szCs w:val="15"/>
        </w:rPr>
      </w:pPr>
    </w:p>
    <w:p w14:paraId="21CE34F9" w14:textId="77777777" w:rsidR="00973C4E" w:rsidRDefault="00973C4E" w:rsidP="009D4914">
      <w:pPr>
        <w:pStyle w:val="Pardeliste"/>
        <w:numPr>
          <w:ilvl w:val="0"/>
          <w:numId w:val="4"/>
        </w:numPr>
        <w:spacing w:line="288" w:lineRule="auto"/>
        <w:jc w:val="both"/>
        <w:rPr>
          <w:rFonts w:asciiTheme="majorHAnsi" w:eastAsia="Verdana" w:hAnsiTheme="majorHAnsi" w:cs="Verdana"/>
        </w:rPr>
      </w:pPr>
      <w:r w:rsidRPr="00973C4E">
        <w:rPr>
          <w:rFonts w:asciiTheme="majorHAnsi" w:eastAsia="Verdana" w:hAnsiTheme="majorHAnsi" w:cs="Verdana"/>
        </w:rPr>
        <w:t>It is important that the CPE team include representatives from grassroots community organizations</w:t>
      </w:r>
    </w:p>
    <w:p w14:paraId="7ED3059A" w14:textId="77777777" w:rsidR="00973C4E" w:rsidRPr="009D4914" w:rsidRDefault="00973C4E" w:rsidP="009D4914">
      <w:pPr>
        <w:spacing w:line="288" w:lineRule="auto"/>
        <w:jc w:val="both"/>
        <w:rPr>
          <w:rFonts w:asciiTheme="majorHAnsi" w:eastAsia="Verdana" w:hAnsiTheme="majorHAnsi" w:cs="Verdana"/>
          <w:sz w:val="15"/>
          <w:szCs w:val="15"/>
        </w:rPr>
      </w:pPr>
      <w:r w:rsidRPr="009D4914">
        <w:rPr>
          <w:rFonts w:asciiTheme="majorHAnsi" w:eastAsia="Verdana" w:hAnsiTheme="majorHAnsi" w:cs="Verdana"/>
          <w:sz w:val="15"/>
          <w:szCs w:val="15"/>
        </w:rPr>
        <w:t xml:space="preserve"> </w:t>
      </w:r>
    </w:p>
    <w:p w14:paraId="008ADA4A" w14:textId="77777777" w:rsidR="002355AE" w:rsidRPr="00973C4E" w:rsidRDefault="00973C4E" w:rsidP="009D4914">
      <w:pPr>
        <w:spacing w:line="240" w:lineRule="auto"/>
        <w:jc w:val="both"/>
        <w:outlineLvl w:val="3"/>
        <w:rPr>
          <w:rFonts w:asciiTheme="majorHAnsi" w:eastAsia="Times New Roman" w:hAnsiTheme="majorHAnsi" w:cs="Times New Roman"/>
          <w:sz w:val="24"/>
          <w:szCs w:val="24"/>
          <w:lang w:val="en-US"/>
        </w:rPr>
      </w:pPr>
      <w:r w:rsidRPr="00973C4E">
        <w:rPr>
          <w:rFonts w:asciiTheme="majorHAnsi" w:eastAsia="Verdana" w:hAnsiTheme="majorHAnsi" w:cs="Verdana"/>
        </w:rPr>
        <w:t>Finally, we consider that the real issue is ensuring that members of the CPE have a full understanding of the types of communities bringing applications forward and are able to deal with them in a flexible way. Subjective interpretations and biased definitions applied on an ad hoc basis discriminate valid community applications.</w:t>
      </w:r>
    </w:p>
    <w:p w14:paraId="69E4E760" w14:textId="77777777" w:rsidR="002355AE" w:rsidRPr="002355AE" w:rsidRDefault="002355AE" w:rsidP="002355AE">
      <w:pPr>
        <w:jc w:val="both"/>
        <w:rPr>
          <w:rFonts w:asciiTheme="majorHAnsi" w:hAnsiTheme="majorHAnsi"/>
          <w:lang w:val="en-US"/>
        </w:rPr>
      </w:pPr>
    </w:p>
    <w:sectPr w:rsidR="002355AE" w:rsidRPr="002355AE" w:rsidSect="00817C4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16C27"/>
    <w:multiLevelType w:val="hybridMultilevel"/>
    <w:tmpl w:val="A84AC2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2334702"/>
    <w:multiLevelType w:val="hybridMultilevel"/>
    <w:tmpl w:val="939EB01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30B7088"/>
    <w:multiLevelType w:val="hybridMultilevel"/>
    <w:tmpl w:val="EA6AA732"/>
    <w:lvl w:ilvl="0" w:tplc="2DA21DAE">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1976E13"/>
    <w:multiLevelType w:val="hybridMultilevel"/>
    <w:tmpl w:val="226CD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5AE"/>
    <w:rsid w:val="002355AE"/>
    <w:rsid w:val="00340688"/>
    <w:rsid w:val="00734508"/>
    <w:rsid w:val="007E3B51"/>
    <w:rsid w:val="00817C40"/>
    <w:rsid w:val="008D5B0C"/>
    <w:rsid w:val="00973C4E"/>
    <w:rsid w:val="009D4914"/>
    <w:rsid w:val="00FA20B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2640587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355AE"/>
    <w:pPr>
      <w:spacing w:line="276" w:lineRule="auto"/>
    </w:pPr>
    <w:rPr>
      <w:rFonts w:ascii="Arial" w:eastAsia="Arial" w:hAnsi="Arial" w:cs="Arial"/>
      <w:sz w:val="22"/>
      <w:szCs w:val="22"/>
      <w:lang w:val="en" w:eastAsia="fr-FR"/>
    </w:rPr>
  </w:style>
  <w:style w:type="paragraph" w:styleId="Titre4">
    <w:name w:val="heading 4"/>
    <w:basedOn w:val="Normal"/>
    <w:link w:val="Titre4Car"/>
    <w:uiPriority w:val="9"/>
    <w:qFormat/>
    <w:rsid w:val="002355AE"/>
    <w:pPr>
      <w:spacing w:before="100" w:beforeAutospacing="1" w:after="100" w:afterAutospacing="1" w:line="240" w:lineRule="auto"/>
      <w:outlineLvl w:val="3"/>
    </w:pPr>
    <w:rPr>
      <w:rFonts w:ascii="Times New Roman" w:eastAsiaTheme="minorHAnsi" w:hAnsi="Times New Roman" w:cs="Times New Roman"/>
      <w:b/>
      <w:bCs/>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2355AE"/>
    <w:pPr>
      <w:ind w:left="720"/>
      <w:contextualSpacing/>
    </w:pPr>
  </w:style>
  <w:style w:type="paragraph" w:styleId="Normalweb">
    <w:name w:val="Normal (Web)"/>
    <w:basedOn w:val="Normal"/>
    <w:uiPriority w:val="99"/>
    <w:semiHidden/>
    <w:unhideWhenUsed/>
    <w:rsid w:val="002355AE"/>
    <w:pPr>
      <w:spacing w:before="100" w:beforeAutospacing="1" w:after="100" w:afterAutospacing="1" w:line="240" w:lineRule="auto"/>
    </w:pPr>
    <w:rPr>
      <w:rFonts w:ascii="Times New Roman" w:eastAsiaTheme="minorHAnsi" w:hAnsi="Times New Roman" w:cs="Times New Roman"/>
      <w:sz w:val="24"/>
      <w:szCs w:val="24"/>
      <w:lang w:val="fr-FR"/>
    </w:rPr>
  </w:style>
  <w:style w:type="character" w:customStyle="1" w:styleId="Titre4Car">
    <w:name w:val="Titre 4 Car"/>
    <w:basedOn w:val="Policepardfaut"/>
    <w:link w:val="Titre4"/>
    <w:uiPriority w:val="9"/>
    <w:rsid w:val="002355AE"/>
    <w:rPr>
      <w:rFonts w:ascii="Times New Roman" w:hAnsi="Times New Roman" w:cs="Times New Roman"/>
      <w:b/>
      <w:bCs/>
      <w:lang w:eastAsia="fr-FR"/>
    </w:rPr>
  </w:style>
  <w:style w:type="paragraph" w:styleId="Textedebulles">
    <w:name w:val="Balloon Text"/>
    <w:basedOn w:val="Normal"/>
    <w:link w:val="TextedebullesCar"/>
    <w:uiPriority w:val="99"/>
    <w:semiHidden/>
    <w:unhideWhenUsed/>
    <w:rsid w:val="00973C4E"/>
    <w:pPr>
      <w:spacing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973C4E"/>
    <w:rPr>
      <w:rFonts w:ascii="Times New Roman" w:eastAsia="Arial" w:hAnsi="Times New Roman" w:cs="Times New Roman"/>
      <w:sz w:val="18"/>
      <w:szCs w:val="18"/>
      <w:lang w:val="en"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04109">
      <w:bodyDiv w:val="1"/>
      <w:marLeft w:val="0"/>
      <w:marRight w:val="0"/>
      <w:marTop w:val="0"/>
      <w:marBottom w:val="0"/>
      <w:divBdr>
        <w:top w:val="none" w:sz="0" w:space="0" w:color="auto"/>
        <w:left w:val="none" w:sz="0" w:space="0" w:color="auto"/>
        <w:bottom w:val="none" w:sz="0" w:space="0" w:color="auto"/>
        <w:right w:val="none" w:sz="0" w:space="0" w:color="auto"/>
      </w:divBdr>
    </w:div>
    <w:div w:id="1919050591">
      <w:bodyDiv w:val="1"/>
      <w:marLeft w:val="0"/>
      <w:marRight w:val="0"/>
      <w:marTop w:val="0"/>
      <w:marBottom w:val="0"/>
      <w:divBdr>
        <w:top w:val="none" w:sz="0" w:space="0" w:color="auto"/>
        <w:left w:val="none" w:sz="0" w:space="0" w:color="auto"/>
        <w:bottom w:val="none" w:sz="0" w:space="0" w:color="auto"/>
        <w:right w:val="none" w:sz="0" w:space="0" w:color="auto"/>
      </w:divBdr>
    </w:div>
    <w:div w:id="20454052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661</Words>
  <Characters>3640</Characters>
  <Application>Microsoft Macintosh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7</cp:revision>
  <dcterms:created xsi:type="dcterms:W3CDTF">2018-09-28T06:55:00Z</dcterms:created>
  <dcterms:modified xsi:type="dcterms:W3CDTF">2018-10-02T06:49:00Z</dcterms:modified>
</cp:coreProperties>
</file>