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186" w14:textId="77777777" w:rsidR="000F1397" w:rsidRPr="00542BDA" w:rsidRDefault="00542BDA" w:rsidP="000F1397">
      <w:pPr>
        <w:rPr>
          <w:sz w:val="20"/>
          <w:szCs w:val="20"/>
        </w:rPr>
      </w:pPr>
      <w:bookmarkStart w:id="0" w:name="_GoBack"/>
      <w:bookmarkEnd w:id="0"/>
      <w:r w:rsidRPr="00542BDA">
        <w:rPr>
          <w:sz w:val="20"/>
          <w:szCs w:val="20"/>
        </w:rPr>
        <w:t>GDPR related Topic Proposals for ICANN 63 Barcelona</w:t>
      </w:r>
    </w:p>
    <w:tbl>
      <w:tblPr>
        <w:tblStyle w:val="TableGrid"/>
        <w:tblW w:w="0" w:type="auto"/>
        <w:tblLook w:val="04A0" w:firstRow="1" w:lastRow="0" w:firstColumn="1" w:lastColumn="0" w:noHBand="0" w:noVBand="1"/>
      </w:tblPr>
      <w:tblGrid>
        <w:gridCol w:w="445"/>
        <w:gridCol w:w="3150"/>
        <w:gridCol w:w="5040"/>
        <w:gridCol w:w="4315"/>
      </w:tblGrid>
      <w:tr w:rsidR="00240F58" w:rsidRPr="008D6AC4" w14:paraId="2CDA0717" w14:textId="77777777" w:rsidTr="0052352E">
        <w:tc>
          <w:tcPr>
            <w:tcW w:w="445" w:type="dxa"/>
          </w:tcPr>
          <w:p w14:paraId="35FCABEE" w14:textId="77777777" w:rsidR="00240F58" w:rsidRPr="008D6AC4" w:rsidRDefault="00240F58" w:rsidP="000F1397">
            <w:pPr>
              <w:rPr>
                <w:b/>
                <w:sz w:val="20"/>
                <w:szCs w:val="20"/>
              </w:rPr>
            </w:pPr>
          </w:p>
        </w:tc>
        <w:tc>
          <w:tcPr>
            <w:tcW w:w="3150" w:type="dxa"/>
          </w:tcPr>
          <w:p w14:paraId="395C92AB" w14:textId="77777777" w:rsidR="00240F58" w:rsidRPr="008D6AC4" w:rsidRDefault="00240F58" w:rsidP="000F1397">
            <w:pPr>
              <w:rPr>
                <w:b/>
                <w:sz w:val="20"/>
                <w:szCs w:val="20"/>
              </w:rPr>
            </w:pPr>
            <w:r w:rsidRPr="008D6AC4">
              <w:rPr>
                <w:b/>
                <w:sz w:val="20"/>
                <w:szCs w:val="20"/>
              </w:rPr>
              <w:t>Topic Proposal</w:t>
            </w:r>
          </w:p>
        </w:tc>
        <w:tc>
          <w:tcPr>
            <w:tcW w:w="5040" w:type="dxa"/>
          </w:tcPr>
          <w:p w14:paraId="2F736F5B" w14:textId="77777777" w:rsidR="00240F58" w:rsidRPr="008D6AC4" w:rsidRDefault="00240F58" w:rsidP="000F1397">
            <w:pPr>
              <w:rPr>
                <w:b/>
                <w:sz w:val="20"/>
                <w:szCs w:val="20"/>
              </w:rPr>
            </w:pPr>
            <w:r w:rsidRPr="008D6AC4">
              <w:rPr>
                <w:b/>
                <w:sz w:val="20"/>
                <w:szCs w:val="20"/>
              </w:rPr>
              <w:t>Goals and Expected Outcomes</w:t>
            </w:r>
          </w:p>
        </w:tc>
        <w:tc>
          <w:tcPr>
            <w:tcW w:w="4315" w:type="dxa"/>
          </w:tcPr>
          <w:p w14:paraId="7A83C99A" w14:textId="77777777" w:rsidR="00240F58" w:rsidRPr="008D6AC4" w:rsidRDefault="008D6AC4" w:rsidP="000F1397">
            <w:pPr>
              <w:rPr>
                <w:b/>
                <w:sz w:val="20"/>
                <w:szCs w:val="20"/>
              </w:rPr>
            </w:pPr>
            <w:r>
              <w:rPr>
                <w:b/>
                <w:sz w:val="20"/>
                <w:szCs w:val="20"/>
              </w:rPr>
              <w:t xml:space="preserve">Possible </w:t>
            </w:r>
            <w:r w:rsidR="00542BDA" w:rsidRPr="008D6AC4">
              <w:rPr>
                <w:b/>
                <w:sz w:val="20"/>
                <w:szCs w:val="20"/>
              </w:rPr>
              <w:t>Option</w:t>
            </w:r>
          </w:p>
        </w:tc>
      </w:tr>
      <w:tr w:rsidR="00292330" w:rsidRPr="00542BDA" w14:paraId="6F6D9468" w14:textId="77777777" w:rsidTr="0052352E">
        <w:tc>
          <w:tcPr>
            <w:tcW w:w="445" w:type="dxa"/>
          </w:tcPr>
          <w:p w14:paraId="434ED7CB" w14:textId="77777777" w:rsidR="00292330" w:rsidRPr="00542BDA" w:rsidRDefault="00292330" w:rsidP="000F1397">
            <w:pPr>
              <w:rPr>
                <w:sz w:val="20"/>
                <w:szCs w:val="20"/>
              </w:rPr>
            </w:pPr>
            <w:r w:rsidRPr="00542BDA">
              <w:rPr>
                <w:sz w:val="20"/>
                <w:szCs w:val="20"/>
              </w:rPr>
              <w:t>1</w:t>
            </w:r>
          </w:p>
        </w:tc>
        <w:tc>
          <w:tcPr>
            <w:tcW w:w="3150" w:type="dxa"/>
          </w:tcPr>
          <w:p w14:paraId="42B969CD" w14:textId="77777777" w:rsidR="00292330" w:rsidRPr="00542BDA" w:rsidRDefault="00292330" w:rsidP="000F1397">
            <w:pPr>
              <w:rPr>
                <w:sz w:val="20"/>
                <w:szCs w:val="20"/>
              </w:rPr>
            </w:pPr>
            <w:r w:rsidRPr="00542BDA">
              <w:rPr>
                <w:sz w:val="20"/>
                <w:szCs w:val="20"/>
              </w:rPr>
              <w:t>Accountable and Privacy Minded WHOIS Data Users</w:t>
            </w:r>
          </w:p>
        </w:tc>
        <w:tc>
          <w:tcPr>
            <w:tcW w:w="5040" w:type="dxa"/>
          </w:tcPr>
          <w:p w14:paraId="5E1CBC41" w14:textId="77777777" w:rsidR="00292330" w:rsidRPr="00542BDA" w:rsidRDefault="00292330" w:rsidP="000F1397">
            <w:pPr>
              <w:rPr>
                <w:sz w:val="20"/>
                <w:szCs w:val="20"/>
              </w:rPr>
            </w:pPr>
            <w:r w:rsidRPr="00542BDA">
              <w:rPr>
                <w:sz w:val="20"/>
                <w:szCs w:val="20"/>
              </w:rPr>
              <w:t>This session aims to help with solution to the complex problem of privacy and WHOIS by discussing why privacy in WHOIS matters and how the interested parties can be privacy-minded while serving their legitimate interest.</w:t>
            </w:r>
          </w:p>
        </w:tc>
        <w:tc>
          <w:tcPr>
            <w:tcW w:w="4315" w:type="dxa"/>
            <w:vMerge w:val="restart"/>
          </w:tcPr>
          <w:p w14:paraId="0F6F0134" w14:textId="77777777" w:rsidR="00292330" w:rsidRPr="00542BDA" w:rsidRDefault="00292330" w:rsidP="000F1397">
            <w:pPr>
              <w:rPr>
                <w:sz w:val="20"/>
                <w:szCs w:val="20"/>
              </w:rPr>
            </w:pPr>
            <w:r w:rsidRPr="00542BDA">
              <w:rPr>
                <w:sz w:val="20"/>
                <w:szCs w:val="20"/>
              </w:rPr>
              <w:t xml:space="preserve">I believe sessions </w:t>
            </w:r>
            <w:r w:rsidR="008D6AC4">
              <w:rPr>
                <w:sz w:val="20"/>
                <w:szCs w:val="20"/>
              </w:rPr>
              <w:t>1, 2, 8, 9 and 13 could</w:t>
            </w:r>
            <w:r w:rsidRPr="00542BDA">
              <w:rPr>
                <w:sz w:val="20"/>
                <w:szCs w:val="20"/>
              </w:rPr>
              <w:t xml:space="preserve"> be rationalized </w:t>
            </w:r>
            <w:r w:rsidR="0052352E" w:rsidRPr="00542BDA">
              <w:rPr>
                <w:sz w:val="20"/>
                <w:szCs w:val="20"/>
              </w:rPr>
              <w:t>into one</w:t>
            </w:r>
            <w:r w:rsidRPr="00542BDA">
              <w:rPr>
                <w:sz w:val="20"/>
                <w:szCs w:val="20"/>
              </w:rPr>
              <w:t xml:space="preserve"> </w:t>
            </w:r>
            <w:r w:rsidR="0052352E" w:rsidRPr="00542BDA">
              <w:rPr>
                <w:sz w:val="20"/>
                <w:szCs w:val="20"/>
              </w:rPr>
              <w:t xml:space="preserve">2 hour session </w:t>
            </w:r>
            <w:r w:rsidRPr="00542BDA">
              <w:rPr>
                <w:sz w:val="20"/>
                <w:szCs w:val="20"/>
              </w:rPr>
              <w:t>as they are all related</w:t>
            </w:r>
            <w:r w:rsidR="00542BDA" w:rsidRPr="00542BDA">
              <w:rPr>
                <w:sz w:val="20"/>
                <w:szCs w:val="20"/>
              </w:rPr>
              <w:t xml:space="preserve"> or overlap</w:t>
            </w:r>
            <w:r w:rsidRPr="00542BDA">
              <w:rPr>
                <w:sz w:val="20"/>
                <w:szCs w:val="20"/>
              </w:rPr>
              <w:t xml:space="preserve"> in some way.</w:t>
            </w:r>
          </w:p>
          <w:p w14:paraId="308DD779" w14:textId="77777777" w:rsidR="00542BDA" w:rsidRPr="00542BDA" w:rsidRDefault="00542BDA" w:rsidP="000F1397">
            <w:pPr>
              <w:rPr>
                <w:sz w:val="20"/>
                <w:szCs w:val="20"/>
              </w:rPr>
            </w:pPr>
          </w:p>
          <w:p w14:paraId="4C8FFD8B" w14:textId="77777777" w:rsidR="00542BDA" w:rsidRPr="00542BDA" w:rsidRDefault="00C8617B" w:rsidP="000F1397">
            <w:pPr>
              <w:rPr>
                <w:sz w:val="20"/>
                <w:szCs w:val="20"/>
              </w:rPr>
            </w:pPr>
            <w:r>
              <w:rPr>
                <w:sz w:val="20"/>
                <w:szCs w:val="20"/>
              </w:rPr>
              <w:t>I think t</w:t>
            </w:r>
            <w:r w:rsidR="00542BDA" w:rsidRPr="00542BDA">
              <w:rPr>
                <w:sz w:val="20"/>
                <w:szCs w:val="20"/>
              </w:rPr>
              <w:t xml:space="preserve">he session would </w:t>
            </w:r>
            <w:r>
              <w:rPr>
                <w:sz w:val="20"/>
                <w:szCs w:val="20"/>
              </w:rPr>
              <w:t>benefit from some innovative way of hosting that would be interactive, thoughtful and informative</w:t>
            </w:r>
            <w:r w:rsidR="00542BDA" w:rsidRPr="00542BDA">
              <w:rPr>
                <w:sz w:val="20"/>
                <w:szCs w:val="20"/>
              </w:rPr>
              <w:t>. The idea of a Panel and Greek Chorus as suggested for the Session Format for Session 2 could be interesting</w:t>
            </w:r>
            <w:r w:rsidR="00BE259F">
              <w:rPr>
                <w:sz w:val="20"/>
                <w:szCs w:val="20"/>
              </w:rPr>
              <w:t xml:space="preserve"> or perhaps using a </w:t>
            </w:r>
            <w:proofErr w:type="gramStart"/>
            <w:r w:rsidR="00BE259F">
              <w:rPr>
                <w:sz w:val="20"/>
                <w:szCs w:val="20"/>
              </w:rPr>
              <w:t>facilitator.</w:t>
            </w:r>
            <w:r w:rsidR="00542BDA" w:rsidRPr="00542BDA">
              <w:rPr>
                <w:sz w:val="20"/>
                <w:szCs w:val="20"/>
              </w:rPr>
              <w:t>.</w:t>
            </w:r>
            <w:proofErr w:type="gramEnd"/>
          </w:p>
          <w:p w14:paraId="4AFEAD5D" w14:textId="77777777" w:rsidR="00292330" w:rsidRPr="00542BDA" w:rsidRDefault="00292330" w:rsidP="000F1397">
            <w:pPr>
              <w:rPr>
                <w:sz w:val="20"/>
                <w:szCs w:val="20"/>
              </w:rPr>
            </w:pPr>
          </w:p>
          <w:p w14:paraId="274DA9E5" w14:textId="77777777" w:rsidR="00292330" w:rsidRPr="00542BDA" w:rsidRDefault="00C8617B" w:rsidP="000F1397">
            <w:pPr>
              <w:rPr>
                <w:sz w:val="20"/>
                <w:szCs w:val="20"/>
              </w:rPr>
            </w:pPr>
            <w:r w:rsidRPr="00C8617B">
              <w:rPr>
                <w:i/>
                <w:sz w:val="20"/>
                <w:szCs w:val="20"/>
              </w:rPr>
              <w:t>Session could</w:t>
            </w:r>
            <w:r w:rsidR="00292330" w:rsidRPr="00C8617B">
              <w:rPr>
                <w:i/>
                <w:sz w:val="20"/>
                <w:szCs w:val="20"/>
              </w:rPr>
              <w:t xml:space="preserve"> cover</w:t>
            </w:r>
            <w:r w:rsidR="00292330" w:rsidRPr="00542BDA">
              <w:rPr>
                <w:sz w:val="20"/>
                <w:szCs w:val="20"/>
              </w:rPr>
              <w:t>:</w:t>
            </w:r>
          </w:p>
          <w:p w14:paraId="697B7940" w14:textId="77777777" w:rsidR="00292330" w:rsidRPr="00542BDA" w:rsidRDefault="00292330" w:rsidP="000F1397">
            <w:pPr>
              <w:rPr>
                <w:sz w:val="20"/>
                <w:szCs w:val="20"/>
              </w:rPr>
            </w:pPr>
          </w:p>
          <w:p w14:paraId="40E77BE5" w14:textId="77777777" w:rsidR="00292330" w:rsidRPr="00542BDA" w:rsidRDefault="00292330" w:rsidP="000F1397">
            <w:pPr>
              <w:rPr>
                <w:sz w:val="20"/>
                <w:szCs w:val="20"/>
              </w:rPr>
            </w:pPr>
            <w:r w:rsidRPr="00542BDA">
              <w:rPr>
                <w:sz w:val="20"/>
                <w:szCs w:val="20"/>
              </w:rPr>
              <w:t>Why privacy in WHOIS matters.</w:t>
            </w:r>
          </w:p>
          <w:p w14:paraId="0B88CC66" w14:textId="77777777" w:rsidR="00D36F33" w:rsidRPr="00542BDA" w:rsidRDefault="00D36F33" w:rsidP="000F1397">
            <w:pPr>
              <w:rPr>
                <w:sz w:val="20"/>
                <w:szCs w:val="20"/>
              </w:rPr>
            </w:pPr>
          </w:p>
          <w:p w14:paraId="1A160E1E" w14:textId="77777777" w:rsidR="00D36F33" w:rsidRPr="00542BDA" w:rsidRDefault="00D36F33" w:rsidP="000F1397">
            <w:pPr>
              <w:rPr>
                <w:sz w:val="20"/>
                <w:szCs w:val="20"/>
              </w:rPr>
            </w:pPr>
            <w:r w:rsidRPr="00542BDA">
              <w:rPr>
                <w:sz w:val="20"/>
                <w:szCs w:val="20"/>
              </w:rPr>
              <w:t>The different perspectives about the impact of GDPR on the availability of WHOIS data.</w:t>
            </w:r>
          </w:p>
          <w:p w14:paraId="5B285D0E" w14:textId="77777777" w:rsidR="00D36F33" w:rsidRPr="00542BDA" w:rsidRDefault="00D36F33" w:rsidP="00D36F33">
            <w:pPr>
              <w:rPr>
                <w:sz w:val="20"/>
                <w:szCs w:val="20"/>
              </w:rPr>
            </w:pPr>
          </w:p>
          <w:p w14:paraId="3686B8DB" w14:textId="77777777" w:rsidR="00D36F33" w:rsidRPr="00542BDA" w:rsidRDefault="00D36F33" w:rsidP="00D36F33">
            <w:pPr>
              <w:rPr>
                <w:sz w:val="20"/>
                <w:szCs w:val="20"/>
              </w:rPr>
            </w:pPr>
            <w:r w:rsidRPr="00542BDA">
              <w:rPr>
                <w:sz w:val="20"/>
                <w:szCs w:val="20"/>
              </w:rPr>
              <w:t>How effective has the Temporary Specification been to date in being responsive to GDPR?</w:t>
            </w:r>
          </w:p>
          <w:p w14:paraId="696E6A12" w14:textId="77777777" w:rsidR="00D36F33" w:rsidRPr="00542BDA" w:rsidRDefault="00D36F33" w:rsidP="000F1397">
            <w:pPr>
              <w:rPr>
                <w:sz w:val="20"/>
                <w:szCs w:val="20"/>
              </w:rPr>
            </w:pPr>
          </w:p>
          <w:p w14:paraId="4BE81D70" w14:textId="77777777" w:rsidR="0052352E" w:rsidRPr="00542BDA" w:rsidRDefault="0052352E" w:rsidP="000F1397">
            <w:pPr>
              <w:rPr>
                <w:sz w:val="20"/>
                <w:szCs w:val="20"/>
              </w:rPr>
            </w:pPr>
            <w:r w:rsidRPr="00542BDA">
              <w:rPr>
                <w:sz w:val="20"/>
                <w:szCs w:val="20"/>
              </w:rPr>
              <w:t>What are the public interest implications of the GDPR and the Temporary Specification?</w:t>
            </w:r>
          </w:p>
          <w:p w14:paraId="22BE36EB" w14:textId="77777777" w:rsidR="0052352E" w:rsidRPr="00542BDA" w:rsidRDefault="0052352E" w:rsidP="000F1397">
            <w:pPr>
              <w:rPr>
                <w:sz w:val="20"/>
                <w:szCs w:val="20"/>
              </w:rPr>
            </w:pPr>
          </w:p>
          <w:p w14:paraId="764D980E" w14:textId="77777777" w:rsidR="0052352E" w:rsidRPr="00542BDA" w:rsidRDefault="0052352E" w:rsidP="0052352E">
            <w:pPr>
              <w:rPr>
                <w:sz w:val="20"/>
                <w:szCs w:val="20"/>
              </w:rPr>
            </w:pPr>
            <w:r w:rsidRPr="00542BDA">
              <w:rPr>
                <w:sz w:val="20"/>
                <w:szCs w:val="20"/>
              </w:rPr>
              <w:t>Discussion of potential accreditation and access models.</w:t>
            </w:r>
          </w:p>
          <w:p w14:paraId="19CF4441" w14:textId="77777777" w:rsidR="0052352E" w:rsidRPr="00542BDA" w:rsidRDefault="0052352E" w:rsidP="0052352E">
            <w:pPr>
              <w:rPr>
                <w:sz w:val="20"/>
                <w:szCs w:val="20"/>
              </w:rPr>
            </w:pPr>
          </w:p>
          <w:p w14:paraId="3F7A2C22" w14:textId="77777777" w:rsidR="0052352E" w:rsidRPr="00542BDA" w:rsidRDefault="0052352E" w:rsidP="0052352E">
            <w:pPr>
              <w:rPr>
                <w:sz w:val="20"/>
                <w:szCs w:val="20"/>
              </w:rPr>
            </w:pPr>
            <w:r w:rsidRPr="00542BDA">
              <w:rPr>
                <w:sz w:val="20"/>
                <w:szCs w:val="20"/>
              </w:rPr>
              <w:t>What role does the RDAP protocol play in providing access to domain registration data?</w:t>
            </w:r>
          </w:p>
          <w:p w14:paraId="4CFBE8DF" w14:textId="77777777" w:rsidR="00D36F33" w:rsidRPr="00542BDA" w:rsidRDefault="00D36F33" w:rsidP="000F1397">
            <w:pPr>
              <w:rPr>
                <w:sz w:val="20"/>
                <w:szCs w:val="20"/>
              </w:rPr>
            </w:pPr>
          </w:p>
          <w:p w14:paraId="772188A7" w14:textId="77777777" w:rsidR="00542BDA" w:rsidRPr="00542BDA" w:rsidRDefault="00542BDA" w:rsidP="000F1397">
            <w:pPr>
              <w:rPr>
                <w:sz w:val="20"/>
                <w:szCs w:val="20"/>
              </w:rPr>
            </w:pPr>
            <w:r w:rsidRPr="00542BDA">
              <w:rPr>
                <w:sz w:val="20"/>
                <w:szCs w:val="20"/>
              </w:rPr>
              <w:t>Possible Panel Participants</w:t>
            </w:r>
            <w:r>
              <w:rPr>
                <w:sz w:val="20"/>
                <w:szCs w:val="20"/>
              </w:rPr>
              <w:t>, but not limited to</w:t>
            </w:r>
            <w:r w:rsidRPr="00542BDA">
              <w:rPr>
                <w:sz w:val="20"/>
                <w:szCs w:val="20"/>
              </w:rPr>
              <w:t>:</w:t>
            </w:r>
          </w:p>
          <w:p w14:paraId="5C84601C" w14:textId="77777777" w:rsidR="00D36F33" w:rsidRPr="00542BDA" w:rsidRDefault="00D36F33" w:rsidP="00D36F33">
            <w:pPr>
              <w:pStyle w:val="ListParagraph"/>
              <w:numPr>
                <w:ilvl w:val="0"/>
                <w:numId w:val="3"/>
              </w:numPr>
              <w:rPr>
                <w:sz w:val="20"/>
                <w:szCs w:val="20"/>
              </w:rPr>
            </w:pPr>
            <w:r w:rsidRPr="00542BDA">
              <w:rPr>
                <w:sz w:val="20"/>
                <w:szCs w:val="20"/>
              </w:rPr>
              <w:t>Registrants</w:t>
            </w:r>
          </w:p>
          <w:p w14:paraId="5D67EC4F" w14:textId="77777777" w:rsidR="00D36F33" w:rsidRPr="00542BDA" w:rsidRDefault="00D36F33" w:rsidP="00D36F33">
            <w:pPr>
              <w:pStyle w:val="ListParagraph"/>
              <w:numPr>
                <w:ilvl w:val="0"/>
                <w:numId w:val="3"/>
              </w:numPr>
              <w:rPr>
                <w:sz w:val="20"/>
                <w:szCs w:val="20"/>
              </w:rPr>
            </w:pPr>
            <w:r w:rsidRPr="00542BDA">
              <w:rPr>
                <w:sz w:val="20"/>
                <w:szCs w:val="20"/>
              </w:rPr>
              <w:t>Registries</w:t>
            </w:r>
          </w:p>
          <w:p w14:paraId="76E1803E" w14:textId="77777777" w:rsidR="00D36F33" w:rsidRPr="00542BDA" w:rsidRDefault="00D36F33" w:rsidP="00D36F33">
            <w:pPr>
              <w:pStyle w:val="ListParagraph"/>
              <w:numPr>
                <w:ilvl w:val="0"/>
                <w:numId w:val="3"/>
              </w:numPr>
              <w:rPr>
                <w:sz w:val="20"/>
                <w:szCs w:val="20"/>
              </w:rPr>
            </w:pPr>
            <w:r w:rsidRPr="00542BDA">
              <w:rPr>
                <w:sz w:val="20"/>
                <w:szCs w:val="20"/>
              </w:rPr>
              <w:t>Registrars</w:t>
            </w:r>
          </w:p>
          <w:p w14:paraId="4401B9CB" w14:textId="77777777" w:rsidR="00D36F33" w:rsidRPr="00542BDA" w:rsidRDefault="00D36F33" w:rsidP="00D36F33">
            <w:pPr>
              <w:pStyle w:val="ListParagraph"/>
              <w:numPr>
                <w:ilvl w:val="0"/>
                <w:numId w:val="3"/>
              </w:numPr>
              <w:rPr>
                <w:sz w:val="20"/>
                <w:szCs w:val="20"/>
              </w:rPr>
            </w:pPr>
            <w:r w:rsidRPr="00542BDA">
              <w:rPr>
                <w:sz w:val="20"/>
                <w:szCs w:val="20"/>
              </w:rPr>
              <w:t>Law Enforcement</w:t>
            </w:r>
          </w:p>
          <w:p w14:paraId="1141708C" w14:textId="77777777" w:rsidR="00D36F33" w:rsidRPr="00542BDA" w:rsidRDefault="00D36F33" w:rsidP="00D36F33">
            <w:pPr>
              <w:pStyle w:val="ListParagraph"/>
              <w:numPr>
                <w:ilvl w:val="0"/>
                <w:numId w:val="3"/>
              </w:numPr>
              <w:rPr>
                <w:sz w:val="20"/>
                <w:szCs w:val="20"/>
              </w:rPr>
            </w:pPr>
            <w:r w:rsidRPr="00542BDA">
              <w:rPr>
                <w:sz w:val="20"/>
                <w:szCs w:val="20"/>
              </w:rPr>
              <w:t>Intellectual Property</w:t>
            </w:r>
          </w:p>
          <w:p w14:paraId="16876F7F" w14:textId="77777777" w:rsidR="00D36F33" w:rsidRPr="00542BDA" w:rsidRDefault="00D36F33" w:rsidP="00D36F33">
            <w:pPr>
              <w:pStyle w:val="ListParagraph"/>
              <w:numPr>
                <w:ilvl w:val="0"/>
                <w:numId w:val="3"/>
              </w:numPr>
              <w:rPr>
                <w:sz w:val="20"/>
                <w:szCs w:val="20"/>
              </w:rPr>
            </w:pPr>
            <w:r w:rsidRPr="00542BDA">
              <w:rPr>
                <w:sz w:val="20"/>
                <w:szCs w:val="20"/>
              </w:rPr>
              <w:t>Cybersecurity Experts</w:t>
            </w:r>
          </w:p>
          <w:p w14:paraId="64CD1D4C" w14:textId="77777777" w:rsidR="00542BDA" w:rsidRPr="00542BDA" w:rsidRDefault="00542BDA" w:rsidP="00D36F33">
            <w:pPr>
              <w:pStyle w:val="ListParagraph"/>
              <w:numPr>
                <w:ilvl w:val="0"/>
                <w:numId w:val="3"/>
              </w:numPr>
              <w:rPr>
                <w:sz w:val="20"/>
                <w:szCs w:val="20"/>
              </w:rPr>
            </w:pPr>
            <w:r w:rsidRPr="00542BDA">
              <w:rPr>
                <w:sz w:val="20"/>
                <w:szCs w:val="20"/>
              </w:rPr>
              <w:t>Civil Society</w:t>
            </w:r>
          </w:p>
          <w:p w14:paraId="2BE9D55C" w14:textId="77777777" w:rsidR="00542BDA" w:rsidRPr="00542BDA" w:rsidRDefault="00542BDA" w:rsidP="00D36F33">
            <w:pPr>
              <w:pStyle w:val="ListParagraph"/>
              <w:numPr>
                <w:ilvl w:val="0"/>
                <w:numId w:val="3"/>
              </w:numPr>
              <w:rPr>
                <w:sz w:val="20"/>
                <w:szCs w:val="20"/>
              </w:rPr>
            </w:pPr>
            <w:r w:rsidRPr="00542BDA">
              <w:rPr>
                <w:sz w:val="20"/>
                <w:szCs w:val="20"/>
              </w:rPr>
              <w:t>Data Protection Representative</w:t>
            </w:r>
          </w:p>
          <w:p w14:paraId="44AB01B7" w14:textId="77777777" w:rsidR="00D36F33" w:rsidRPr="00542BDA" w:rsidRDefault="00D36F33" w:rsidP="000F1397">
            <w:pPr>
              <w:rPr>
                <w:sz w:val="20"/>
                <w:szCs w:val="20"/>
              </w:rPr>
            </w:pPr>
          </w:p>
        </w:tc>
      </w:tr>
      <w:tr w:rsidR="00292330" w:rsidRPr="00542BDA" w14:paraId="195C6D7C" w14:textId="77777777" w:rsidTr="0052352E">
        <w:tc>
          <w:tcPr>
            <w:tcW w:w="445" w:type="dxa"/>
          </w:tcPr>
          <w:p w14:paraId="59E34C32" w14:textId="77777777" w:rsidR="00292330" w:rsidRPr="00542BDA" w:rsidRDefault="00292330" w:rsidP="000F1397">
            <w:pPr>
              <w:rPr>
                <w:sz w:val="20"/>
                <w:szCs w:val="20"/>
              </w:rPr>
            </w:pPr>
            <w:r w:rsidRPr="00542BDA">
              <w:rPr>
                <w:sz w:val="20"/>
                <w:szCs w:val="20"/>
              </w:rPr>
              <w:t>2</w:t>
            </w:r>
          </w:p>
        </w:tc>
        <w:tc>
          <w:tcPr>
            <w:tcW w:w="3150" w:type="dxa"/>
          </w:tcPr>
          <w:p w14:paraId="7FEF0216" w14:textId="77777777" w:rsidR="00292330" w:rsidRPr="00542BDA" w:rsidRDefault="00292330" w:rsidP="000F1397">
            <w:pPr>
              <w:rPr>
                <w:sz w:val="20"/>
                <w:szCs w:val="20"/>
              </w:rPr>
            </w:pPr>
            <w:r w:rsidRPr="00542BDA">
              <w:rPr>
                <w:sz w:val="20"/>
                <w:szCs w:val="20"/>
              </w:rPr>
              <w:t>Accreditation and Performance Standards Required for Disclosure of Personal Registration Information to Third Parties</w:t>
            </w:r>
          </w:p>
        </w:tc>
        <w:tc>
          <w:tcPr>
            <w:tcW w:w="5040" w:type="dxa"/>
          </w:tcPr>
          <w:p w14:paraId="0F3003BA" w14:textId="77777777" w:rsidR="00292330" w:rsidRPr="00542BDA" w:rsidRDefault="00292330" w:rsidP="000F1397">
            <w:pPr>
              <w:rPr>
                <w:sz w:val="20"/>
                <w:szCs w:val="20"/>
              </w:rPr>
            </w:pPr>
            <w:r w:rsidRPr="00542BDA">
              <w:rPr>
                <w:sz w:val="20"/>
                <w:szCs w:val="20"/>
              </w:rPr>
              <w:t>Achieving more legal and policy clarity regarding accreditation and performance standards required for disclosure of personal information of domain name registrants to the third parties.</w:t>
            </w:r>
          </w:p>
        </w:tc>
        <w:tc>
          <w:tcPr>
            <w:tcW w:w="4315" w:type="dxa"/>
            <w:vMerge/>
          </w:tcPr>
          <w:p w14:paraId="400BA241" w14:textId="77777777" w:rsidR="00292330" w:rsidRPr="00542BDA" w:rsidRDefault="00292330" w:rsidP="000F1397">
            <w:pPr>
              <w:rPr>
                <w:sz w:val="20"/>
                <w:szCs w:val="20"/>
              </w:rPr>
            </w:pPr>
          </w:p>
        </w:tc>
      </w:tr>
      <w:tr w:rsidR="00292330" w:rsidRPr="00542BDA" w14:paraId="4EEE535A" w14:textId="77777777" w:rsidTr="0052352E">
        <w:tc>
          <w:tcPr>
            <w:tcW w:w="445" w:type="dxa"/>
          </w:tcPr>
          <w:p w14:paraId="09E0E7AC" w14:textId="77777777" w:rsidR="00292330" w:rsidRPr="00542BDA" w:rsidRDefault="00292330" w:rsidP="000F1397">
            <w:pPr>
              <w:rPr>
                <w:sz w:val="20"/>
                <w:szCs w:val="20"/>
              </w:rPr>
            </w:pPr>
            <w:r w:rsidRPr="00542BDA">
              <w:rPr>
                <w:sz w:val="20"/>
                <w:szCs w:val="20"/>
              </w:rPr>
              <w:t>8</w:t>
            </w:r>
          </w:p>
        </w:tc>
        <w:tc>
          <w:tcPr>
            <w:tcW w:w="3150" w:type="dxa"/>
          </w:tcPr>
          <w:p w14:paraId="142458C0" w14:textId="77777777" w:rsidR="00292330" w:rsidRPr="00542BDA" w:rsidRDefault="00292330" w:rsidP="000F1397">
            <w:pPr>
              <w:rPr>
                <w:sz w:val="20"/>
                <w:szCs w:val="20"/>
              </w:rPr>
            </w:pPr>
            <w:r w:rsidRPr="00542BDA">
              <w:rPr>
                <w:sz w:val="20"/>
                <w:szCs w:val="20"/>
              </w:rPr>
              <w:t>Post-GDPR WHOIS: Status Updates and Next Steps</w:t>
            </w:r>
          </w:p>
        </w:tc>
        <w:tc>
          <w:tcPr>
            <w:tcW w:w="5040" w:type="dxa"/>
          </w:tcPr>
          <w:p w14:paraId="516D781E" w14:textId="77777777" w:rsidR="00292330" w:rsidRPr="00542BDA" w:rsidRDefault="00292330" w:rsidP="000F1397">
            <w:pPr>
              <w:rPr>
                <w:sz w:val="20"/>
                <w:szCs w:val="20"/>
              </w:rPr>
            </w:pPr>
            <w:r w:rsidRPr="00A373D3">
              <w:rPr>
                <w:rFonts w:eastAsia="Times New Roman" w:cs="Arial"/>
                <w:color w:val="000000"/>
                <w:sz w:val="20"/>
                <w:szCs w:val="20"/>
              </w:rPr>
              <w:t>In addition to assessing the current state of the WHOIS ecosystem, this panel will review the status of ongoing community work including the EPDP and efforts to develop accreditation and access solutions for non-public WHOIS data.  Through participation by various parts of the community we hope to bring forward ongoing concerns and challenges, brainstorm solutions, discuss community priorities for inclusion in the EPDP and other ongoing policy and implementation efforts.</w:t>
            </w:r>
          </w:p>
        </w:tc>
        <w:tc>
          <w:tcPr>
            <w:tcW w:w="4315" w:type="dxa"/>
            <w:vMerge/>
          </w:tcPr>
          <w:p w14:paraId="6FA603D7" w14:textId="77777777" w:rsidR="00292330" w:rsidRPr="00542BDA" w:rsidRDefault="00292330" w:rsidP="000F1397">
            <w:pPr>
              <w:rPr>
                <w:rFonts w:eastAsia="Times New Roman" w:cs="Arial"/>
                <w:color w:val="000000"/>
                <w:sz w:val="20"/>
                <w:szCs w:val="20"/>
              </w:rPr>
            </w:pPr>
          </w:p>
        </w:tc>
      </w:tr>
      <w:tr w:rsidR="00292330" w:rsidRPr="00542BDA" w14:paraId="351E5976" w14:textId="77777777" w:rsidTr="0052352E">
        <w:tc>
          <w:tcPr>
            <w:tcW w:w="445" w:type="dxa"/>
          </w:tcPr>
          <w:p w14:paraId="28009477" w14:textId="77777777" w:rsidR="00292330" w:rsidRPr="00542BDA" w:rsidRDefault="00292330" w:rsidP="000F1397">
            <w:pPr>
              <w:rPr>
                <w:sz w:val="20"/>
                <w:szCs w:val="20"/>
              </w:rPr>
            </w:pPr>
            <w:r w:rsidRPr="00542BDA">
              <w:rPr>
                <w:sz w:val="20"/>
                <w:szCs w:val="20"/>
              </w:rPr>
              <w:t>13</w:t>
            </w:r>
          </w:p>
        </w:tc>
        <w:tc>
          <w:tcPr>
            <w:tcW w:w="3150" w:type="dxa"/>
          </w:tcPr>
          <w:p w14:paraId="394C5ADE" w14:textId="77777777" w:rsidR="00292330" w:rsidRPr="00542BDA" w:rsidRDefault="00292330" w:rsidP="000F1397">
            <w:pPr>
              <w:rPr>
                <w:sz w:val="20"/>
                <w:szCs w:val="20"/>
              </w:rPr>
            </w:pPr>
            <w:r w:rsidRPr="00542BDA">
              <w:rPr>
                <w:sz w:val="20"/>
                <w:szCs w:val="20"/>
              </w:rPr>
              <w:t>Unified Model for Access and Accreditation Moving from Concept to Timely Implementation</w:t>
            </w:r>
          </w:p>
        </w:tc>
        <w:tc>
          <w:tcPr>
            <w:tcW w:w="5040" w:type="dxa"/>
          </w:tcPr>
          <w:p w14:paraId="4146D4FC" w14:textId="77777777" w:rsidR="00292330" w:rsidRPr="00542BDA" w:rsidRDefault="00292330" w:rsidP="000F1397">
            <w:pPr>
              <w:rPr>
                <w:sz w:val="20"/>
                <w:szCs w:val="20"/>
              </w:rPr>
            </w:pPr>
            <w:r w:rsidRPr="00A373D3">
              <w:rPr>
                <w:rFonts w:eastAsia="Times New Roman" w:cs="Arial"/>
                <w:color w:val="000000"/>
                <w:sz w:val="20"/>
                <w:szCs w:val="20"/>
              </w:rPr>
              <w:t>Advancing discussions and giving the opportunity to the different side of the community to express their concerns/ideas of an accreditation model. Work will continue after ICANN63, as this session is part of larger, ongoing discussions regarding accreditation</w:t>
            </w:r>
          </w:p>
        </w:tc>
        <w:tc>
          <w:tcPr>
            <w:tcW w:w="4315" w:type="dxa"/>
            <w:vMerge/>
          </w:tcPr>
          <w:p w14:paraId="55659552" w14:textId="77777777" w:rsidR="00292330" w:rsidRPr="00542BDA" w:rsidRDefault="00292330" w:rsidP="000F1397">
            <w:pPr>
              <w:rPr>
                <w:rFonts w:eastAsia="Times New Roman" w:cs="Arial"/>
                <w:color w:val="000000"/>
                <w:sz w:val="20"/>
                <w:szCs w:val="20"/>
              </w:rPr>
            </w:pPr>
          </w:p>
        </w:tc>
      </w:tr>
      <w:tr w:rsidR="00292330" w:rsidRPr="00542BDA" w14:paraId="2FB7E6A4" w14:textId="77777777" w:rsidTr="0052352E">
        <w:tc>
          <w:tcPr>
            <w:tcW w:w="445" w:type="dxa"/>
          </w:tcPr>
          <w:p w14:paraId="685AC235" w14:textId="77777777" w:rsidR="00292330" w:rsidRPr="00542BDA" w:rsidRDefault="00292330" w:rsidP="000F1397">
            <w:pPr>
              <w:rPr>
                <w:sz w:val="20"/>
                <w:szCs w:val="20"/>
              </w:rPr>
            </w:pPr>
            <w:r w:rsidRPr="00542BDA">
              <w:rPr>
                <w:sz w:val="20"/>
                <w:szCs w:val="20"/>
              </w:rPr>
              <w:t>9</w:t>
            </w:r>
          </w:p>
        </w:tc>
        <w:tc>
          <w:tcPr>
            <w:tcW w:w="3150" w:type="dxa"/>
          </w:tcPr>
          <w:p w14:paraId="7CD949E3" w14:textId="77777777" w:rsidR="00292330" w:rsidRPr="00542BDA" w:rsidRDefault="00292330" w:rsidP="000F1397">
            <w:pPr>
              <w:rPr>
                <w:sz w:val="20"/>
                <w:szCs w:val="20"/>
              </w:rPr>
            </w:pPr>
            <w:r w:rsidRPr="00542BDA">
              <w:rPr>
                <w:sz w:val="20"/>
                <w:szCs w:val="20"/>
              </w:rPr>
              <w:t>Public Interest Impact of Temporary Specification on gTLD Registration Data</w:t>
            </w:r>
          </w:p>
        </w:tc>
        <w:tc>
          <w:tcPr>
            <w:tcW w:w="5040" w:type="dxa"/>
          </w:tcPr>
          <w:p w14:paraId="36F4731D" w14:textId="77777777" w:rsidR="00292330" w:rsidRPr="00542BDA" w:rsidRDefault="00292330" w:rsidP="000F1397">
            <w:pPr>
              <w:rPr>
                <w:rFonts w:eastAsia="Times New Roman" w:cs="Arial"/>
                <w:color w:val="000000"/>
                <w:sz w:val="20"/>
                <w:szCs w:val="20"/>
              </w:rPr>
            </w:pPr>
            <w:r w:rsidRPr="00542BDA">
              <w:rPr>
                <w:rFonts w:eastAsia="Times New Roman" w:cs="Arial"/>
                <w:color w:val="000000"/>
                <w:sz w:val="20"/>
                <w:szCs w:val="20"/>
              </w:rPr>
              <w:t>The goal of this session is to present and discuss case studies on how this pub</w:t>
            </w:r>
            <w:r w:rsidR="0052352E" w:rsidRPr="00542BDA">
              <w:rPr>
                <w:rFonts w:eastAsia="Times New Roman" w:cs="Arial"/>
                <w:color w:val="000000"/>
                <w:sz w:val="20"/>
                <w:szCs w:val="20"/>
              </w:rPr>
              <w:t>l</w:t>
            </w:r>
            <w:r w:rsidRPr="00542BDA">
              <w:rPr>
                <w:rFonts w:eastAsia="Times New Roman" w:cs="Arial"/>
                <w:color w:val="000000"/>
                <w:sz w:val="20"/>
                <w:szCs w:val="20"/>
              </w:rPr>
              <w:t>ic interest uses of gTLD registration data have been affected. This fact based discussion cross-community discussion should serve to:</w:t>
            </w:r>
          </w:p>
          <w:p w14:paraId="5AF0FDDE" w14:textId="77777777" w:rsidR="00292330" w:rsidRPr="00542BDA" w:rsidRDefault="00292330" w:rsidP="00240F58">
            <w:pPr>
              <w:pStyle w:val="ListParagraph"/>
              <w:numPr>
                <w:ilvl w:val="0"/>
                <w:numId w:val="2"/>
              </w:numPr>
              <w:rPr>
                <w:rFonts w:eastAsia="Times New Roman" w:cs="Arial"/>
                <w:color w:val="000000"/>
                <w:sz w:val="20"/>
                <w:szCs w:val="20"/>
              </w:rPr>
            </w:pPr>
            <w:r w:rsidRPr="00542BDA">
              <w:rPr>
                <w:rFonts w:eastAsia="Times New Roman" w:cs="Arial"/>
                <w:color w:val="000000"/>
                <w:sz w:val="20"/>
                <w:szCs w:val="20"/>
              </w:rPr>
              <w:t>Inform ongoing community efforts such as the EPDP on gTLD Registration Data and the development of Accreditation and Access Models</w:t>
            </w:r>
          </w:p>
          <w:p w14:paraId="6A4821C9" w14:textId="77777777" w:rsidR="00292330" w:rsidRPr="00542BDA" w:rsidRDefault="00292330" w:rsidP="00240F58">
            <w:pPr>
              <w:pStyle w:val="ListParagraph"/>
              <w:numPr>
                <w:ilvl w:val="0"/>
                <w:numId w:val="2"/>
              </w:numPr>
              <w:rPr>
                <w:rFonts w:eastAsia="Times New Roman" w:cs="Arial"/>
                <w:color w:val="000000"/>
                <w:sz w:val="20"/>
                <w:szCs w:val="20"/>
              </w:rPr>
            </w:pPr>
            <w:r w:rsidRPr="00542BDA">
              <w:rPr>
                <w:rFonts w:eastAsia="Times New Roman" w:cs="Arial"/>
                <w:color w:val="000000"/>
                <w:sz w:val="20"/>
                <w:szCs w:val="20"/>
              </w:rPr>
              <w:t>Identify appropriate measures to ensure that WHOIS and its legitimate uses are preserved to the greatest extent possible, in compliance with relevant data protection laws.</w:t>
            </w:r>
          </w:p>
        </w:tc>
        <w:tc>
          <w:tcPr>
            <w:tcW w:w="4315" w:type="dxa"/>
            <w:vMerge/>
          </w:tcPr>
          <w:p w14:paraId="6C450AB0" w14:textId="77777777" w:rsidR="00292330" w:rsidRPr="00542BDA" w:rsidRDefault="00292330" w:rsidP="000F1397">
            <w:pPr>
              <w:rPr>
                <w:rFonts w:eastAsia="Times New Roman" w:cs="Arial"/>
                <w:color w:val="000000"/>
                <w:sz w:val="20"/>
                <w:szCs w:val="20"/>
              </w:rPr>
            </w:pPr>
          </w:p>
        </w:tc>
      </w:tr>
      <w:tr w:rsidR="00240F58" w:rsidRPr="00542BDA" w14:paraId="7A2675AA" w14:textId="77777777" w:rsidTr="0052352E">
        <w:tc>
          <w:tcPr>
            <w:tcW w:w="445" w:type="dxa"/>
          </w:tcPr>
          <w:p w14:paraId="3D180037" w14:textId="77777777" w:rsidR="00240F58" w:rsidRPr="00542BDA" w:rsidRDefault="00240F58" w:rsidP="000F1397">
            <w:pPr>
              <w:rPr>
                <w:sz w:val="20"/>
                <w:szCs w:val="20"/>
              </w:rPr>
            </w:pPr>
            <w:r w:rsidRPr="00542BDA">
              <w:rPr>
                <w:sz w:val="20"/>
                <w:szCs w:val="20"/>
              </w:rPr>
              <w:t>3</w:t>
            </w:r>
          </w:p>
        </w:tc>
        <w:tc>
          <w:tcPr>
            <w:tcW w:w="3150" w:type="dxa"/>
          </w:tcPr>
          <w:p w14:paraId="5CCD0144" w14:textId="77777777" w:rsidR="00240F58" w:rsidRPr="00542BDA" w:rsidRDefault="00240F58" w:rsidP="000F1397">
            <w:pPr>
              <w:rPr>
                <w:sz w:val="20"/>
                <w:szCs w:val="20"/>
              </w:rPr>
            </w:pPr>
            <w:r w:rsidRPr="00542BDA">
              <w:rPr>
                <w:sz w:val="20"/>
                <w:szCs w:val="20"/>
              </w:rPr>
              <w:t>EPDP on the Temporary Specification for gTLD Registration Data—Review of draft Initial Report and Recommendations</w:t>
            </w:r>
          </w:p>
        </w:tc>
        <w:tc>
          <w:tcPr>
            <w:tcW w:w="5040" w:type="dxa"/>
          </w:tcPr>
          <w:p w14:paraId="3FB66BE3" w14:textId="77777777" w:rsidR="00240F58" w:rsidRPr="00542BDA" w:rsidRDefault="00240F58" w:rsidP="000F1397">
            <w:pPr>
              <w:rPr>
                <w:sz w:val="20"/>
                <w:szCs w:val="20"/>
              </w:rPr>
            </w:pPr>
            <w:r w:rsidRPr="00A373D3">
              <w:rPr>
                <w:rFonts w:eastAsia="Times New Roman" w:cs="Arial"/>
                <w:color w:val="000000"/>
                <w:sz w:val="20"/>
                <w:szCs w:val="20"/>
              </w:rPr>
              <w:t>In accordance with its timeline, the EPDP Team anticipates that one or more of the EPDP team's deliverables will be available for preview by the ICANN Community at ICANN63. This will allow the EPDP Team to obtain input on the initial drafts as well as on any potential outstanding questions that should help facilitate finalization of EPDP team's work.</w:t>
            </w:r>
          </w:p>
        </w:tc>
        <w:tc>
          <w:tcPr>
            <w:tcW w:w="4315" w:type="dxa"/>
          </w:tcPr>
          <w:p w14:paraId="5455C9AB" w14:textId="77777777" w:rsidR="00240F58" w:rsidRPr="00542BDA" w:rsidRDefault="00240F58" w:rsidP="000F1397">
            <w:pPr>
              <w:rPr>
                <w:rFonts w:eastAsia="Times New Roman" w:cs="Arial"/>
                <w:color w:val="000000"/>
                <w:sz w:val="20"/>
                <w:szCs w:val="20"/>
              </w:rPr>
            </w:pPr>
            <w:r w:rsidRPr="00542BDA">
              <w:rPr>
                <w:rFonts w:eastAsia="Times New Roman" w:cs="Arial"/>
                <w:color w:val="000000"/>
                <w:sz w:val="20"/>
                <w:szCs w:val="20"/>
              </w:rPr>
              <w:t>Standalone sessio</w:t>
            </w:r>
            <w:r w:rsidR="00BE259F">
              <w:rPr>
                <w:rFonts w:eastAsia="Times New Roman" w:cs="Arial"/>
                <w:color w:val="000000"/>
                <w:sz w:val="20"/>
                <w:szCs w:val="20"/>
              </w:rPr>
              <w:t>n</w:t>
            </w:r>
          </w:p>
        </w:tc>
      </w:tr>
      <w:tr w:rsidR="00240F58" w:rsidRPr="00542BDA" w14:paraId="6E805EC0" w14:textId="77777777" w:rsidTr="0052352E">
        <w:tc>
          <w:tcPr>
            <w:tcW w:w="445" w:type="dxa"/>
          </w:tcPr>
          <w:p w14:paraId="307D0514" w14:textId="77777777" w:rsidR="00240F58" w:rsidRPr="00542BDA" w:rsidRDefault="00240F58" w:rsidP="00254B04">
            <w:pPr>
              <w:rPr>
                <w:sz w:val="20"/>
                <w:szCs w:val="20"/>
              </w:rPr>
            </w:pPr>
            <w:r w:rsidRPr="00542BDA">
              <w:rPr>
                <w:sz w:val="20"/>
                <w:szCs w:val="20"/>
              </w:rPr>
              <w:t>12</w:t>
            </w:r>
          </w:p>
        </w:tc>
        <w:tc>
          <w:tcPr>
            <w:tcW w:w="3150" w:type="dxa"/>
          </w:tcPr>
          <w:p w14:paraId="47388FBB" w14:textId="77777777" w:rsidR="00240F58" w:rsidRPr="00542BDA" w:rsidRDefault="00240F58" w:rsidP="00254B04">
            <w:pPr>
              <w:rPr>
                <w:sz w:val="20"/>
                <w:szCs w:val="20"/>
              </w:rPr>
            </w:pPr>
            <w:r w:rsidRPr="00542BDA">
              <w:rPr>
                <w:sz w:val="20"/>
                <w:szCs w:val="20"/>
              </w:rPr>
              <w:t>Understanding the Registration Data Access Protocol (RDAP) and the Role it can Play in RDDS Policy</w:t>
            </w:r>
          </w:p>
        </w:tc>
        <w:tc>
          <w:tcPr>
            <w:tcW w:w="5040" w:type="dxa"/>
          </w:tcPr>
          <w:p w14:paraId="5FEECD00" w14:textId="77777777" w:rsidR="00240F58" w:rsidRPr="00542BDA" w:rsidRDefault="00240F58" w:rsidP="00254B04">
            <w:pPr>
              <w:rPr>
                <w:sz w:val="20"/>
                <w:szCs w:val="20"/>
              </w:rPr>
            </w:pPr>
            <w:r w:rsidRPr="00A373D3">
              <w:rPr>
                <w:rFonts w:eastAsia="Times New Roman" w:cs="Arial"/>
                <w:color w:val="000000"/>
                <w:sz w:val="20"/>
                <w:szCs w:val="20"/>
              </w:rPr>
              <w:t xml:space="preserve">● To Improve understanding of the RDAP protocol and the role it can play in enabling access to domain registration data for those who attend. </w:t>
            </w:r>
            <w:r w:rsidRPr="00A373D3">
              <w:rPr>
                <w:rFonts w:eastAsia="Times New Roman" w:cs="Arial"/>
                <w:color w:val="000000"/>
                <w:sz w:val="20"/>
                <w:szCs w:val="20"/>
              </w:rPr>
              <w:br/>
              <w:t>● To ensure that everyone who attends leaves with a working knowledge of what RDAP is and is not.</w:t>
            </w:r>
            <w:r w:rsidRPr="00A373D3">
              <w:rPr>
                <w:rFonts w:eastAsia="Times New Roman" w:cs="Arial"/>
                <w:color w:val="000000"/>
                <w:sz w:val="20"/>
                <w:szCs w:val="20"/>
              </w:rPr>
              <w:br/>
              <w:t>● To bust any myths and dispel any misconceptions about RDAP that community members may have</w:t>
            </w:r>
          </w:p>
        </w:tc>
        <w:tc>
          <w:tcPr>
            <w:tcW w:w="4315" w:type="dxa"/>
          </w:tcPr>
          <w:p w14:paraId="673B718F" w14:textId="77777777" w:rsidR="00240F58" w:rsidRPr="00542BDA" w:rsidRDefault="00240F58" w:rsidP="00254B04">
            <w:pPr>
              <w:rPr>
                <w:rFonts w:eastAsia="Times New Roman" w:cs="Arial"/>
                <w:color w:val="000000"/>
                <w:sz w:val="20"/>
                <w:szCs w:val="20"/>
              </w:rPr>
            </w:pPr>
            <w:r w:rsidRPr="00542BDA">
              <w:rPr>
                <w:rFonts w:eastAsia="Times New Roman" w:cs="Arial"/>
                <w:color w:val="000000"/>
                <w:sz w:val="20"/>
                <w:szCs w:val="20"/>
              </w:rPr>
              <w:t>Standalone session</w:t>
            </w:r>
          </w:p>
        </w:tc>
      </w:tr>
    </w:tbl>
    <w:p w14:paraId="4DBFE9DB" w14:textId="77777777" w:rsidR="000F1397" w:rsidRPr="00542BDA" w:rsidRDefault="000F1397" w:rsidP="000F1397">
      <w:pPr>
        <w:rPr>
          <w:sz w:val="20"/>
          <w:szCs w:val="20"/>
        </w:rPr>
      </w:pPr>
    </w:p>
    <w:sectPr w:rsidR="000F1397" w:rsidRPr="00542BDA" w:rsidSect="00542BDA">
      <w:pgSz w:w="15840" w:h="12240" w:orient="landscape"/>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462F"/>
    <w:multiLevelType w:val="hybridMultilevel"/>
    <w:tmpl w:val="A5D43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91E"/>
    <w:multiLevelType w:val="hybridMultilevel"/>
    <w:tmpl w:val="59D00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381193"/>
    <w:multiLevelType w:val="hybridMultilevel"/>
    <w:tmpl w:val="E2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97"/>
    <w:rsid w:val="000F1397"/>
    <w:rsid w:val="00240F58"/>
    <w:rsid w:val="002553E9"/>
    <w:rsid w:val="002756D8"/>
    <w:rsid w:val="00292330"/>
    <w:rsid w:val="00327B79"/>
    <w:rsid w:val="0052352E"/>
    <w:rsid w:val="00542BDA"/>
    <w:rsid w:val="0069386D"/>
    <w:rsid w:val="006C5D42"/>
    <w:rsid w:val="0086735A"/>
    <w:rsid w:val="008D6AC4"/>
    <w:rsid w:val="00BE259F"/>
    <w:rsid w:val="00C8617B"/>
    <w:rsid w:val="00D36F33"/>
    <w:rsid w:val="00E7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3E62"/>
  <w15:chartTrackingRefBased/>
  <w15:docId w15:val="{C43FF38C-EADB-49B2-AAD2-CB1EC2F5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397"/>
    <w:pPr>
      <w:ind w:left="720"/>
      <w:contextualSpacing/>
    </w:pPr>
  </w:style>
  <w:style w:type="table" w:styleId="TableGrid">
    <w:name w:val="Table Grid"/>
    <w:basedOn w:val="TableNormal"/>
    <w:uiPriority w:val="39"/>
    <w:rsid w:val="000F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Maureen Hilyard</cp:lastModifiedBy>
  <cp:revision>2</cp:revision>
  <dcterms:created xsi:type="dcterms:W3CDTF">2018-08-09T21:40:00Z</dcterms:created>
  <dcterms:modified xsi:type="dcterms:W3CDTF">2018-08-09T21:40:00Z</dcterms:modified>
</cp:coreProperties>
</file>