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1CAEF" w14:textId="430C9F33" w:rsidR="00BD43E2" w:rsidRDefault="00BD43E2" w:rsidP="00BD43E2">
      <w:pPr>
        <w:widowControl w:val="0"/>
        <w:pBdr>
          <w:top w:val="nil"/>
          <w:left w:val="nil"/>
          <w:bottom w:val="nil"/>
          <w:right w:val="nil"/>
          <w:between w:val="nil"/>
        </w:pBdr>
        <w:spacing w:before="528"/>
        <w:ind w:left="9" w:right="4752"/>
        <w:rPr>
          <w:color w:val="424242"/>
          <w:sz w:val="48"/>
          <w:szCs w:val="48"/>
        </w:rPr>
      </w:pPr>
      <w:r>
        <w:rPr>
          <w:rFonts w:ascii="Arial" w:eastAsia="Arial" w:hAnsi="Arial" w:cs="Arial"/>
          <w:color w:val="424242"/>
          <w:sz w:val="48"/>
          <w:szCs w:val="48"/>
        </w:rPr>
        <w:t>IFRT Plenary Meeting #1</w:t>
      </w:r>
      <w:r w:rsidR="004A70D1">
        <w:rPr>
          <w:rFonts w:ascii="Arial" w:eastAsia="Arial" w:hAnsi="Arial" w:cs="Arial"/>
          <w:color w:val="424242"/>
          <w:sz w:val="48"/>
          <w:szCs w:val="48"/>
        </w:rPr>
        <w:t>9</w:t>
      </w:r>
      <w:r>
        <w:rPr>
          <w:rFonts w:ascii="Arial" w:eastAsia="Arial" w:hAnsi="Arial" w:cs="Arial"/>
          <w:color w:val="424242"/>
          <w:sz w:val="48"/>
          <w:szCs w:val="48"/>
        </w:rPr>
        <w:t xml:space="preserve"> </w:t>
      </w:r>
    </w:p>
    <w:p w14:paraId="37332C82" w14:textId="04863E21" w:rsidR="00BD43E2" w:rsidRDefault="009F5466" w:rsidP="00BD43E2">
      <w:pPr>
        <w:widowControl w:val="0"/>
        <w:pBdr>
          <w:top w:val="nil"/>
          <w:left w:val="nil"/>
          <w:bottom w:val="nil"/>
          <w:right w:val="nil"/>
          <w:between w:val="nil"/>
        </w:pBdr>
        <w:spacing w:before="326"/>
        <w:ind w:left="9" w:right="1060"/>
        <w:rPr>
          <w:rFonts w:ascii="Arial" w:eastAsia="Arial" w:hAnsi="Arial" w:cs="Arial"/>
          <w:b/>
          <w:color w:val="000000"/>
        </w:rPr>
      </w:pPr>
      <w:hyperlink r:id="rId7" w:history="1">
        <w:r w:rsidR="00BD43E2" w:rsidRPr="00021D21">
          <w:rPr>
            <w:rStyle w:val="Hyperlink"/>
            <w:rFonts w:ascii="Arial" w:eastAsia="Arial" w:hAnsi="Arial" w:cs="Arial"/>
          </w:rPr>
          <w:t>IFRT PLENARY MEETING</w:t>
        </w:r>
      </w:hyperlink>
      <w:r w:rsidR="00021D21">
        <w:rPr>
          <w:rFonts w:ascii="Arial" w:eastAsia="Arial" w:hAnsi="Arial" w:cs="Arial"/>
          <w:color w:val="0000FF"/>
        </w:rPr>
        <w:t xml:space="preserve"> </w:t>
      </w:r>
      <w:r w:rsidR="00BD43E2">
        <w:rPr>
          <w:rFonts w:ascii="Arial" w:eastAsia="Arial" w:hAnsi="Arial" w:cs="Arial"/>
          <w:color w:val="0000FF"/>
        </w:rPr>
        <w:t xml:space="preserve">, 15 </w:t>
      </w:r>
      <w:r w:rsidR="004A70D1">
        <w:rPr>
          <w:rFonts w:ascii="Arial" w:eastAsia="Arial" w:hAnsi="Arial" w:cs="Arial"/>
          <w:color w:val="000000"/>
        </w:rPr>
        <w:t>December</w:t>
      </w:r>
      <w:r w:rsidR="00BD43E2">
        <w:rPr>
          <w:rFonts w:ascii="Arial" w:eastAsia="Arial" w:hAnsi="Arial" w:cs="Arial"/>
          <w:color w:val="000000"/>
        </w:rPr>
        <w:t xml:space="preserve"> 2020 </w:t>
      </w:r>
      <w:r w:rsidR="00BD43E2">
        <w:rPr>
          <w:rFonts w:ascii="Arial" w:eastAsia="Arial" w:hAnsi="Arial" w:cs="Arial"/>
          <w:b/>
          <w:i/>
          <w:color w:val="000000"/>
        </w:rPr>
        <w:t>RT Members: If you have corrections, please email Amy at amy.creamer@icann.org</w:t>
      </w:r>
      <w:r w:rsidR="00BD43E2">
        <w:rPr>
          <w:rFonts w:ascii="Arial" w:eastAsia="Arial" w:hAnsi="Arial" w:cs="Arial"/>
          <w:b/>
          <w:color w:val="000000"/>
        </w:rPr>
        <w:t xml:space="preserve"> </w:t>
      </w:r>
    </w:p>
    <w:p w14:paraId="06EC7B92" w14:textId="58685B0C" w:rsidR="00A57C22" w:rsidRDefault="00A57C22"/>
    <w:p w14:paraId="7A7BE568" w14:textId="77777777" w:rsidR="00A86489" w:rsidRDefault="00A86489" w:rsidP="00A86489">
      <w:pPr>
        <w:rPr>
          <w:rFonts w:ascii="Calibri" w:eastAsia="Calibri" w:hAnsi="Calibri" w:cs="Calibri"/>
          <w:b/>
        </w:rPr>
      </w:pPr>
      <w:r>
        <w:rPr>
          <w:rFonts w:ascii="Oswald" w:eastAsia="Oswald" w:hAnsi="Oswald" w:cs="Oswald"/>
          <w:color w:val="424242"/>
          <w:sz w:val="36"/>
          <w:szCs w:val="36"/>
        </w:rPr>
        <w:t>Agenda</w:t>
      </w:r>
      <w:r>
        <w:rPr>
          <w:rFonts w:ascii="Calibri" w:eastAsia="Calibri" w:hAnsi="Calibri" w:cs="Calibri"/>
          <w:b/>
        </w:rPr>
        <w:t>:</w:t>
      </w:r>
    </w:p>
    <w:p w14:paraId="39C900E1" w14:textId="77777777" w:rsidR="00BC5010" w:rsidRDefault="00BC5010" w:rsidP="00BC5010">
      <w:pPr>
        <w:numPr>
          <w:ilvl w:val="0"/>
          <w:numId w:val="10"/>
        </w:numPr>
        <w:shd w:val="clear" w:color="auto" w:fill="FFFFFF"/>
        <w:spacing w:before="100" w:beforeAutospacing="1" w:after="100" w:afterAutospacing="1"/>
        <w:rPr>
          <w:rFonts w:ascii="Segoe UI" w:hAnsi="Segoe UI" w:cs="Segoe UI"/>
          <w:color w:val="172B4D"/>
          <w:sz w:val="21"/>
          <w:szCs w:val="21"/>
        </w:rPr>
      </w:pPr>
      <w:r>
        <w:rPr>
          <w:rFonts w:ascii="Segoe UI" w:hAnsi="Segoe UI" w:cs="Segoe UI"/>
          <w:color w:val="172B4D"/>
          <w:sz w:val="21"/>
          <w:szCs w:val="21"/>
        </w:rPr>
        <w:t>Welcome</w:t>
      </w:r>
    </w:p>
    <w:p w14:paraId="6F338A9B" w14:textId="77777777" w:rsidR="00BC5010" w:rsidRDefault="00BC5010" w:rsidP="00BC5010">
      <w:pPr>
        <w:numPr>
          <w:ilvl w:val="0"/>
          <w:numId w:val="10"/>
        </w:numPr>
        <w:shd w:val="clear" w:color="auto" w:fill="FFFFFF"/>
        <w:spacing w:before="100" w:beforeAutospacing="1" w:after="100" w:afterAutospacing="1"/>
        <w:rPr>
          <w:rFonts w:ascii="Segoe UI" w:hAnsi="Segoe UI" w:cs="Segoe UI"/>
          <w:color w:val="172B4D"/>
          <w:sz w:val="21"/>
          <w:szCs w:val="21"/>
        </w:rPr>
      </w:pPr>
      <w:r>
        <w:rPr>
          <w:rFonts w:ascii="Segoe UI" w:hAnsi="Segoe UI" w:cs="Segoe UI"/>
          <w:color w:val="172B4D"/>
          <w:sz w:val="21"/>
          <w:szCs w:val="21"/>
        </w:rPr>
        <w:t>Agenda Bashing</w:t>
      </w:r>
    </w:p>
    <w:p w14:paraId="27595877" w14:textId="77777777" w:rsidR="00BC5010" w:rsidRDefault="00BC5010" w:rsidP="00BC5010">
      <w:pPr>
        <w:numPr>
          <w:ilvl w:val="0"/>
          <w:numId w:val="10"/>
        </w:numPr>
        <w:shd w:val="clear" w:color="auto" w:fill="FFFFFF"/>
        <w:spacing w:before="100" w:beforeAutospacing="1" w:after="100" w:afterAutospacing="1"/>
        <w:rPr>
          <w:rFonts w:ascii="Segoe UI" w:hAnsi="Segoe UI" w:cs="Segoe UI"/>
          <w:color w:val="172B4D"/>
          <w:sz w:val="21"/>
          <w:szCs w:val="21"/>
        </w:rPr>
      </w:pPr>
      <w:r>
        <w:rPr>
          <w:rFonts w:ascii="Segoe UI" w:hAnsi="Segoe UI" w:cs="Segoe UI"/>
          <w:color w:val="172B4D"/>
          <w:sz w:val="21"/>
          <w:szCs w:val="21"/>
        </w:rPr>
        <w:t>Administrative Items (if any)</w:t>
      </w:r>
    </w:p>
    <w:p w14:paraId="29A3A652" w14:textId="77777777" w:rsidR="00BC5010" w:rsidRDefault="00BC5010" w:rsidP="00BC5010">
      <w:pPr>
        <w:pStyle w:val="NormalWeb"/>
        <w:shd w:val="clear" w:color="auto" w:fill="FFFFFF"/>
        <w:spacing w:before="150" w:beforeAutospacing="0" w:after="0" w:afterAutospacing="0"/>
        <w:ind w:left="900"/>
        <w:rPr>
          <w:rFonts w:ascii="Segoe UI" w:hAnsi="Segoe UI" w:cs="Segoe UI"/>
          <w:color w:val="172B4D"/>
          <w:sz w:val="21"/>
          <w:szCs w:val="21"/>
        </w:rPr>
      </w:pPr>
      <w:r>
        <w:rPr>
          <w:rFonts w:ascii="Segoe UI" w:hAnsi="Segoe UI" w:cs="Segoe UI"/>
          <w:color w:val="172B4D"/>
          <w:sz w:val="21"/>
          <w:szCs w:val="21"/>
        </w:rPr>
        <w:t>3.1. Publication of attestation and transition plan – Amy</w:t>
      </w:r>
    </w:p>
    <w:p w14:paraId="06307082" w14:textId="77777777" w:rsidR="00BC5010" w:rsidRDefault="00BC5010" w:rsidP="00BC5010">
      <w:pPr>
        <w:pStyle w:val="NormalWeb"/>
        <w:shd w:val="clear" w:color="auto" w:fill="FFFFFF"/>
        <w:spacing w:before="150" w:beforeAutospacing="0" w:after="0" w:afterAutospacing="0"/>
        <w:ind w:left="900"/>
        <w:rPr>
          <w:rFonts w:ascii="Segoe UI" w:hAnsi="Segoe UI" w:cs="Segoe UI"/>
          <w:color w:val="172B4D"/>
          <w:sz w:val="21"/>
          <w:szCs w:val="21"/>
        </w:rPr>
      </w:pPr>
      <w:r>
        <w:rPr>
          <w:rFonts w:ascii="Segoe UI" w:hAnsi="Segoe UI" w:cs="Segoe UI"/>
          <w:color w:val="172B4D"/>
          <w:sz w:val="21"/>
          <w:szCs w:val="21"/>
        </w:rPr>
        <w:t>3.2. Update to the PTI Board</w:t>
      </w:r>
    </w:p>
    <w:p w14:paraId="0B58E11B" w14:textId="77777777" w:rsidR="00BC5010" w:rsidRDefault="00BC5010" w:rsidP="00BC5010">
      <w:pPr>
        <w:pStyle w:val="NormalWeb"/>
        <w:shd w:val="clear" w:color="auto" w:fill="FFFFFF"/>
        <w:spacing w:before="150" w:beforeAutospacing="0" w:after="0" w:afterAutospacing="0"/>
        <w:ind w:left="900"/>
        <w:rPr>
          <w:rFonts w:ascii="Segoe UI" w:hAnsi="Segoe UI" w:cs="Segoe UI"/>
          <w:color w:val="172B4D"/>
          <w:sz w:val="21"/>
          <w:szCs w:val="21"/>
        </w:rPr>
      </w:pPr>
      <w:r>
        <w:rPr>
          <w:rFonts w:ascii="Segoe UI" w:hAnsi="Segoe UI" w:cs="Segoe UI"/>
          <w:color w:val="172B4D"/>
          <w:sz w:val="21"/>
          <w:szCs w:val="21"/>
        </w:rPr>
        <w:t xml:space="preserve">3.3. Welcome new CSC liaison, Brett </w:t>
      </w:r>
      <w:proofErr w:type="spellStart"/>
      <w:r>
        <w:rPr>
          <w:rFonts w:ascii="Segoe UI" w:hAnsi="Segoe UI" w:cs="Segoe UI"/>
          <w:color w:val="172B4D"/>
          <w:sz w:val="21"/>
          <w:szCs w:val="21"/>
        </w:rPr>
        <w:t>Carr</w:t>
      </w:r>
      <w:proofErr w:type="spellEnd"/>
    </w:p>
    <w:p w14:paraId="6BC06CEC" w14:textId="77777777" w:rsidR="00BC5010" w:rsidRDefault="00BC5010" w:rsidP="00BC5010">
      <w:pPr>
        <w:pStyle w:val="NormalWeb"/>
        <w:shd w:val="clear" w:color="auto" w:fill="FFFFFF"/>
        <w:spacing w:before="150" w:beforeAutospacing="0" w:after="0" w:afterAutospacing="0"/>
        <w:ind w:left="450"/>
        <w:rPr>
          <w:rFonts w:ascii="Segoe UI" w:hAnsi="Segoe UI" w:cs="Segoe UI"/>
          <w:color w:val="172B4D"/>
          <w:sz w:val="21"/>
          <w:szCs w:val="21"/>
        </w:rPr>
      </w:pPr>
      <w:r>
        <w:rPr>
          <w:rFonts w:ascii="Segoe UI" w:hAnsi="Segoe UI" w:cs="Segoe UI"/>
          <w:color w:val="172B4D"/>
          <w:sz w:val="21"/>
          <w:szCs w:val="21"/>
        </w:rPr>
        <w:t>4. Review comments received in response to initial report</w:t>
      </w:r>
    </w:p>
    <w:p w14:paraId="501F88B4" w14:textId="77777777" w:rsidR="00BC5010" w:rsidRDefault="00BC5010" w:rsidP="00BC5010">
      <w:pPr>
        <w:pStyle w:val="NormalWeb"/>
        <w:shd w:val="clear" w:color="auto" w:fill="FFFFFF"/>
        <w:spacing w:before="150" w:beforeAutospacing="0" w:after="0" w:afterAutospacing="0"/>
        <w:ind w:left="450"/>
        <w:rPr>
          <w:rFonts w:ascii="Segoe UI" w:hAnsi="Segoe UI" w:cs="Segoe UI"/>
          <w:color w:val="172B4D"/>
          <w:sz w:val="21"/>
          <w:szCs w:val="21"/>
        </w:rPr>
      </w:pPr>
      <w:r>
        <w:rPr>
          <w:rFonts w:ascii="Segoe UI" w:hAnsi="Segoe UI" w:cs="Segoe UI"/>
          <w:color w:val="172B4D"/>
          <w:sz w:val="21"/>
          <w:szCs w:val="21"/>
        </w:rPr>
        <w:t>5. Next meeting</w:t>
      </w:r>
    </w:p>
    <w:p w14:paraId="64CC3BAD" w14:textId="77777777" w:rsidR="00BC5010" w:rsidRDefault="00BC5010" w:rsidP="00BC5010">
      <w:pPr>
        <w:pStyle w:val="Normal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            12 January 2021</w:t>
      </w:r>
    </w:p>
    <w:p w14:paraId="0A1A5755" w14:textId="77777777" w:rsidR="00BC5010" w:rsidRDefault="00BC5010" w:rsidP="00BC5010">
      <w:pPr>
        <w:pStyle w:val="NormalWeb"/>
        <w:shd w:val="clear" w:color="auto" w:fill="FFFFFF"/>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            19 or 26 January 202</w:t>
      </w:r>
    </w:p>
    <w:p w14:paraId="2F95188B" w14:textId="77777777" w:rsidR="00BC5010" w:rsidRDefault="00BC5010" w:rsidP="00BC5010">
      <w:pPr>
        <w:pStyle w:val="NormalWeb"/>
        <w:shd w:val="clear" w:color="auto" w:fill="FFFFFF"/>
        <w:spacing w:before="150" w:beforeAutospacing="0" w:after="0" w:afterAutospacing="0"/>
        <w:ind w:left="450"/>
        <w:rPr>
          <w:rFonts w:ascii="Segoe UI" w:hAnsi="Segoe UI" w:cs="Segoe UI"/>
          <w:color w:val="172B4D"/>
          <w:sz w:val="21"/>
          <w:szCs w:val="21"/>
        </w:rPr>
      </w:pPr>
      <w:r>
        <w:rPr>
          <w:rFonts w:ascii="Segoe UI" w:hAnsi="Segoe UI" w:cs="Segoe UI"/>
          <w:color w:val="172B4D"/>
          <w:sz w:val="21"/>
          <w:szCs w:val="21"/>
        </w:rPr>
        <w:t>6. AOB</w:t>
      </w:r>
    </w:p>
    <w:p w14:paraId="3679D20C" w14:textId="77777777" w:rsidR="00A86489" w:rsidRDefault="00A86489"/>
    <w:p w14:paraId="2C100C64" w14:textId="77777777" w:rsidR="00BD43E2" w:rsidRDefault="00BD43E2"/>
    <w:p w14:paraId="5D62FAE3" w14:textId="77777777" w:rsidR="00715895" w:rsidRPr="00715895" w:rsidRDefault="00715895">
      <w:pPr>
        <w:rPr>
          <w:rFonts w:ascii="Arial" w:hAnsi="Arial" w:cs="Arial"/>
          <w:sz w:val="22"/>
          <w:szCs w:val="22"/>
        </w:rPr>
      </w:pPr>
    </w:p>
    <w:p w14:paraId="641B5F0D" w14:textId="1352460A" w:rsidR="00C11F42" w:rsidRDefault="00BC5010" w:rsidP="00A86489">
      <w:pPr>
        <w:pStyle w:val="Heading1"/>
        <w:numPr>
          <w:ilvl w:val="0"/>
          <w:numId w:val="5"/>
        </w:numPr>
        <w:rPr>
          <w:rFonts w:eastAsia="Times New Roman"/>
          <w:shd w:val="clear" w:color="auto" w:fill="FFFFFF"/>
        </w:rPr>
      </w:pPr>
      <w:r>
        <w:rPr>
          <w:rFonts w:eastAsia="Times New Roman"/>
          <w:shd w:val="clear" w:color="auto" w:fill="FFFFFF"/>
        </w:rPr>
        <w:t>ICANN &amp; PTI Complete</w:t>
      </w:r>
      <w:r w:rsidR="00AC3042">
        <w:rPr>
          <w:rFonts w:eastAsia="Times New Roman"/>
          <w:shd w:val="clear" w:color="auto" w:fill="FFFFFF"/>
        </w:rPr>
        <w:t>d</w:t>
      </w:r>
      <w:r>
        <w:rPr>
          <w:rFonts w:eastAsia="Times New Roman"/>
          <w:shd w:val="clear" w:color="auto" w:fill="FFFFFF"/>
        </w:rPr>
        <w:t xml:space="preserve"> Recommendation #1 and 2</w:t>
      </w:r>
    </w:p>
    <w:p w14:paraId="1096BE63" w14:textId="0212A52D" w:rsidR="00BC5010" w:rsidRDefault="00BC5010" w:rsidP="00BC5010">
      <w:pPr>
        <w:rPr>
          <w:rFonts w:eastAsiaTheme="minorHAnsi"/>
        </w:rPr>
      </w:pPr>
    </w:p>
    <w:p w14:paraId="0AD43E5C" w14:textId="4A5F726B" w:rsidR="00DE3F00" w:rsidRPr="00BC5010" w:rsidRDefault="00DE3F00" w:rsidP="00DE3F00">
      <w:pPr>
        <w:rPr>
          <w:rFonts w:eastAsiaTheme="minorHAnsi"/>
        </w:rPr>
      </w:pPr>
      <w:r>
        <w:rPr>
          <w:rFonts w:eastAsiaTheme="minorHAnsi"/>
        </w:rPr>
        <w:t xml:space="preserve">Rec #1: </w:t>
      </w:r>
      <w:r>
        <w:rPr>
          <w:rFonts w:eastAsiaTheme="minorHAnsi"/>
        </w:rPr>
        <w:t xml:space="preserve">On 7 December 2020, PTI  published the </w:t>
      </w:r>
      <w:hyperlink r:id="rId8" w:history="1">
        <w:r w:rsidRPr="00DE3F00">
          <w:rPr>
            <w:rStyle w:val="Hyperlink"/>
            <w:rFonts w:eastAsiaTheme="minorHAnsi"/>
          </w:rPr>
          <w:t>PTI Transition Plan</w:t>
        </w:r>
      </w:hyperlink>
      <w:r>
        <w:rPr>
          <w:rFonts w:eastAsiaTheme="minorHAnsi"/>
        </w:rPr>
        <w:t>.</w:t>
      </w:r>
    </w:p>
    <w:p w14:paraId="18338078" w14:textId="77777777" w:rsidR="00DE3F00" w:rsidRDefault="00DE3F00" w:rsidP="00BC5010">
      <w:pPr>
        <w:rPr>
          <w:rFonts w:eastAsiaTheme="minorHAnsi"/>
        </w:rPr>
      </w:pPr>
    </w:p>
    <w:p w14:paraId="20574E38" w14:textId="250DB569" w:rsidR="00BC5010" w:rsidRDefault="00DE3F00" w:rsidP="00BC5010">
      <w:pPr>
        <w:rPr>
          <w:rFonts w:eastAsiaTheme="minorHAnsi"/>
        </w:rPr>
      </w:pPr>
      <w:r>
        <w:rPr>
          <w:rFonts w:eastAsiaTheme="minorHAnsi"/>
        </w:rPr>
        <w:t xml:space="preserve">Rec #2: </w:t>
      </w:r>
      <w:r w:rsidR="00BC5010">
        <w:rPr>
          <w:rFonts w:eastAsiaTheme="minorHAnsi"/>
        </w:rPr>
        <w:t xml:space="preserve">In  November, </w:t>
      </w:r>
      <w:hyperlink r:id="rId9" w:history="1">
        <w:r w:rsidR="00BC5010" w:rsidRPr="00BC5010">
          <w:rPr>
            <w:rStyle w:val="Hyperlink"/>
            <w:rFonts w:eastAsiaTheme="minorHAnsi"/>
          </w:rPr>
          <w:t>PTI published</w:t>
        </w:r>
      </w:hyperlink>
      <w:r w:rsidR="00BC5010">
        <w:rPr>
          <w:rFonts w:eastAsiaTheme="minorHAnsi"/>
        </w:rPr>
        <w:t xml:space="preserve"> the President’s Annual Attestation of Compliance and Transparencies for all years.  The </w:t>
      </w:r>
      <w:hyperlink r:id="rId10" w:history="1">
        <w:r w:rsidR="00BC5010" w:rsidRPr="00BC5010">
          <w:rPr>
            <w:rStyle w:val="Hyperlink"/>
            <w:rFonts w:eastAsiaTheme="minorHAnsi"/>
          </w:rPr>
          <w:t>2020 version</w:t>
        </w:r>
      </w:hyperlink>
      <w:r w:rsidR="00BC5010">
        <w:rPr>
          <w:rFonts w:eastAsiaTheme="minorHAnsi"/>
        </w:rPr>
        <w:t xml:space="preserve"> was posted more recently on 20 December 2020.</w:t>
      </w:r>
    </w:p>
    <w:p w14:paraId="3E832145" w14:textId="19F5521E" w:rsidR="00BC5010" w:rsidRDefault="00BC5010" w:rsidP="00BC5010">
      <w:pPr>
        <w:rPr>
          <w:rFonts w:eastAsiaTheme="minorHAnsi"/>
        </w:rPr>
      </w:pPr>
    </w:p>
    <w:p w14:paraId="601C33E8" w14:textId="12037199" w:rsidR="00CB284D" w:rsidRPr="009C5B0C" w:rsidRDefault="00DE3F00" w:rsidP="00D44541">
      <w:pPr>
        <w:rPr>
          <w:rFonts w:eastAsiaTheme="minorHAnsi"/>
        </w:rPr>
      </w:pPr>
      <w:r>
        <w:rPr>
          <w:rFonts w:eastAsiaTheme="minorHAnsi"/>
        </w:rPr>
        <w:t>In today’s meeting the team agreed to add a note to these 2 recommendations that they ha</w:t>
      </w:r>
      <w:r w:rsidR="00AC3042">
        <w:rPr>
          <w:rFonts w:eastAsiaTheme="minorHAnsi"/>
        </w:rPr>
        <w:t>ve</w:t>
      </w:r>
      <w:r>
        <w:rPr>
          <w:rFonts w:eastAsiaTheme="minorHAnsi"/>
        </w:rPr>
        <w:t xml:space="preserve"> been completed by ICANN &amp; PTI.  Amy has added the notes and you can review them in the </w:t>
      </w:r>
      <w:hyperlink r:id="rId11" w:history="1">
        <w:r w:rsidRPr="00AC3042">
          <w:rPr>
            <w:rStyle w:val="Hyperlink"/>
            <w:rFonts w:eastAsiaTheme="minorHAnsi"/>
          </w:rPr>
          <w:t>Final Report</w:t>
        </w:r>
      </w:hyperlink>
      <w:r>
        <w:rPr>
          <w:rFonts w:eastAsiaTheme="minorHAnsi"/>
        </w:rPr>
        <w:t xml:space="preserve"> draft.</w:t>
      </w:r>
    </w:p>
    <w:p w14:paraId="445531AD" w14:textId="3C6820E3" w:rsidR="00D44541" w:rsidRDefault="00D44541"/>
    <w:p w14:paraId="01C2716C" w14:textId="79AC28EC" w:rsidR="00E466E9" w:rsidRDefault="00E466E9"/>
    <w:p w14:paraId="2958D45F" w14:textId="4FD80525" w:rsidR="00C11F42" w:rsidRDefault="00C11F42"/>
    <w:p w14:paraId="04CD65FB" w14:textId="1B282F01" w:rsidR="00C11F42" w:rsidRDefault="009C5B0C" w:rsidP="00A86489">
      <w:pPr>
        <w:pStyle w:val="Heading1"/>
        <w:numPr>
          <w:ilvl w:val="0"/>
          <w:numId w:val="5"/>
        </w:numPr>
      </w:pPr>
      <w:r>
        <w:lastRenderedPageBreak/>
        <w:t>COMMENTS RECEIVED</w:t>
      </w:r>
    </w:p>
    <w:p w14:paraId="5228D06C" w14:textId="173FD7CD" w:rsidR="00DF75B3" w:rsidRDefault="00DF75B3" w:rsidP="00A86489">
      <w:pPr>
        <w:pStyle w:val="Heading2"/>
      </w:pPr>
    </w:p>
    <w:p w14:paraId="0746A1C7" w14:textId="6EFAA4F1" w:rsidR="003D2AE0" w:rsidRDefault="003D2AE0" w:rsidP="003D2AE0">
      <w:r>
        <w:t>The team reviewed the six (6) comments received.  All approved of the recommendations.  Two comments were briefly discussed:</w:t>
      </w:r>
    </w:p>
    <w:p w14:paraId="2096B3DA" w14:textId="507E873D" w:rsidR="00983294" w:rsidRDefault="00983294" w:rsidP="003D2AE0"/>
    <w:p w14:paraId="21170F38" w14:textId="2E0647BA" w:rsidR="00983294" w:rsidRPr="00983294" w:rsidRDefault="00983294" w:rsidP="003D2AE0">
      <w:pPr>
        <w:rPr>
          <w:u w:val="single"/>
        </w:rPr>
      </w:pPr>
      <w:r w:rsidRPr="00983294">
        <w:rPr>
          <w:u w:val="single"/>
        </w:rPr>
        <w:t>COMMENT DISCUSSION #1</w:t>
      </w:r>
    </w:p>
    <w:p w14:paraId="5338416C" w14:textId="30329BE2" w:rsidR="003D2AE0" w:rsidRDefault="003D2AE0" w:rsidP="003D2AE0"/>
    <w:p w14:paraId="5CC60D47" w14:textId="7D3EC2DD" w:rsidR="00983294" w:rsidRPr="00983294" w:rsidRDefault="00983294" w:rsidP="00983294">
      <w:pPr>
        <w:ind w:left="720"/>
      </w:pPr>
      <w:r>
        <w:rPr>
          <w:rFonts w:ascii="Arial" w:hAnsi="Arial" w:cs="Arial"/>
          <w:color w:val="000000"/>
          <w:sz w:val="22"/>
          <w:szCs w:val="22"/>
        </w:rPr>
        <w:t xml:space="preserve">The </w:t>
      </w:r>
      <w:r w:rsidRPr="00983294">
        <w:rPr>
          <w:rFonts w:ascii="Arial" w:hAnsi="Arial" w:cs="Arial"/>
          <w:color w:val="000000"/>
          <w:sz w:val="22"/>
          <w:szCs w:val="22"/>
        </w:rPr>
        <w:t xml:space="preserve">Business </w:t>
      </w:r>
      <w:proofErr w:type="gramStart"/>
      <w:r w:rsidRPr="00983294">
        <w:rPr>
          <w:rFonts w:ascii="Arial" w:hAnsi="Arial" w:cs="Arial"/>
          <w:color w:val="000000"/>
          <w:sz w:val="22"/>
          <w:szCs w:val="22"/>
        </w:rPr>
        <w:t>Constituency</w:t>
      </w:r>
      <w:r>
        <w:rPr>
          <w:rFonts w:ascii="Arial" w:hAnsi="Arial" w:cs="Arial"/>
          <w:color w:val="000000"/>
          <w:sz w:val="22"/>
          <w:szCs w:val="22"/>
        </w:rPr>
        <w:t xml:space="preserve">  (</w:t>
      </w:r>
      <w:proofErr w:type="gramEnd"/>
      <w:r>
        <w:rPr>
          <w:rFonts w:ascii="Arial" w:hAnsi="Arial" w:cs="Arial"/>
          <w:color w:val="000000"/>
          <w:sz w:val="22"/>
          <w:szCs w:val="22"/>
        </w:rPr>
        <w:t>BC) wrote,</w:t>
      </w:r>
      <w:r w:rsidRPr="00983294">
        <w:rPr>
          <w:rFonts w:ascii="Arial" w:hAnsi="Arial" w:cs="Arial"/>
          <w:i/>
          <w:iCs/>
          <w:color w:val="000000"/>
          <w:sz w:val="20"/>
          <w:szCs w:val="20"/>
        </w:rPr>
        <w:t>“…We are concerned that the first two recommendations call into question PTI’s accountability to the community, for which the BC was a major proponent. Could that gap be an oversight from scheduled staff activity list? “</w:t>
      </w:r>
    </w:p>
    <w:p w14:paraId="4A26AE39" w14:textId="6BC69351" w:rsidR="00983294" w:rsidRDefault="00983294" w:rsidP="00983294"/>
    <w:p w14:paraId="3C0E6E28" w14:textId="34E42971" w:rsidR="00983294" w:rsidRPr="00D77D3C" w:rsidRDefault="00983294" w:rsidP="00983294">
      <w:pPr>
        <w:rPr>
          <w:i/>
          <w:iCs/>
        </w:rPr>
      </w:pPr>
      <w:r>
        <w:t xml:space="preserve">Potential note to be included in the </w:t>
      </w:r>
      <w:hyperlink r:id="rId12" w:history="1">
        <w:r w:rsidRPr="00983294">
          <w:rPr>
            <w:rStyle w:val="Hyperlink"/>
          </w:rPr>
          <w:t>Final Report</w:t>
        </w:r>
      </w:hyperlink>
      <w:r>
        <w:t xml:space="preserve"> on page 78. </w:t>
      </w:r>
      <w:r w:rsidRPr="00D77D3C">
        <w:rPr>
          <w:i/>
          <w:iCs/>
        </w:rPr>
        <w:t>You may leave comments in the Final Report as this text is not final.</w:t>
      </w:r>
    </w:p>
    <w:p w14:paraId="308438F6" w14:textId="77777777" w:rsidR="00983294" w:rsidRDefault="00983294" w:rsidP="00983294"/>
    <w:p w14:paraId="38830F61" w14:textId="30169FBB" w:rsidR="00983294" w:rsidRPr="00983294" w:rsidRDefault="00983294" w:rsidP="00983294">
      <w:pPr>
        <w:ind w:left="720"/>
      </w:pPr>
      <w:r w:rsidRPr="00983294">
        <w:rPr>
          <w:rFonts w:ascii="Arial" w:hAnsi="Arial" w:cs="Arial"/>
          <w:color w:val="000000"/>
          <w:sz w:val="20"/>
          <w:szCs w:val="20"/>
        </w:rPr>
        <w:t xml:space="preserve">The IFRT concluded that PTI’s failure to publish these documents was an </w:t>
      </w:r>
      <w:proofErr w:type="gramStart"/>
      <w:r w:rsidRPr="00983294">
        <w:rPr>
          <w:rFonts w:ascii="Arial" w:hAnsi="Arial" w:cs="Arial"/>
          <w:color w:val="000000"/>
          <w:sz w:val="20"/>
          <w:szCs w:val="20"/>
        </w:rPr>
        <w:t>oversite, and</w:t>
      </w:r>
      <w:proofErr w:type="gramEnd"/>
      <w:r w:rsidRPr="00983294">
        <w:rPr>
          <w:rFonts w:ascii="Arial" w:hAnsi="Arial" w:cs="Arial"/>
          <w:color w:val="000000"/>
          <w:sz w:val="20"/>
          <w:szCs w:val="20"/>
        </w:rPr>
        <w:t xml:space="preserve"> does not believe it is indicative of any systemic issues within PTI’s operations. Since the publication of the Initial Draft of this report, PTI has published all documents necessary to fulfill Recommendations 1 and 2.</w:t>
      </w:r>
    </w:p>
    <w:p w14:paraId="7B6DDCD6" w14:textId="175EFD06" w:rsidR="00983294" w:rsidRDefault="00983294" w:rsidP="00983294"/>
    <w:p w14:paraId="321D7F4A" w14:textId="77777777" w:rsidR="00983294" w:rsidRDefault="00983294" w:rsidP="00983294"/>
    <w:p w14:paraId="3FA5C51F" w14:textId="3B59E64B" w:rsidR="00983294" w:rsidRPr="00983294" w:rsidRDefault="00983294" w:rsidP="00983294">
      <w:pPr>
        <w:rPr>
          <w:u w:val="single"/>
        </w:rPr>
      </w:pPr>
      <w:r w:rsidRPr="00983294">
        <w:rPr>
          <w:u w:val="single"/>
        </w:rPr>
        <w:t>COMMENT DISCUSSION #2</w:t>
      </w:r>
    </w:p>
    <w:p w14:paraId="02E49CC6" w14:textId="77777777" w:rsidR="00983294" w:rsidRDefault="00983294" w:rsidP="00983294"/>
    <w:p w14:paraId="6292E292" w14:textId="4A785F77" w:rsidR="00983294" w:rsidRPr="00983294" w:rsidRDefault="00D77D3C" w:rsidP="00D77D3C">
      <w:pPr>
        <w:ind w:left="720"/>
      </w:pPr>
      <w:r>
        <w:rPr>
          <w:rFonts w:ascii="Arial" w:hAnsi="Arial" w:cs="Arial"/>
          <w:color w:val="000000"/>
          <w:sz w:val="22"/>
          <w:szCs w:val="22"/>
        </w:rPr>
        <w:t>The</w:t>
      </w:r>
      <w:r w:rsidR="00983294" w:rsidRPr="00983294">
        <w:rPr>
          <w:rFonts w:ascii="Arial" w:hAnsi="Arial" w:cs="Arial"/>
          <w:color w:val="000000"/>
          <w:sz w:val="22"/>
          <w:szCs w:val="22"/>
        </w:rPr>
        <w:t xml:space="preserve"> Non-Commercial Stakeholders Group</w:t>
      </w:r>
      <w:r>
        <w:rPr>
          <w:rFonts w:ascii="Arial" w:hAnsi="Arial" w:cs="Arial"/>
          <w:color w:val="000000"/>
          <w:sz w:val="22"/>
          <w:szCs w:val="22"/>
        </w:rPr>
        <w:t xml:space="preserve"> (NCSG)</w:t>
      </w:r>
      <w:r>
        <w:t xml:space="preserve"> wrote, </w:t>
      </w:r>
      <w:r w:rsidR="00983294" w:rsidRPr="00983294">
        <w:rPr>
          <w:rFonts w:ascii="Arial" w:hAnsi="Arial" w:cs="Arial"/>
          <w:i/>
          <w:iCs/>
          <w:color w:val="000000"/>
          <w:sz w:val="20"/>
          <w:szCs w:val="20"/>
        </w:rPr>
        <w:t>“The NCSG highlights, when the moment comes, the need of establishing spaces for policy discussion related to the .INT TLD (p. 15).”</w:t>
      </w:r>
    </w:p>
    <w:p w14:paraId="380ADAA7" w14:textId="276AB75B" w:rsidR="00983294" w:rsidRDefault="00983294" w:rsidP="00983294"/>
    <w:p w14:paraId="4408DAD3" w14:textId="190CF53D" w:rsidR="00D77D3C" w:rsidRPr="00983294" w:rsidRDefault="00D77D3C" w:rsidP="00983294">
      <w:pPr>
        <w:rPr>
          <w:i/>
          <w:iCs/>
        </w:rPr>
      </w:pPr>
      <w:r>
        <w:t xml:space="preserve">Potential note to be included in the </w:t>
      </w:r>
      <w:hyperlink r:id="rId13" w:history="1">
        <w:r w:rsidRPr="00983294">
          <w:rPr>
            <w:rStyle w:val="Hyperlink"/>
          </w:rPr>
          <w:t>Final Report</w:t>
        </w:r>
      </w:hyperlink>
      <w:r>
        <w:t xml:space="preserve"> on page 78. </w:t>
      </w:r>
      <w:r w:rsidRPr="00D77D3C">
        <w:rPr>
          <w:i/>
          <w:iCs/>
        </w:rPr>
        <w:t>You may leave comments in the Final Report as this text is not final.</w:t>
      </w:r>
    </w:p>
    <w:p w14:paraId="4B92450B" w14:textId="77777777" w:rsidR="00983294" w:rsidRPr="00983294" w:rsidRDefault="00983294" w:rsidP="00983294"/>
    <w:p w14:paraId="671F305D" w14:textId="11831718" w:rsidR="00983294" w:rsidRDefault="00983294" w:rsidP="00D77D3C">
      <w:pPr>
        <w:ind w:left="720"/>
        <w:rPr>
          <w:rFonts w:ascii="Arial" w:hAnsi="Arial" w:cs="Arial"/>
          <w:i/>
          <w:iCs/>
          <w:color w:val="000000"/>
          <w:sz w:val="20"/>
          <w:szCs w:val="20"/>
        </w:rPr>
      </w:pPr>
      <w:r w:rsidRPr="00983294">
        <w:rPr>
          <w:rFonts w:ascii="Arial" w:hAnsi="Arial" w:cs="Arial"/>
          <w:color w:val="000000"/>
          <w:sz w:val="20"/>
          <w:szCs w:val="20"/>
        </w:rPr>
        <w:t xml:space="preserve">In regards to PTI’s Management of the .INT top-level domain, the IFRT had substantive discussions </w:t>
      </w:r>
      <w:proofErr w:type="gramStart"/>
      <w:r w:rsidRPr="00983294">
        <w:rPr>
          <w:rFonts w:ascii="Arial" w:hAnsi="Arial" w:cs="Arial"/>
          <w:color w:val="000000"/>
          <w:sz w:val="20"/>
          <w:szCs w:val="20"/>
        </w:rPr>
        <w:t>on .int’s</w:t>
      </w:r>
      <w:proofErr w:type="gramEnd"/>
      <w:r w:rsidRPr="00983294">
        <w:rPr>
          <w:rFonts w:ascii="Arial" w:hAnsi="Arial" w:cs="Arial"/>
          <w:color w:val="000000"/>
          <w:sz w:val="20"/>
          <w:szCs w:val="20"/>
        </w:rPr>
        <w:t xml:space="preserve"> unique situation.  The team’s final determination was  in-line with the NCSC’s statement: in this Report’s Section 5.3: the team states,</w:t>
      </w:r>
      <w:r w:rsidR="00D77D3C">
        <w:t xml:space="preserve"> </w:t>
      </w:r>
      <w:r w:rsidRPr="00983294">
        <w:rPr>
          <w:rFonts w:ascii="Arial" w:hAnsi="Arial" w:cs="Arial"/>
          <w:color w:val="000000"/>
          <w:sz w:val="20"/>
          <w:szCs w:val="20"/>
        </w:rPr>
        <w:t>“</w:t>
      </w:r>
      <w:r w:rsidRPr="00983294">
        <w:rPr>
          <w:rFonts w:ascii="Arial" w:hAnsi="Arial" w:cs="Arial"/>
          <w:i/>
          <w:iCs/>
          <w:color w:val="000000"/>
          <w:sz w:val="20"/>
          <w:szCs w:val="20"/>
        </w:rPr>
        <w:t xml:space="preserve"> The IFRT notes that if in the future changes are needed to evolve the policy management process for</w:t>
      </w:r>
      <w:r w:rsidRPr="00983294">
        <w:rPr>
          <w:rFonts w:ascii="Arial" w:hAnsi="Arial" w:cs="Arial"/>
          <w:color w:val="000000"/>
          <w:sz w:val="20"/>
          <w:szCs w:val="20"/>
        </w:rPr>
        <w:t xml:space="preserve"> </w:t>
      </w:r>
      <w:r w:rsidRPr="00983294">
        <w:rPr>
          <w:rFonts w:ascii="Arial" w:hAnsi="Arial" w:cs="Arial"/>
          <w:i/>
          <w:iCs/>
          <w:color w:val="000000"/>
          <w:sz w:val="20"/>
          <w:szCs w:val="20"/>
        </w:rPr>
        <w:t>.INT, the IANA Function Contract may need to be updated; but no action is required at this point.”</w:t>
      </w:r>
    </w:p>
    <w:p w14:paraId="6D19BAE6" w14:textId="0F23F8D4" w:rsidR="00E466E9" w:rsidRDefault="00E466E9" w:rsidP="00D77D3C">
      <w:pPr>
        <w:ind w:left="720"/>
        <w:rPr>
          <w:rFonts w:ascii="Arial" w:hAnsi="Arial" w:cs="Arial"/>
          <w:i/>
          <w:iCs/>
          <w:color w:val="000000"/>
          <w:sz w:val="20"/>
          <w:szCs w:val="20"/>
        </w:rPr>
      </w:pPr>
    </w:p>
    <w:p w14:paraId="720D8673" w14:textId="77777777" w:rsidR="00E466E9" w:rsidRPr="00983294" w:rsidRDefault="00E466E9" w:rsidP="00D77D3C">
      <w:pPr>
        <w:ind w:left="720"/>
      </w:pPr>
    </w:p>
    <w:p w14:paraId="328F5B45" w14:textId="77777777" w:rsidR="00983294" w:rsidRPr="00983294" w:rsidRDefault="00983294" w:rsidP="00983294"/>
    <w:p w14:paraId="20396E5C" w14:textId="203AF985" w:rsidR="00983294" w:rsidRPr="003D2AE0" w:rsidRDefault="00E466E9" w:rsidP="00E466E9">
      <w:pPr>
        <w:pStyle w:val="Heading1"/>
        <w:numPr>
          <w:ilvl w:val="0"/>
          <w:numId w:val="5"/>
        </w:numPr>
      </w:pPr>
      <w:r>
        <w:t xml:space="preserve"> ADMINISTRATIVE ITEMS</w:t>
      </w:r>
    </w:p>
    <w:p w14:paraId="7A6EF23E" w14:textId="3E564A8C" w:rsidR="00382004" w:rsidRPr="00AE680C" w:rsidRDefault="00382004" w:rsidP="00382004">
      <w:pPr>
        <w:rPr>
          <w:rFonts w:ascii="Arial" w:hAnsi="Arial" w:cs="Arial"/>
          <w:sz w:val="22"/>
          <w:szCs w:val="22"/>
        </w:rPr>
      </w:pPr>
    </w:p>
    <w:p w14:paraId="573686CD" w14:textId="7DF6E648" w:rsidR="00021D21" w:rsidRDefault="00E466E9" w:rsidP="00E466E9">
      <w:pPr>
        <w:pStyle w:val="ListParagraph"/>
        <w:numPr>
          <w:ilvl w:val="0"/>
          <w:numId w:val="11"/>
        </w:numPr>
      </w:pPr>
      <w:r>
        <w:t xml:space="preserve">Fred briefed the team on his earlier presentation to the PTI Board.  The Chairman has emphasized the desire to have </w:t>
      </w:r>
      <w:proofErr w:type="gramStart"/>
      <w:r>
        <w:t>the  PTI</w:t>
      </w:r>
      <w:proofErr w:type="gramEnd"/>
      <w:r>
        <w:t xml:space="preserve"> Board involved – such as with a briefing or interview, earlier in the Review’s timeline. This has been noted for future IFRs.  The Chairman brought up issues caused by PTI’s Operating Strategy being on a four (4) year cycle, while ICANN’s is on a five (5) year cycle. This is outside the IFR scope, and there are other processes the PTI Board can utilize to make desired changes.</w:t>
      </w:r>
    </w:p>
    <w:p w14:paraId="00BFDDDE" w14:textId="30E89D1C" w:rsidR="00E466E9" w:rsidRDefault="00E466E9" w:rsidP="00E466E9">
      <w:pPr>
        <w:pStyle w:val="ListParagraph"/>
        <w:numPr>
          <w:ilvl w:val="0"/>
          <w:numId w:val="11"/>
        </w:numPr>
      </w:pPr>
      <w:r>
        <w:t xml:space="preserve">James Gannon held the CSC’s liaison seat on the IFRT and resigned when he accepted a position on the PTI Board, per the Board’s requirements.  He has been replaced with the </w:t>
      </w:r>
      <w:r>
        <w:lastRenderedPageBreak/>
        <w:t xml:space="preserve">CSC’s vice-chair, Brett </w:t>
      </w:r>
      <w:proofErr w:type="spellStart"/>
      <w:r>
        <w:t>Carr</w:t>
      </w:r>
      <w:proofErr w:type="spellEnd"/>
      <w:r>
        <w:t>, who was part of the IFRT’s meeting with the CSC and has been fully briefed on the current status of the review.</w:t>
      </w:r>
    </w:p>
    <w:p w14:paraId="28921500" w14:textId="188860FF" w:rsidR="00021D21" w:rsidRDefault="00021D21" w:rsidP="00021D21">
      <w:pPr>
        <w:pStyle w:val="Heading1"/>
      </w:pPr>
      <w:r>
        <w:t>DECISIONS REACHED</w:t>
      </w:r>
    </w:p>
    <w:p w14:paraId="43A06919" w14:textId="09875C29" w:rsidR="00021D21" w:rsidRDefault="00AC3042" w:rsidP="00021D21">
      <w:pPr>
        <w:pStyle w:val="ListParagraph"/>
        <w:numPr>
          <w:ilvl w:val="0"/>
          <w:numId w:val="9"/>
        </w:numPr>
      </w:pPr>
      <w:r>
        <w:t>In the Final Report, include on a note that Recs 1 &amp; 2 are complete</w:t>
      </w:r>
    </w:p>
    <w:p w14:paraId="28E73550" w14:textId="101CF23C" w:rsidR="00AC3042" w:rsidRDefault="00AC3042" w:rsidP="00021D21">
      <w:pPr>
        <w:pStyle w:val="ListParagraph"/>
        <w:numPr>
          <w:ilvl w:val="0"/>
          <w:numId w:val="9"/>
        </w:numPr>
      </w:pPr>
      <w:r>
        <w:t>Based on the reviewing the Public Comments received no changes are required to the Final Report.</w:t>
      </w:r>
    </w:p>
    <w:p w14:paraId="1A434AB2" w14:textId="72ADAAC9" w:rsidR="00021D21" w:rsidRDefault="00021D21" w:rsidP="00021D21"/>
    <w:p w14:paraId="1F351F75" w14:textId="77777777" w:rsidR="00F56A4D" w:rsidRDefault="00F56A4D" w:rsidP="00021D21"/>
    <w:p w14:paraId="0B7DE486" w14:textId="657045DD" w:rsidR="00021D21" w:rsidRDefault="00F56A4D" w:rsidP="008F472E">
      <w:pPr>
        <w:pStyle w:val="Heading1"/>
      </w:pPr>
      <w:r>
        <w:t>ACTION ITEMS</w:t>
      </w:r>
    </w:p>
    <w:p w14:paraId="42FDD534" w14:textId="649F3CBD" w:rsidR="00021D21" w:rsidRDefault="00AC3042" w:rsidP="00AC3042">
      <w:pPr>
        <w:pStyle w:val="ListParagraph"/>
        <w:numPr>
          <w:ilvl w:val="0"/>
          <w:numId w:val="13"/>
        </w:numPr>
      </w:pPr>
      <w:r>
        <w:t>Amy to move the Initial Report to the Final Report stage with some simple updates</w:t>
      </w:r>
    </w:p>
    <w:p w14:paraId="4BEA1BDD" w14:textId="64E3D43E" w:rsidR="00AC3042" w:rsidRDefault="00AC3042" w:rsidP="00AC3042">
      <w:pPr>
        <w:pStyle w:val="ListParagraph"/>
        <w:numPr>
          <w:ilvl w:val="0"/>
          <w:numId w:val="13"/>
        </w:numPr>
      </w:pPr>
      <w:r>
        <w:t>Amy to add a Comment Report section as an Appendix, and the team to review the Final Report prior to the next IFR meeting on 12 Jan 2021</w:t>
      </w:r>
    </w:p>
    <w:p w14:paraId="204ABD59" w14:textId="77777777" w:rsidR="00F56A4D" w:rsidRDefault="00F56A4D" w:rsidP="00F56A4D">
      <w:pPr>
        <w:pStyle w:val="ListParagraph"/>
        <w:ind w:left="2880"/>
      </w:pPr>
    </w:p>
    <w:sectPr w:rsidR="00F56A4D" w:rsidSect="00FA6854">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6969F" w14:textId="77777777" w:rsidR="009F5466" w:rsidRDefault="009F5466" w:rsidP="008F472E">
      <w:r>
        <w:separator/>
      </w:r>
    </w:p>
  </w:endnote>
  <w:endnote w:type="continuationSeparator" w:id="0">
    <w:p w14:paraId="7217B74F" w14:textId="77777777" w:rsidR="009F5466" w:rsidRDefault="009F5466" w:rsidP="008F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swald">
    <w:altName w:val="Arial Narrow"/>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2715772"/>
      <w:docPartObj>
        <w:docPartGallery w:val="Page Numbers (Bottom of Page)"/>
        <w:docPartUnique/>
      </w:docPartObj>
    </w:sdtPr>
    <w:sdtEndPr>
      <w:rPr>
        <w:rStyle w:val="PageNumber"/>
      </w:rPr>
    </w:sdtEndPr>
    <w:sdtContent>
      <w:p w14:paraId="1E759890" w14:textId="33E59554" w:rsidR="008F472E" w:rsidRDefault="008F472E" w:rsidP="00641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FE3CF6" w14:textId="77777777" w:rsidR="008F472E" w:rsidRDefault="008F472E" w:rsidP="008F47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2446070"/>
      <w:docPartObj>
        <w:docPartGallery w:val="Page Numbers (Bottom of Page)"/>
        <w:docPartUnique/>
      </w:docPartObj>
    </w:sdtPr>
    <w:sdtEndPr>
      <w:rPr>
        <w:rStyle w:val="PageNumber"/>
      </w:rPr>
    </w:sdtEndPr>
    <w:sdtContent>
      <w:p w14:paraId="4504CED7" w14:textId="7253CE87" w:rsidR="008F472E" w:rsidRDefault="008F472E" w:rsidP="00641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8AD472" w14:textId="77777777" w:rsidR="008F472E" w:rsidRDefault="008F472E" w:rsidP="008F47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B9588" w14:textId="77777777" w:rsidR="009F5466" w:rsidRDefault="009F5466" w:rsidP="008F472E">
      <w:r>
        <w:separator/>
      </w:r>
    </w:p>
  </w:footnote>
  <w:footnote w:type="continuationSeparator" w:id="0">
    <w:p w14:paraId="3A879DE4" w14:textId="77777777" w:rsidR="009F5466" w:rsidRDefault="009F5466" w:rsidP="008F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0BE1"/>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BF1B76"/>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6A6939"/>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181E05"/>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5E648F"/>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B44579"/>
    <w:multiLevelType w:val="hybridMultilevel"/>
    <w:tmpl w:val="E0F6BB38"/>
    <w:lvl w:ilvl="0" w:tplc="EF88B7A6">
      <w:start w:val="1"/>
      <w:numFmt w:val="upperRoman"/>
      <w:lvlText w:val="%1."/>
      <w:lvlJc w:val="left"/>
      <w:pPr>
        <w:ind w:left="1080" w:hanging="720"/>
      </w:pPr>
      <w:rPr>
        <w:rFonts w:eastAsia="Times New Roman"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E547C"/>
    <w:multiLevelType w:val="multilevel"/>
    <w:tmpl w:val="96B0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4770F"/>
    <w:multiLevelType w:val="hybridMultilevel"/>
    <w:tmpl w:val="AC722698"/>
    <w:lvl w:ilvl="0" w:tplc="A9CEEA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078F4"/>
    <w:multiLevelType w:val="multilevel"/>
    <w:tmpl w:val="D6EE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D21ADA"/>
    <w:multiLevelType w:val="hybridMultilevel"/>
    <w:tmpl w:val="1C461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6691C"/>
    <w:multiLevelType w:val="hybridMultilevel"/>
    <w:tmpl w:val="FF8C63B0"/>
    <w:lvl w:ilvl="0" w:tplc="F3F48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7347"/>
    <w:multiLevelType w:val="multilevel"/>
    <w:tmpl w:val="96B0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D92EF7"/>
    <w:multiLevelType w:val="multilevel"/>
    <w:tmpl w:val="E41A3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2"/>
  </w:num>
  <w:num w:numId="4">
    <w:abstractNumId w:val="4"/>
  </w:num>
  <w:num w:numId="5">
    <w:abstractNumId w:val="5"/>
  </w:num>
  <w:num w:numId="6">
    <w:abstractNumId w:val="11"/>
  </w:num>
  <w:num w:numId="7">
    <w:abstractNumId w:val="6"/>
  </w:num>
  <w:num w:numId="8">
    <w:abstractNumId w:val="2"/>
  </w:num>
  <w:num w:numId="9">
    <w:abstractNumId w:val="0"/>
  </w:num>
  <w:num w:numId="10">
    <w:abstractNumId w:val="8"/>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41"/>
    <w:rsid w:val="00021D21"/>
    <w:rsid w:val="000670A3"/>
    <w:rsid w:val="000D6D8F"/>
    <w:rsid w:val="00174ED7"/>
    <w:rsid w:val="00186730"/>
    <w:rsid w:val="001A20E4"/>
    <w:rsid w:val="001E5E3D"/>
    <w:rsid w:val="00382004"/>
    <w:rsid w:val="003B6281"/>
    <w:rsid w:val="003D2AE0"/>
    <w:rsid w:val="00490876"/>
    <w:rsid w:val="004A70D1"/>
    <w:rsid w:val="004B6DB2"/>
    <w:rsid w:val="005C38EF"/>
    <w:rsid w:val="0065642B"/>
    <w:rsid w:val="00715895"/>
    <w:rsid w:val="00763BD5"/>
    <w:rsid w:val="008542AD"/>
    <w:rsid w:val="008F472E"/>
    <w:rsid w:val="00983294"/>
    <w:rsid w:val="009C5B0C"/>
    <w:rsid w:val="009F5466"/>
    <w:rsid w:val="00A14820"/>
    <w:rsid w:val="00A57C22"/>
    <w:rsid w:val="00A86489"/>
    <w:rsid w:val="00AA0BBC"/>
    <w:rsid w:val="00AC3042"/>
    <w:rsid w:val="00AE680C"/>
    <w:rsid w:val="00B43803"/>
    <w:rsid w:val="00BC5010"/>
    <w:rsid w:val="00BC6A01"/>
    <w:rsid w:val="00BD43E2"/>
    <w:rsid w:val="00C11F42"/>
    <w:rsid w:val="00C74B50"/>
    <w:rsid w:val="00C91CD0"/>
    <w:rsid w:val="00CB284D"/>
    <w:rsid w:val="00D44541"/>
    <w:rsid w:val="00D77D3C"/>
    <w:rsid w:val="00DE3F00"/>
    <w:rsid w:val="00DF75B3"/>
    <w:rsid w:val="00E012A0"/>
    <w:rsid w:val="00E466E9"/>
    <w:rsid w:val="00E9255A"/>
    <w:rsid w:val="00F0045C"/>
    <w:rsid w:val="00F56A4D"/>
    <w:rsid w:val="00FA6854"/>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4CD1"/>
  <w15:chartTrackingRefBased/>
  <w15:docId w15:val="{914CF093-FEA5-F048-B259-3F705C08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E4"/>
    <w:rPr>
      <w:rFonts w:ascii="Times New Roman" w:eastAsia="Times New Roman" w:hAnsi="Times New Roman" w:cs="Times New Roman"/>
    </w:rPr>
  </w:style>
  <w:style w:type="paragraph" w:styleId="Heading1">
    <w:name w:val="heading 1"/>
    <w:basedOn w:val="Normal"/>
    <w:next w:val="Normal"/>
    <w:link w:val="Heading1Char"/>
    <w:uiPriority w:val="9"/>
    <w:qFormat/>
    <w:rsid w:val="00A86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4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541"/>
    <w:rPr>
      <w:color w:val="0563C1" w:themeColor="hyperlink"/>
      <w:u w:val="single"/>
    </w:rPr>
  </w:style>
  <w:style w:type="character" w:styleId="UnresolvedMention">
    <w:name w:val="Unresolved Mention"/>
    <w:basedOn w:val="DefaultParagraphFont"/>
    <w:uiPriority w:val="99"/>
    <w:semiHidden/>
    <w:unhideWhenUsed/>
    <w:rsid w:val="00D44541"/>
    <w:rPr>
      <w:color w:val="605E5C"/>
      <w:shd w:val="clear" w:color="auto" w:fill="E1DFDD"/>
    </w:rPr>
  </w:style>
  <w:style w:type="paragraph" w:styleId="ListParagraph">
    <w:name w:val="List Paragraph"/>
    <w:basedOn w:val="Normal"/>
    <w:uiPriority w:val="34"/>
    <w:qFormat/>
    <w:rsid w:val="00CB284D"/>
    <w:pPr>
      <w:ind w:left="720"/>
      <w:contextualSpacing/>
    </w:pPr>
  </w:style>
  <w:style w:type="paragraph" w:styleId="NormalWeb">
    <w:name w:val="Normal (Web)"/>
    <w:basedOn w:val="Normal"/>
    <w:uiPriority w:val="99"/>
    <w:semiHidden/>
    <w:unhideWhenUsed/>
    <w:rsid w:val="00C11F42"/>
    <w:pPr>
      <w:spacing w:before="100" w:beforeAutospacing="1" w:after="100" w:afterAutospacing="1"/>
    </w:pPr>
  </w:style>
  <w:style w:type="paragraph" w:styleId="BalloonText">
    <w:name w:val="Balloon Text"/>
    <w:basedOn w:val="Normal"/>
    <w:link w:val="BalloonTextChar"/>
    <w:uiPriority w:val="99"/>
    <w:semiHidden/>
    <w:unhideWhenUsed/>
    <w:rsid w:val="00AA0BBC"/>
    <w:rPr>
      <w:sz w:val="18"/>
      <w:szCs w:val="18"/>
    </w:rPr>
  </w:style>
  <w:style w:type="character" w:customStyle="1" w:styleId="BalloonTextChar">
    <w:name w:val="Balloon Text Char"/>
    <w:basedOn w:val="DefaultParagraphFont"/>
    <w:link w:val="BalloonText"/>
    <w:uiPriority w:val="99"/>
    <w:semiHidden/>
    <w:rsid w:val="00AA0BBC"/>
    <w:rPr>
      <w:rFonts w:ascii="Times New Roman" w:hAnsi="Times New Roman" w:cs="Times New Roman"/>
      <w:sz w:val="18"/>
      <w:szCs w:val="18"/>
    </w:rPr>
  </w:style>
  <w:style w:type="character" w:customStyle="1" w:styleId="content-text">
    <w:name w:val="content-text"/>
    <w:basedOn w:val="DefaultParagraphFont"/>
    <w:rsid w:val="00BD43E2"/>
  </w:style>
  <w:style w:type="character" w:customStyle="1" w:styleId="Heading1Char">
    <w:name w:val="Heading 1 Char"/>
    <w:basedOn w:val="DefaultParagraphFont"/>
    <w:link w:val="Heading1"/>
    <w:uiPriority w:val="9"/>
    <w:rsid w:val="00A864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6489"/>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1A20E4"/>
  </w:style>
  <w:style w:type="paragraph" w:styleId="Footer">
    <w:name w:val="footer"/>
    <w:basedOn w:val="Normal"/>
    <w:link w:val="FooterChar"/>
    <w:uiPriority w:val="99"/>
    <w:unhideWhenUsed/>
    <w:rsid w:val="008F472E"/>
    <w:pPr>
      <w:tabs>
        <w:tab w:val="center" w:pos="4680"/>
        <w:tab w:val="right" w:pos="9360"/>
      </w:tabs>
    </w:pPr>
  </w:style>
  <w:style w:type="character" w:customStyle="1" w:styleId="FooterChar">
    <w:name w:val="Footer Char"/>
    <w:basedOn w:val="DefaultParagraphFont"/>
    <w:link w:val="Footer"/>
    <w:uiPriority w:val="99"/>
    <w:rsid w:val="008F472E"/>
    <w:rPr>
      <w:rFonts w:ascii="Times New Roman" w:eastAsia="Times New Roman" w:hAnsi="Times New Roman" w:cs="Times New Roman"/>
    </w:rPr>
  </w:style>
  <w:style w:type="character" w:styleId="PageNumber">
    <w:name w:val="page number"/>
    <w:basedOn w:val="DefaultParagraphFont"/>
    <w:uiPriority w:val="99"/>
    <w:semiHidden/>
    <w:unhideWhenUsed/>
    <w:rsid w:val="008F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74746">
      <w:bodyDiv w:val="1"/>
      <w:marLeft w:val="0"/>
      <w:marRight w:val="0"/>
      <w:marTop w:val="0"/>
      <w:marBottom w:val="0"/>
      <w:divBdr>
        <w:top w:val="none" w:sz="0" w:space="0" w:color="auto"/>
        <w:left w:val="none" w:sz="0" w:space="0" w:color="auto"/>
        <w:bottom w:val="none" w:sz="0" w:space="0" w:color="auto"/>
        <w:right w:val="none" w:sz="0" w:space="0" w:color="auto"/>
      </w:divBdr>
    </w:div>
    <w:div w:id="173492870">
      <w:bodyDiv w:val="1"/>
      <w:marLeft w:val="0"/>
      <w:marRight w:val="0"/>
      <w:marTop w:val="0"/>
      <w:marBottom w:val="0"/>
      <w:divBdr>
        <w:top w:val="none" w:sz="0" w:space="0" w:color="auto"/>
        <w:left w:val="none" w:sz="0" w:space="0" w:color="auto"/>
        <w:bottom w:val="none" w:sz="0" w:space="0" w:color="auto"/>
        <w:right w:val="none" w:sz="0" w:space="0" w:color="auto"/>
      </w:divBdr>
    </w:div>
    <w:div w:id="197671146">
      <w:bodyDiv w:val="1"/>
      <w:marLeft w:val="0"/>
      <w:marRight w:val="0"/>
      <w:marTop w:val="0"/>
      <w:marBottom w:val="0"/>
      <w:divBdr>
        <w:top w:val="none" w:sz="0" w:space="0" w:color="auto"/>
        <w:left w:val="none" w:sz="0" w:space="0" w:color="auto"/>
        <w:bottom w:val="none" w:sz="0" w:space="0" w:color="auto"/>
        <w:right w:val="none" w:sz="0" w:space="0" w:color="auto"/>
      </w:divBdr>
      <w:divsChild>
        <w:div w:id="943271306">
          <w:marLeft w:val="0"/>
          <w:marRight w:val="0"/>
          <w:marTop w:val="0"/>
          <w:marBottom w:val="0"/>
          <w:divBdr>
            <w:top w:val="none" w:sz="0" w:space="0" w:color="auto"/>
            <w:left w:val="none" w:sz="0" w:space="0" w:color="auto"/>
            <w:bottom w:val="none" w:sz="0" w:space="0" w:color="auto"/>
            <w:right w:val="none" w:sz="0" w:space="0" w:color="auto"/>
          </w:divBdr>
          <w:divsChild>
            <w:div w:id="1590893878">
              <w:marLeft w:val="0"/>
              <w:marRight w:val="0"/>
              <w:marTop w:val="0"/>
              <w:marBottom w:val="0"/>
              <w:divBdr>
                <w:top w:val="none" w:sz="0" w:space="0" w:color="auto"/>
                <w:left w:val="none" w:sz="0" w:space="0" w:color="auto"/>
                <w:bottom w:val="none" w:sz="0" w:space="0" w:color="auto"/>
                <w:right w:val="none" w:sz="0" w:space="0" w:color="auto"/>
              </w:divBdr>
              <w:divsChild>
                <w:div w:id="2052880231">
                  <w:marLeft w:val="0"/>
                  <w:marRight w:val="0"/>
                  <w:marTop w:val="0"/>
                  <w:marBottom w:val="0"/>
                  <w:divBdr>
                    <w:top w:val="none" w:sz="0" w:space="0" w:color="auto"/>
                    <w:left w:val="none" w:sz="0" w:space="0" w:color="auto"/>
                    <w:bottom w:val="none" w:sz="0" w:space="0" w:color="auto"/>
                    <w:right w:val="none" w:sz="0" w:space="0" w:color="auto"/>
                  </w:divBdr>
                  <w:divsChild>
                    <w:div w:id="11654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6235">
      <w:bodyDiv w:val="1"/>
      <w:marLeft w:val="0"/>
      <w:marRight w:val="0"/>
      <w:marTop w:val="0"/>
      <w:marBottom w:val="0"/>
      <w:divBdr>
        <w:top w:val="none" w:sz="0" w:space="0" w:color="auto"/>
        <w:left w:val="none" w:sz="0" w:space="0" w:color="auto"/>
        <w:bottom w:val="none" w:sz="0" w:space="0" w:color="auto"/>
        <w:right w:val="none" w:sz="0" w:space="0" w:color="auto"/>
      </w:divBdr>
    </w:div>
    <w:div w:id="247345105">
      <w:bodyDiv w:val="1"/>
      <w:marLeft w:val="0"/>
      <w:marRight w:val="0"/>
      <w:marTop w:val="0"/>
      <w:marBottom w:val="0"/>
      <w:divBdr>
        <w:top w:val="none" w:sz="0" w:space="0" w:color="auto"/>
        <w:left w:val="none" w:sz="0" w:space="0" w:color="auto"/>
        <w:bottom w:val="none" w:sz="0" w:space="0" w:color="auto"/>
        <w:right w:val="none" w:sz="0" w:space="0" w:color="auto"/>
      </w:divBdr>
    </w:div>
    <w:div w:id="432867701">
      <w:bodyDiv w:val="1"/>
      <w:marLeft w:val="0"/>
      <w:marRight w:val="0"/>
      <w:marTop w:val="0"/>
      <w:marBottom w:val="0"/>
      <w:divBdr>
        <w:top w:val="none" w:sz="0" w:space="0" w:color="auto"/>
        <w:left w:val="none" w:sz="0" w:space="0" w:color="auto"/>
        <w:bottom w:val="none" w:sz="0" w:space="0" w:color="auto"/>
        <w:right w:val="none" w:sz="0" w:space="0" w:color="auto"/>
      </w:divBdr>
    </w:div>
    <w:div w:id="458761247">
      <w:bodyDiv w:val="1"/>
      <w:marLeft w:val="0"/>
      <w:marRight w:val="0"/>
      <w:marTop w:val="0"/>
      <w:marBottom w:val="0"/>
      <w:divBdr>
        <w:top w:val="none" w:sz="0" w:space="0" w:color="auto"/>
        <w:left w:val="none" w:sz="0" w:space="0" w:color="auto"/>
        <w:bottom w:val="none" w:sz="0" w:space="0" w:color="auto"/>
        <w:right w:val="none" w:sz="0" w:space="0" w:color="auto"/>
      </w:divBdr>
    </w:div>
    <w:div w:id="514155812">
      <w:bodyDiv w:val="1"/>
      <w:marLeft w:val="0"/>
      <w:marRight w:val="0"/>
      <w:marTop w:val="0"/>
      <w:marBottom w:val="0"/>
      <w:divBdr>
        <w:top w:val="none" w:sz="0" w:space="0" w:color="auto"/>
        <w:left w:val="none" w:sz="0" w:space="0" w:color="auto"/>
        <w:bottom w:val="none" w:sz="0" w:space="0" w:color="auto"/>
        <w:right w:val="none" w:sz="0" w:space="0" w:color="auto"/>
      </w:divBdr>
    </w:div>
    <w:div w:id="538203407">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698167653">
      <w:bodyDiv w:val="1"/>
      <w:marLeft w:val="0"/>
      <w:marRight w:val="0"/>
      <w:marTop w:val="0"/>
      <w:marBottom w:val="0"/>
      <w:divBdr>
        <w:top w:val="none" w:sz="0" w:space="0" w:color="auto"/>
        <w:left w:val="none" w:sz="0" w:space="0" w:color="auto"/>
        <w:bottom w:val="none" w:sz="0" w:space="0" w:color="auto"/>
        <w:right w:val="none" w:sz="0" w:space="0" w:color="auto"/>
      </w:divBdr>
      <w:divsChild>
        <w:div w:id="1475217386">
          <w:marLeft w:val="0"/>
          <w:marRight w:val="0"/>
          <w:marTop w:val="0"/>
          <w:marBottom w:val="0"/>
          <w:divBdr>
            <w:top w:val="none" w:sz="0" w:space="0" w:color="auto"/>
            <w:left w:val="none" w:sz="0" w:space="0" w:color="auto"/>
            <w:bottom w:val="none" w:sz="0" w:space="0" w:color="auto"/>
            <w:right w:val="none" w:sz="0" w:space="0" w:color="auto"/>
          </w:divBdr>
          <w:divsChild>
            <w:div w:id="880941630">
              <w:marLeft w:val="0"/>
              <w:marRight w:val="0"/>
              <w:marTop w:val="0"/>
              <w:marBottom w:val="0"/>
              <w:divBdr>
                <w:top w:val="none" w:sz="0" w:space="0" w:color="auto"/>
                <w:left w:val="none" w:sz="0" w:space="0" w:color="auto"/>
                <w:bottom w:val="none" w:sz="0" w:space="0" w:color="auto"/>
                <w:right w:val="none" w:sz="0" w:space="0" w:color="auto"/>
              </w:divBdr>
              <w:divsChild>
                <w:div w:id="3547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6206">
      <w:bodyDiv w:val="1"/>
      <w:marLeft w:val="0"/>
      <w:marRight w:val="0"/>
      <w:marTop w:val="0"/>
      <w:marBottom w:val="0"/>
      <w:divBdr>
        <w:top w:val="none" w:sz="0" w:space="0" w:color="auto"/>
        <w:left w:val="none" w:sz="0" w:space="0" w:color="auto"/>
        <w:bottom w:val="none" w:sz="0" w:space="0" w:color="auto"/>
        <w:right w:val="none" w:sz="0" w:space="0" w:color="auto"/>
      </w:divBdr>
    </w:div>
    <w:div w:id="1203711783">
      <w:bodyDiv w:val="1"/>
      <w:marLeft w:val="0"/>
      <w:marRight w:val="0"/>
      <w:marTop w:val="0"/>
      <w:marBottom w:val="0"/>
      <w:divBdr>
        <w:top w:val="none" w:sz="0" w:space="0" w:color="auto"/>
        <w:left w:val="none" w:sz="0" w:space="0" w:color="auto"/>
        <w:bottom w:val="none" w:sz="0" w:space="0" w:color="auto"/>
        <w:right w:val="none" w:sz="0" w:space="0" w:color="auto"/>
      </w:divBdr>
    </w:div>
    <w:div w:id="1211268379">
      <w:bodyDiv w:val="1"/>
      <w:marLeft w:val="0"/>
      <w:marRight w:val="0"/>
      <w:marTop w:val="0"/>
      <w:marBottom w:val="0"/>
      <w:divBdr>
        <w:top w:val="none" w:sz="0" w:space="0" w:color="auto"/>
        <w:left w:val="none" w:sz="0" w:space="0" w:color="auto"/>
        <w:bottom w:val="none" w:sz="0" w:space="0" w:color="auto"/>
        <w:right w:val="none" w:sz="0" w:space="0" w:color="auto"/>
      </w:divBdr>
    </w:div>
    <w:div w:id="1347712618">
      <w:bodyDiv w:val="1"/>
      <w:marLeft w:val="0"/>
      <w:marRight w:val="0"/>
      <w:marTop w:val="0"/>
      <w:marBottom w:val="0"/>
      <w:divBdr>
        <w:top w:val="none" w:sz="0" w:space="0" w:color="auto"/>
        <w:left w:val="none" w:sz="0" w:space="0" w:color="auto"/>
        <w:bottom w:val="none" w:sz="0" w:space="0" w:color="auto"/>
        <w:right w:val="none" w:sz="0" w:space="0" w:color="auto"/>
      </w:divBdr>
    </w:div>
    <w:div w:id="1387994783">
      <w:bodyDiv w:val="1"/>
      <w:marLeft w:val="0"/>
      <w:marRight w:val="0"/>
      <w:marTop w:val="0"/>
      <w:marBottom w:val="0"/>
      <w:divBdr>
        <w:top w:val="none" w:sz="0" w:space="0" w:color="auto"/>
        <w:left w:val="none" w:sz="0" w:space="0" w:color="auto"/>
        <w:bottom w:val="none" w:sz="0" w:space="0" w:color="auto"/>
        <w:right w:val="none" w:sz="0" w:space="0" w:color="auto"/>
      </w:divBdr>
      <w:divsChild>
        <w:div w:id="1409762524">
          <w:marLeft w:val="0"/>
          <w:marRight w:val="0"/>
          <w:marTop w:val="0"/>
          <w:marBottom w:val="0"/>
          <w:divBdr>
            <w:top w:val="none" w:sz="0" w:space="0" w:color="auto"/>
            <w:left w:val="none" w:sz="0" w:space="0" w:color="auto"/>
            <w:bottom w:val="none" w:sz="0" w:space="0" w:color="auto"/>
            <w:right w:val="none" w:sz="0" w:space="0" w:color="auto"/>
          </w:divBdr>
          <w:divsChild>
            <w:div w:id="995105215">
              <w:marLeft w:val="0"/>
              <w:marRight w:val="0"/>
              <w:marTop w:val="0"/>
              <w:marBottom w:val="0"/>
              <w:divBdr>
                <w:top w:val="none" w:sz="0" w:space="0" w:color="auto"/>
                <w:left w:val="none" w:sz="0" w:space="0" w:color="auto"/>
                <w:bottom w:val="none" w:sz="0" w:space="0" w:color="auto"/>
                <w:right w:val="none" w:sz="0" w:space="0" w:color="auto"/>
              </w:divBdr>
              <w:divsChild>
                <w:div w:id="14208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3117">
      <w:bodyDiv w:val="1"/>
      <w:marLeft w:val="0"/>
      <w:marRight w:val="0"/>
      <w:marTop w:val="0"/>
      <w:marBottom w:val="0"/>
      <w:divBdr>
        <w:top w:val="none" w:sz="0" w:space="0" w:color="auto"/>
        <w:left w:val="none" w:sz="0" w:space="0" w:color="auto"/>
        <w:bottom w:val="none" w:sz="0" w:space="0" w:color="auto"/>
        <w:right w:val="none" w:sz="0" w:space="0" w:color="auto"/>
      </w:divBdr>
    </w:div>
    <w:div w:id="1585912364">
      <w:bodyDiv w:val="1"/>
      <w:marLeft w:val="0"/>
      <w:marRight w:val="0"/>
      <w:marTop w:val="0"/>
      <w:marBottom w:val="0"/>
      <w:divBdr>
        <w:top w:val="none" w:sz="0" w:space="0" w:color="auto"/>
        <w:left w:val="none" w:sz="0" w:space="0" w:color="auto"/>
        <w:bottom w:val="none" w:sz="0" w:space="0" w:color="auto"/>
        <w:right w:val="none" w:sz="0" w:space="0" w:color="auto"/>
      </w:divBdr>
    </w:div>
    <w:div w:id="1609316967">
      <w:bodyDiv w:val="1"/>
      <w:marLeft w:val="0"/>
      <w:marRight w:val="0"/>
      <w:marTop w:val="0"/>
      <w:marBottom w:val="0"/>
      <w:divBdr>
        <w:top w:val="none" w:sz="0" w:space="0" w:color="auto"/>
        <w:left w:val="none" w:sz="0" w:space="0" w:color="auto"/>
        <w:bottom w:val="none" w:sz="0" w:space="0" w:color="auto"/>
        <w:right w:val="none" w:sz="0" w:space="0" w:color="auto"/>
      </w:divBdr>
    </w:div>
    <w:div w:id="1643803110">
      <w:bodyDiv w:val="1"/>
      <w:marLeft w:val="0"/>
      <w:marRight w:val="0"/>
      <w:marTop w:val="0"/>
      <w:marBottom w:val="0"/>
      <w:divBdr>
        <w:top w:val="none" w:sz="0" w:space="0" w:color="auto"/>
        <w:left w:val="none" w:sz="0" w:space="0" w:color="auto"/>
        <w:bottom w:val="none" w:sz="0" w:space="0" w:color="auto"/>
        <w:right w:val="none" w:sz="0" w:space="0" w:color="auto"/>
      </w:divBdr>
    </w:div>
    <w:div w:id="1652758235">
      <w:bodyDiv w:val="1"/>
      <w:marLeft w:val="0"/>
      <w:marRight w:val="0"/>
      <w:marTop w:val="0"/>
      <w:marBottom w:val="0"/>
      <w:divBdr>
        <w:top w:val="none" w:sz="0" w:space="0" w:color="auto"/>
        <w:left w:val="none" w:sz="0" w:space="0" w:color="auto"/>
        <w:bottom w:val="none" w:sz="0" w:space="0" w:color="auto"/>
        <w:right w:val="none" w:sz="0" w:space="0" w:color="auto"/>
      </w:divBdr>
      <w:divsChild>
        <w:div w:id="2070767125">
          <w:marLeft w:val="0"/>
          <w:marRight w:val="0"/>
          <w:marTop w:val="0"/>
          <w:marBottom w:val="0"/>
          <w:divBdr>
            <w:top w:val="none" w:sz="0" w:space="0" w:color="auto"/>
            <w:left w:val="none" w:sz="0" w:space="0" w:color="auto"/>
            <w:bottom w:val="none" w:sz="0" w:space="0" w:color="auto"/>
            <w:right w:val="none" w:sz="0" w:space="0" w:color="auto"/>
          </w:divBdr>
          <w:divsChild>
            <w:div w:id="1451973778">
              <w:marLeft w:val="0"/>
              <w:marRight w:val="0"/>
              <w:marTop w:val="0"/>
              <w:marBottom w:val="0"/>
              <w:divBdr>
                <w:top w:val="none" w:sz="0" w:space="0" w:color="auto"/>
                <w:left w:val="none" w:sz="0" w:space="0" w:color="auto"/>
                <w:bottom w:val="none" w:sz="0" w:space="0" w:color="auto"/>
                <w:right w:val="none" w:sz="0" w:space="0" w:color="auto"/>
              </w:divBdr>
              <w:divsChild>
                <w:div w:id="761684000">
                  <w:marLeft w:val="0"/>
                  <w:marRight w:val="0"/>
                  <w:marTop w:val="0"/>
                  <w:marBottom w:val="0"/>
                  <w:divBdr>
                    <w:top w:val="none" w:sz="0" w:space="0" w:color="auto"/>
                    <w:left w:val="none" w:sz="0" w:space="0" w:color="auto"/>
                    <w:bottom w:val="none" w:sz="0" w:space="0" w:color="auto"/>
                    <w:right w:val="none" w:sz="0" w:space="0" w:color="auto"/>
                  </w:divBdr>
                  <w:divsChild>
                    <w:div w:id="4913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701">
      <w:bodyDiv w:val="1"/>
      <w:marLeft w:val="0"/>
      <w:marRight w:val="0"/>
      <w:marTop w:val="0"/>
      <w:marBottom w:val="0"/>
      <w:divBdr>
        <w:top w:val="none" w:sz="0" w:space="0" w:color="auto"/>
        <w:left w:val="none" w:sz="0" w:space="0" w:color="auto"/>
        <w:bottom w:val="none" w:sz="0" w:space="0" w:color="auto"/>
        <w:right w:val="none" w:sz="0" w:space="0" w:color="auto"/>
      </w:divBdr>
      <w:divsChild>
        <w:div w:id="2003580541">
          <w:marLeft w:val="0"/>
          <w:marRight w:val="0"/>
          <w:marTop w:val="0"/>
          <w:marBottom w:val="0"/>
          <w:divBdr>
            <w:top w:val="none" w:sz="0" w:space="0" w:color="auto"/>
            <w:left w:val="none" w:sz="0" w:space="0" w:color="auto"/>
            <w:bottom w:val="none" w:sz="0" w:space="0" w:color="auto"/>
            <w:right w:val="none" w:sz="0" w:space="0" w:color="auto"/>
          </w:divBdr>
          <w:divsChild>
            <w:div w:id="1778330527">
              <w:marLeft w:val="0"/>
              <w:marRight w:val="0"/>
              <w:marTop w:val="0"/>
              <w:marBottom w:val="0"/>
              <w:divBdr>
                <w:top w:val="none" w:sz="0" w:space="0" w:color="auto"/>
                <w:left w:val="none" w:sz="0" w:space="0" w:color="auto"/>
                <w:bottom w:val="none" w:sz="0" w:space="0" w:color="auto"/>
                <w:right w:val="none" w:sz="0" w:space="0" w:color="auto"/>
              </w:divBdr>
              <w:divsChild>
                <w:div w:id="532502487">
                  <w:marLeft w:val="0"/>
                  <w:marRight w:val="0"/>
                  <w:marTop w:val="0"/>
                  <w:marBottom w:val="0"/>
                  <w:divBdr>
                    <w:top w:val="none" w:sz="0" w:space="0" w:color="auto"/>
                    <w:left w:val="none" w:sz="0" w:space="0" w:color="auto"/>
                    <w:bottom w:val="none" w:sz="0" w:space="0" w:color="auto"/>
                    <w:right w:val="none" w:sz="0" w:space="0" w:color="auto"/>
                  </w:divBdr>
                  <w:divsChild>
                    <w:div w:id="1053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59548">
      <w:bodyDiv w:val="1"/>
      <w:marLeft w:val="0"/>
      <w:marRight w:val="0"/>
      <w:marTop w:val="0"/>
      <w:marBottom w:val="0"/>
      <w:divBdr>
        <w:top w:val="none" w:sz="0" w:space="0" w:color="auto"/>
        <w:left w:val="none" w:sz="0" w:space="0" w:color="auto"/>
        <w:bottom w:val="none" w:sz="0" w:space="0" w:color="auto"/>
        <w:right w:val="none" w:sz="0" w:space="0" w:color="auto"/>
      </w:divBdr>
    </w:div>
    <w:div w:id="1813790953">
      <w:bodyDiv w:val="1"/>
      <w:marLeft w:val="0"/>
      <w:marRight w:val="0"/>
      <w:marTop w:val="0"/>
      <w:marBottom w:val="0"/>
      <w:divBdr>
        <w:top w:val="none" w:sz="0" w:space="0" w:color="auto"/>
        <w:left w:val="none" w:sz="0" w:space="0" w:color="auto"/>
        <w:bottom w:val="none" w:sz="0" w:space="0" w:color="auto"/>
        <w:right w:val="none" w:sz="0" w:space="0" w:color="auto"/>
      </w:divBdr>
    </w:div>
    <w:div w:id="1817912771">
      <w:bodyDiv w:val="1"/>
      <w:marLeft w:val="0"/>
      <w:marRight w:val="0"/>
      <w:marTop w:val="0"/>
      <w:marBottom w:val="0"/>
      <w:divBdr>
        <w:top w:val="none" w:sz="0" w:space="0" w:color="auto"/>
        <w:left w:val="none" w:sz="0" w:space="0" w:color="auto"/>
        <w:bottom w:val="none" w:sz="0" w:space="0" w:color="auto"/>
        <w:right w:val="none" w:sz="0" w:space="0" w:color="auto"/>
      </w:divBdr>
    </w:div>
    <w:div w:id="2023509271">
      <w:bodyDiv w:val="1"/>
      <w:marLeft w:val="0"/>
      <w:marRight w:val="0"/>
      <w:marTop w:val="0"/>
      <w:marBottom w:val="0"/>
      <w:divBdr>
        <w:top w:val="none" w:sz="0" w:space="0" w:color="auto"/>
        <w:left w:val="none" w:sz="0" w:space="0" w:color="auto"/>
        <w:bottom w:val="none" w:sz="0" w:space="0" w:color="auto"/>
        <w:right w:val="none" w:sz="0" w:space="0" w:color="auto"/>
      </w:divBdr>
    </w:div>
    <w:div w:id="20294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functions-transition-plan-11dec20-en.pdf" TargetMode="External"/><Relationship Id="rId13" Type="http://schemas.openxmlformats.org/officeDocument/2006/relationships/hyperlink" Target="https://docs.google.com/document/d/1ZlSPlVdTxcKunWrTfRMGk5gJQjWypvzF/edit" TargetMode="External"/><Relationship Id="rId3" Type="http://schemas.openxmlformats.org/officeDocument/2006/relationships/settings" Target="settings.xml"/><Relationship Id="rId7" Type="http://schemas.openxmlformats.org/officeDocument/2006/relationships/hyperlink" Target="https://community.icann.org/display/ifr/September+15++2020+%2818%3A00+UTC%29+-+Call+%2318" TargetMode="External"/><Relationship Id="rId12" Type="http://schemas.openxmlformats.org/officeDocument/2006/relationships/hyperlink" Target="https://docs.google.com/document/d/1ZlSPlVdTxcKunWrTfRMGk5gJQjWypvzF/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ZlSPlVdTxcKunWrTfRMGk5gJQjWypvzF/ed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cann.org/en/system/files/files/pti-attestation-transparency-20dec19-en.pdf" TargetMode="External"/><Relationship Id="rId4" Type="http://schemas.openxmlformats.org/officeDocument/2006/relationships/webSettings" Target="webSettings.xml"/><Relationship Id="rId9" Type="http://schemas.openxmlformats.org/officeDocument/2006/relationships/hyperlink" Target="https://pti.icann.org/agree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777</Words>
  <Characters>3766</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9</cp:revision>
  <dcterms:created xsi:type="dcterms:W3CDTF">2020-12-21T21:04:00Z</dcterms:created>
  <dcterms:modified xsi:type="dcterms:W3CDTF">2020-12-22T03:09:00Z</dcterms:modified>
</cp:coreProperties>
</file>