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The idea is that the practice for ATRT1 of doing case studies should be continued.  They offer a snapshot of practices and situations that are current.  In addition to the benefit they offer those doing the current AT review the have a longitudinal value by allowing a comparison of case studies across multiple ATRT reviews allows for logitud   </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In the case of picking case studies they should come from events that took place during the period intervening between the publication of the previous ATRT report and the creation of the subsequent ATRT.  They case studies should be done from the perspective how how they were affected, if they were affected, by the recommendations coming out of the previous ATRT report.</w:t>
      </w:r>
    </w:p>
    <w:p w:rsidP="00000000" w:rsidRPr="00000000" w:rsidR="00000000" w:rsidDel="00000000" w:rsidRDefault="00000000">
      <w:pPr>
        <w:numPr>
          <w:ilvl w:val="0"/>
          <w:numId w:val="2"/>
        </w:numPr>
        <w:ind w:left="720" w:hanging="359"/>
      </w:pPr>
      <w:r w:rsidRPr="00000000" w:rsidR="00000000" w:rsidDel="00000000">
        <w:rPr>
          <w:rtl w:val="0"/>
        </w:rPr>
        <w:t xml:space="preserve">Where they aware of the recommendations and did they take them into acount</w:t>
      </w:r>
    </w:p>
    <w:p w:rsidP="00000000" w:rsidRPr="00000000" w:rsidR="00000000" w:rsidDel="00000000" w:rsidRDefault="00000000">
      <w:pPr>
        <w:numPr>
          <w:ilvl w:val="0"/>
          <w:numId w:val="2"/>
        </w:numPr>
        <w:ind w:left="720" w:hanging="359"/>
      </w:pPr>
      <w:r w:rsidRPr="00000000" w:rsidR="00000000" w:rsidDel="00000000">
        <w:rPr>
          <w:rtl w:val="0"/>
        </w:rPr>
        <w:t xml:space="preserve">If they did were they helpful or a hindrance</w:t>
      </w:r>
    </w:p>
    <w:p w:rsidP="00000000" w:rsidRPr="00000000" w:rsidR="00000000" w:rsidDel="00000000" w:rsidRDefault="00000000">
      <w:pPr>
        <w:numPr>
          <w:ilvl w:val="0"/>
          <w:numId w:val="2"/>
        </w:numPr>
        <w:ind w:left="720" w:hanging="359"/>
      </w:pPr>
      <w:r w:rsidRPr="00000000" w:rsidR="00000000" w:rsidDel="00000000">
        <w:rPr>
          <w:rtl w:val="0"/>
        </w:rPr>
        <w:t xml:space="preserve">If they weren’t take into acount did they show characteristics that were noticed in the previous set of case studies. </w:t>
      </w:r>
    </w:p>
    <w:p w:rsidP="00000000" w:rsidRPr="00000000" w:rsidR="00000000" w:rsidDel="00000000" w:rsidRDefault="00000000">
      <w:pPr>
        <w:numPr>
          <w:ilvl w:val="0"/>
          <w:numId w:val="2"/>
        </w:numPr>
        <w:ind w:left="720" w:hanging="359"/>
      </w:pPr>
      <w:r w:rsidRPr="00000000" w:rsidR="00000000" w:rsidDel="00000000">
        <w:rPr>
          <w:rtl w:val="0"/>
        </w:rPr>
        <w:t xml:space="preserve">Where do they fall in the continuity of change between the time before the AOC reviews and the current time.</w:t>
      </w:r>
    </w:p>
    <w:p w:rsidP="00000000" w:rsidRPr="00000000" w:rsidR="00000000" w:rsidDel="00000000" w:rsidRDefault="00000000">
      <w:pPr>
        <w:numPr>
          <w:ilvl w:val="0"/>
          <w:numId w:val="2"/>
        </w:numPr>
        <w:ind w:left="720" w:hanging="359"/>
      </w:pPr>
      <w:r w:rsidRPr="00000000" w:rsidR="00000000" w:rsidDel="00000000">
        <w:rPr>
          <w:i w:val="1"/>
          <w:rtl w:val="0"/>
        </w:rPr>
        <w:t xml:space="preserve">other?</w:t>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t xml:space="preserve">Some candidate processes that occurred between ATRT report in Dec 2010 and April 2013 and would be suitable for case studies include:</w:t>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1"/>
        </w:numPr>
        <w:ind w:left="720" w:hanging="359"/>
      </w:pPr>
      <w:r w:rsidRPr="00000000" w:rsidR="00000000" w:rsidDel="00000000">
        <w:rPr>
          <w:rtl w:val="0"/>
        </w:rPr>
        <w:t xml:space="preserve">Applicant Support program including the policy creation in the Joint Applicant Support (JAS) Working Group and the implementation of the Support Applicant Review Panel (SARP).</w:t>
      </w:r>
    </w:p>
    <w:p w:rsidP="00000000" w:rsidRPr="00000000" w:rsidR="00000000" w:rsidDel="00000000" w:rsidRDefault="00000000">
      <w:pPr>
        <w:numPr>
          <w:ilvl w:val="0"/>
          <w:numId w:val="1"/>
        </w:numPr>
        <w:ind w:left="720" w:hanging="359"/>
      </w:pPr>
      <w:r w:rsidRPr="00000000" w:rsidR="00000000" w:rsidDel="00000000">
        <w:rPr>
          <w:rtl w:val="0"/>
        </w:rPr>
        <w:t xml:space="preserve">ICANN Travel policy; policy creation, implementation and administration</w:t>
      </w:r>
    </w:p>
    <w:p w:rsidP="00000000" w:rsidRPr="00000000" w:rsidR="00000000" w:rsidDel="00000000" w:rsidRDefault="00000000">
      <w:pPr>
        <w:numPr>
          <w:ilvl w:val="0"/>
          <w:numId w:val="1"/>
        </w:numPr>
        <w:ind w:left="720" w:hanging="359"/>
      </w:pPr>
      <w:r w:rsidRPr="00000000" w:rsidR="00000000" w:rsidDel="00000000">
        <w:rPr>
          <w:rtl w:val="0"/>
        </w:rPr>
        <w:t xml:space="preserve">.xxx external review and reconsideration</w:t>
      </w:r>
    </w:p>
    <w:p w:rsidP="00000000" w:rsidRPr="00000000" w:rsidR="00000000" w:rsidDel="00000000" w:rsidRDefault="00000000">
      <w:pPr>
        <w:numPr>
          <w:ilvl w:val="0"/>
          <w:numId w:val="1"/>
        </w:numPr>
        <w:ind w:left="720" w:hanging="359"/>
      </w:pPr>
      <w:r w:rsidRPr="00000000" w:rsidR="00000000" w:rsidDel="00000000">
        <w:rPr>
          <w:rtl w:val="0"/>
        </w:rPr>
        <w:t xml:space="preserve">IDN ccTLD Policy Development Process</w:t>
      </w:r>
    </w:p>
    <w:p w:rsidP="00000000" w:rsidRPr="00000000" w:rsidR="00000000" w:rsidDel="00000000" w:rsidRDefault="00000000">
      <w:pPr>
        <w:numPr>
          <w:ilvl w:val="0"/>
          <w:numId w:val="1"/>
        </w:numPr>
        <w:ind w:left="720" w:hanging="359"/>
      </w:pPr>
      <w:r w:rsidRPr="00000000" w:rsidR="00000000" w:rsidDel="00000000">
        <w:rPr>
          <w:rtl w:val="0"/>
        </w:rPr>
        <w:t xml:space="preserve">ASO Global Policy for Post Exhaustion IPv4 Allocation Mechanisms by the IANA</w:t>
      </w:r>
    </w:p>
    <w:p w:rsidP="00000000" w:rsidRPr="00000000" w:rsidR="00000000" w:rsidDel="00000000" w:rsidRDefault="00000000">
      <w:pPr>
        <w:numPr>
          <w:ilvl w:val="0"/>
          <w:numId w:val="1"/>
        </w:numPr>
        <w:ind w:left="720" w:hanging="359"/>
      </w:pPr>
      <w:r w:rsidRPr="00000000" w:rsidR="00000000" w:rsidDel="00000000">
        <w:rPr>
          <w:rtl w:val="0"/>
        </w:rPr>
        <w:t xml:space="preserve">Cross Community Working Groups; their modalities and success factors as exhibited in some or all of the following:</w:t>
      </w:r>
    </w:p>
    <w:p w:rsidP="00000000" w:rsidRPr="00000000" w:rsidR="00000000" w:rsidDel="00000000" w:rsidRDefault="00000000">
      <w:pPr>
        <w:numPr>
          <w:ilvl w:val="1"/>
          <w:numId w:val="1"/>
        </w:numPr>
        <w:ind w:left="1440" w:hanging="359"/>
      </w:pPr>
      <w:r w:rsidRPr="00000000" w:rsidR="00000000" w:rsidDel="00000000">
        <w:rPr>
          <w:rtl w:val="0"/>
        </w:rPr>
        <w:t xml:space="preserve">Rec 6 CWG-Morality and Public Order</w:t>
      </w:r>
    </w:p>
    <w:p w:rsidP="00000000" w:rsidRPr="00000000" w:rsidR="00000000" w:rsidDel="00000000" w:rsidRDefault="00000000">
      <w:pPr>
        <w:numPr>
          <w:ilvl w:val="1"/>
          <w:numId w:val="1"/>
        </w:numPr>
        <w:ind w:left="1440" w:hanging="359"/>
      </w:pPr>
      <w:r w:rsidRPr="00000000" w:rsidR="00000000" w:rsidDel="00000000">
        <w:rPr>
          <w:rtl w:val="0"/>
        </w:rPr>
        <w:t xml:space="preserve">Ad-Hoc ccNSO/GNSO Joint IDN Working Group (JIG)</w:t>
      </w:r>
    </w:p>
    <w:p w:rsidP="00000000" w:rsidRPr="00000000" w:rsidR="00000000" w:rsidDel="00000000" w:rsidRDefault="00000000">
      <w:pPr>
        <w:numPr>
          <w:ilvl w:val="1"/>
          <w:numId w:val="1"/>
        </w:numPr>
        <w:ind w:left="1440" w:hanging="359"/>
      </w:pPr>
      <w:r w:rsidRPr="00000000" w:rsidR="00000000" w:rsidDel="00000000">
        <w:rPr>
          <w:rtl w:val="0"/>
        </w:rPr>
        <w:t xml:space="preserve">Joint ALAC/GNSO Application support WG (JAS)</w:t>
      </w:r>
    </w:p>
    <w:p w:rsidP="00000000" w:rsidRPr="00000000" w:rsidR="00000000" w:rsidDel="00000000" w:rsidRDefault="00000000">
      <w:pPr>
        <w:numPr>
          <w:ilvl w:val="1"/>
          <w:numId w:val="1"/>
        </w:numPr>
        <w:ind w:left="1440" w:hanging="359"/>
      </w:pPr>
      <w:r w:rsidRPr="00000000" w:rsidR="00000000" w:rsidDel="00000000">
        <w:rPr>
          <w:rtl w:val="0"/>
        </w:rPr>
        <w:t xml:space="preserve">ccNSO-GAC Liaison Working Group</w:t>
      </w:r>
    </w:p>
    <w:p w:rsidP="00000000" w:rsidRPr="00000000" w:rsidR="00000000" w:rsidDel="00000000" w:rsidRDefault="00000000">
      <w:pPr>
        <w:numPr>
          <w:ilvl w:val="1"/>
          <w:numId w:val="1"/>
        </w:numPr>
        <w:ind w:left="1440" w:hanging="359"/>
      </w:pPr>
      <w:r w:rsidRPr="00000000" w:rsidR="00000000" w:rsidDel="00000000">
        <w:rPr>
          <w:rtl w:val="0"/>
        </w:rPr>
        <w:t xml:space="preserve">TradeMark Clearinghouse (AIG)</w:t>
      </w:r>
    </w:p>
    <w:p w:rsidP="00000000" w:rsidRPr="00000000" w:rsidR="00000000" w:rsidDel="00000000" w:rsidRDefault="00000000">
      <w:pPr>
        <w:numPr>
          <w:ilvl w:val="1"/>
          <w:numId w:val="1"/>
        </w:numPr>
        <w:ind w:left="1440" w:hanging="359"/>
      </w:pPr>
      <w:r w:rsidRPr="00000000" w:rsidR="00000000" w:rsidDel="00000000">
        <w:rPr>
          <w:rtl w:val="0"/>
        </w:rPr>
        <w:t xml:space="preserve">Joint DNS Security and Stability Analysis Working Group</w:t>
      </w:r>
    </w:p>
    <w:p w:rsidP="00000000" w:rsidRPr="00000000" w:rsidR="00000000" w:rsidDel="00000000" w:rsidRDefault="00000000">
      <w:pPr>
        <w:numPr>
          <w:ilvl w:val="1"/>
          <w:numId w:val="1"/>
        </w:numPr>
        <w:ind w:left="1440" w:hanging="359"/>
      </w:pPr>
      <w:r w:rsidRPr="00000000" w:rsidR="00000000" w:rsidDel="00000000">
        <w:rPr>
          <w:rtl w:val="0"/>
        </w:rPr>
        <w:t xml:space="preserve">IDN Variant TLDs Community Project</w:t>
      </w:r>
    </w:p>
    <w:p w:rsidP="00000000" w:rsidRPr="00000000" w:rsidR="00000000" w:rsidDel="00000000" w:rsidRDefault="00000000">
      <w:pPr>
        <w:numPr>
          <w:ilvl w:val="1"/>
          <w:numId w:val="1"/>
        </w:numPr>
        <w:ind w:left="1440" w:hanging="359"/>
      </w:pPr>
      <w:r w:rsidRPr="00000000" w:rsidR="00000000" w:rsidDel="00000000">
        <w:rPr>
          <w:i w:val="1"/>
          <w:rtl w:val="0"/>
        </w:rPr>
        <w:t xml:space="preserve">other?</w:t>
      </w:r>
    </w:p>
    <w:p w:rsidP="00000000" w:rsidRPr="00000000" w:rsidR="00000000" w:rsidDel="00000000" w:rsidRDefault="00000000">
      <w:pPr>
        <w:numPr>
          <w:ilvl w:val="0"/>
          <w:numId w:val="1"/>
        </w:numPr>
        <w:ind w:left="720" w:hanging="359"/>
      </w:pPr>
      <w:r w:rsidRPr="00000000" w:rsidR="00000000" w:rsidDel="00000000">
        <w:rPr>
          <w:i w:val="1"/>
          <w:rtl w:val="0"/>
        </w:rPr>
        <w:t xml:space="preserve">Other?</w:t>
      </w:r>
    </w:p>
    <w:p w:rsidP="00000000" w:rsidRPr="00000000" w:rsidR="00000000" w:rsidDel="00000000" w:rsidRDefault="00000000">
      <w:pPr/>
      <w:r w:rsidRPr="00000000" w:rsidR="00000000" w:rsidDel="00000000">
        <w:rPr>
          <w:rtl w:val="0"/>
        </w:rPr>
      </w:r>
    </w:p>
    <w:sectPr>
      <w:headerReference r:id="rId5" w:type="default"/>
      <w:footerReference r:id="rId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r w:rsidRPr="00000000" w:rsidR="00000000" w:rsidDel="00000000">
      <w:rPr>
        <w:rtl w:val="0"/>
      </w:rPr>
      <w:t xml:space="preserve">ATRT2</w:t>
      <w:tab/>
      <w:tab/>
      <w:tab/>
      <w:tab/>
      <w:tab/>
      <w:tab/>
      <w:tab/>
      <w:tab/>
      <w:tab/>
      <w:tab/>
      <w:tab/>
      <w:t xml:space="preserve">11 May 2013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pStyle w:val="Title"/>
      <w:jc w:val="center"/>
    </w:pPr>
    <w:bookmarkStart w:id="0" w:colFirst="0" w:name="h.o09jlolwdt9z" w:colLast="0"/>
    <w:bookmarkEnd w:id="0"/>
    <w:r w:rsidRPr="00000000" w:rsidR="00000000" w:rsidDel="00000000">
      <w:rPr>
        <w:rtl w:val="0"/>
      </w:rPr>
      <w:t xml:space="preserve">Case Studies </w:t>
    </w:r>
  </w:p>
  <w:p w:rsidP="00000000" w:rsidRPr="00000000" w:rsidR="00000000" w:rsidDel="00000000" w:rsidRDefault="00000000">
    <w:pPr>
      <w:pStyle w:val="Title"/>
      <w:jc w:val="center"/>
    </w:pPr>
    <w:bookmarkStart w:id="1" w:colFirst="0" w:name="h.lcqv084pgu47" w:colLast="0"/>
    <w:bookmarkEnd w:id="1"/>
    <w:r w:rsidRPr="00000000" w:rsidR="00000000" w:rsidDel="00000000">
      <w:rPr>
        <w:rtl w:val="0"/>
      </w:rPr>
      <w:t xml:space="preserve">Terms of Reference for Expert assistance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abstractNum w:abstractNumId="2">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ATRT2 - Task for Expert Advisor: Case Studies.docx</dc:title>
</cp:coreProperties>
</file>