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41" w:rsidRDefault="008C3DAE" w:rsidP="00877271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Purpose</w:t>
      </w:r>
    </w:p>
    <w:p w:rsidR="008C3DAE" w:rsidRPr="008C3DAE" w:rsidRDefault="008C3DAE" w:rsidP="00877271">
      <w:pPr>
        <w:pStyle w:val="PlainText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 xml:space="preserve">ATRT 2 is considering engaging an independent expert to assist with its work.  The Review Team has </w:t>
      </w:r>
      <w:r w:rsidRPr="008C3DAE">
        <w:rPr>
          <w:rFonts w:ascii="Arial" w:eastAsiaTheme="majorEastAsia" w:hAnsi="Arial" w:cs="Arial"/>
          <w:bCs/>
        </w:rPr>
        <w:t>contemplated an independent expert that could:</w:t>
      </w:r>
    </w:p>
    <w:p w:rsidR="008C3DAE" w:rsidRDefault="008C3DAE" w:rsidP="00877271">
      <w:pPr>
        <w:pStyle w:val="ListParagraph"/>
        <w:numPr>
          <w:ilvl w:val="0"/>
          <w:numId w:val="7"/>
        </w:numPr>
        <w:rPr>
          <w:rFonts w:ascii="Arial" w:eastAsiaTheme="majorEastAsia" w:hAnsi="Arial" w:cs="Arial"/>
          <w:bCs/>
          <w:sz w:val="21"/>
          <w:szCs w:val="21"/>
        </w:rPr>
      </w:pPr>
      <w:r w:rsidRPr="008C3DAE">
        <w:rPr>
          <w:rFonts w:ascii="Arial" w:eastAsiaTheme="majorEastAsia" w:hAnsi="Arial" w:cs="Arial"/>
          <w:bCs/>
          <w:sz w:val="21"/>
          <w:szCs w:val="21"/>
        </w:rPr>
        <w:t>assist in developing a survey that could be a "repeatable" tool used by ICANN and future review teams;</w:t>
      </w:r>
    </w:p>
    <w:p w:rsidR="008C3DAE" w:rsidRDefault="008C3DAE" w:rsidP="00877271">
      <w:pPr>
        <w:pStyle w:val="ListParagraph"/>
        <w:numPr>
          <w:ilvl w:val="0"/>
          <w:numId w:val="7"/>
        </w:numPr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>a</w:t>
      </w:r>
      <w:r w:rsidRPr="008C3DAE">
        <w:rPr>
          <w:rFonts w:ascii="Arial" w:eastAsiaTheme="majorEastAsia" w:hAnsi="Arial" w:cs="Arial"/>
          <w:bCs/>
          <w:sz w:val="21"/>
          <w:szCs w:val="21"/>
        </w:rPr>
        <w:t>ssist in analysis and perhaps do case studies (as Berkman Center did for ATRT1)</w:t>
      </w:r>
    </w:p>
    <w:p w:rsidR="008C3DAE" w:rsidRDefault="008C3DAE" w:rsidP="00877271">
      <w:pPr>
        <w:pStyle w:val="ListParagraph"/>
        <w:numPr>
          <w:ilvl w:val="0"/>
          <w:numId w:val="7"/>
        </w:numPr>
        <w:rPr>
          <w:rFonts w:ascii="Arial" w:eastAsiaTheme="majorEastAsia" w:hAnsi="Arial" w:cs="Arial"/>
          <w:bCs/>
          <w:sz w:val="21"/>
          <w:szCs w:val="21"/>
        </w:rPr>
      </w:pPr>
      <w:r w:rsidRPr="008C3DAE">
        <w:rPr>
          <w:rFonts w:ascii="Arial" w:eastAsiaTheme="majorEastAsia" w:hAnsi="Arial" w:cs="Arial"/>
          <w:bCs/>
          <w:sz w:val="21"/>
          <w:szCs w:val="21"/>
        </w:rPr>
        <w:t>assist in the development of accounta</w:t>
      </w:r>
      <w:r>
        <w:rPr>
          <w:rFonts w:ascii="Arial" w:eastAsiaTheme="majorEastAsia" w:hAnsi="Arial" w:cs="Arial"/>
          <w:bCs/>
          <w:sz w:val="21"/>
          <w:szCs w:val="21"/>
        </w:rPr>
        <w:t>bility and transparency metrics</w:t>
      </w:r>
    </w:p>
    <w:p w:rsidR="0052096B" w:rsidRPr="008C3DAE" w:rsidRDefault="0052096B" w:rsidP="00877271">
      <w:pPr>
        <w:pStyle w:val="ListParagraph"/>
        <w:numPr>
          <w:ilvl w:val="0"/>
          <w:numId w:val="7"/>
        </w:numPr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>assist with the analysis/assessment of how recommendations are being implemented</w:t>
      </w:r>
    </w:p>
    <w:p w:rsidR="008C3DAE" w:rsidRDefault="008C3DAE" w:rsidP="00877271">
      <w:p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</w:p>
    <w:p w:rsidR="00CA24E5" w:rsidRPr="00CA24E5" w:rsidRDefault="008C3DAE" w:rsidP="00CA24E5">
      <w:p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 w:rsidRPr="008C3DAE">
        <w:rPr>
          <w:rFonts w:ascii="Arial" w:eastAsiaTheme="majorEastAsia" w:hAnsi="Arial" w:cs="Arial"/>
          <w:bCs/>
          <w:sz w:val="21"/>
          <w:szCs w:val="21"/>
        </w:rPr>
        <w:t>The purpose</w:t>
      </w:r>
      <w:r>
        <w:rPr>
          <w:rFonts w:ascii="Arial" w:eastAsiaTheme="majorEastAsia" w:hAnsi="Arial" w:cs="Arial"/>
          <w:bCs/>
          <w:sz w:val="21"/>
          <w:szCs w:val="21"/>
        </w:rPr>
        <w:t xml:space="preserve"> of this memo is to provide initial notes and considerations as background information to assist the Review Team with its decision regarding Independent Experts.</w:t>
      </w:r>
      <w:r w:rsidR="00CA24E5">
        <w:rPr>
          <w:rFonts w:ascii="Arial" w:eastAsiaTheme="majorEastAsia" w:hAnsi="Arial" w:cs="Arial"/>
          <w:bCs/>
          <w:sz w:val="21"/>
          <w:szCs w:val="21"/>
        </w:rPr>
        <w:t xml:space="preserve">  </w:t>
      </w:r>
      <w:bookmarkStart w:id="0" w:name="_GoBack"/>
      <w:bookmarkEnd w:id="0"/>
    </w:p>
    <w:p w:rsidR="008C3DAE" w:rsidRDefault="00DF3923" w:rsidP="00877271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Process </w:t>
      </w:r>
    </w:p>
    <w:p w:rsidR="00CF2250" w:rsidRPr="00CF2250" w:rsidRDefault="00CF2250" w:rsidP="00877271">
      <w:p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 xml:space="preserve">Information below is </w:t>
      </w:r>
      <w:r w:rsidRPr="00CF2250">
        <w:rPr>
          <w:rFonts w:ascii="Arial" w:eastAsiaTheme="majorEastAsia" w:hAnsi="Arial" w:cs="Arial"/>
          <w:bCs/>
          <w:sz w:val="21"/>
          <w:szCs w:val="21"/>
        </w:rPr>
        <w:t>based on the ICANN Procurement Guidelines</w:t>
      </w:r>
      <w:r>
        <w:rPr>
          <w:rFonts w:ascii="Arial" w:eastAsiaTheme="majorEastAsia" w:hAnsi="Arial" w:cs="Arial"/>
          <w:bCs/>
          <w:sz w:val="21"/>
          <w:szCs w:val="21"/>
        </w:rPr>
        <w:t xml:space="preserve"> and will be useful in informing the Review Team’s decision making process regarding engaging outside experts.</w:t>
      </w:r>
    </w:p>
    <w:p w:rsidR="008C3DAE" w:rsidRPr="006D2B24" w:rsidRDefault="009F1F22" w:rsidP="00877271">
      <w:pPr>
        <w:pStyle w:val="ListParagraph"/>
        <w:numPr>
          <w:ilvl w:val="0"/>
          <w:numId w:val="8"/>
        </w:numPr>
        <w:spacing w:after="200" w:line="276" w:lineRule="auto"/>
        <w:rPr>
          <w:rFonts w:ascii="Arial" w:eastAsiaTheme="majorEastAsia" w:hAnsi="Arial" w:cs="Arial"/>
          <w:b/>
          <w:bCs/>
          <w:sz w:val="21"/>
          <w:szCs w:val="21"/>
        </w:rPr>
      </w:pPr>
      <w:r w:rsidRPr="006D2B24">
        <w:rPr>
          <w:rFonts w:ascii="Arial" w:eastAsiaTheme="majorEastAsia" w:hAnsi="Arial" w:cs="Arial"/>
          <w:b/>
          <w:bCs/>
          <w:sz w:val="21"/>
          <w:szCs w:val="21"/>
        </w:rPr>
        <w:t>Define scope of work</w:t>
      </w:r>
      <w:r w:rsidR="00B91A06" w:rsidRPr="006D2B24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</w:p>
    <w:p w:rsidR="009F1F22" w:rsidRDefault="009F1F22" w:rsidP="00877271">
      <w:pPr>
        <w:pStyle w:val="ListParagraph"/>
        <w:numPr>
          <w:ilvl w:val="1"/>
          <w:numId w:val="8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>What is the desired deliverable?</w:t>
      </w:r>
      <w:r w:rsidR="006D2B24">
        <w:rPr>
          <w:rFonts w:ascii="Arial" w:eastAsiaTheme="majorEastAsia" w:hAnsi="Arial" w:cs="Arial"/>
          <w:bCs/>
          <w:sz w:val="21"/>
          <w:szCs w:val="21"/>
        </w:rPr>
        <w:t xml:space="preserve"> Timeline?</w:t>
      </w:r>
    </w:p>
    <w:p w:rsidR="009F1F22" w:rsidRDefault="009F1F22" w:rsidP="00877271">
      <w:pPr>
        <w:pStyle w:val="ListParagraph"/>
        <w:numPr>
          <w:ilvl w:val="1"/>
          <w:numId w:val="8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>How will the deliverable tie into ATRT2 final report?</w:t>
      </w:r>
    </w:p>
    <w:p w:rsidR="006D2B24" w:rsidRDefault="006D2B24" w:rsidP="00877271">
      <w:pPr>
        <w:pStyle w:val="ListParagraph"/>
        <w:numPr>
          <w:ilvl w:val="1"/>
          <w:numId w:val="8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>How will the work of independent expert support the defined Work Streams?</w:t>
      </w:r>
    </w:p>
    <w:p w:rsidR="00B2059C" w:rsidRPr="00B2059C" w:rsidRDefault="00B2059C" w:rsidP="00B2059C">
      <w:pPr>
        <w:pStyle w:val="ListParagraph"/>
        <w:numPr>
          <w:ilvl w:val="0"/>
          <w:numId w:val="8"/>
        </w:numPr>
        <w:spacing w:after="200" w:line="276" w:lineRule="auto"/>
        <w:rPr>
          <w:rFonts w:ascii="Arial" w:eastAsiaTheme="majorEastAsia" w:hAnsi="Arial" w:cs="Arial"/>
          <w:b/>
          <w:bCs/>
          <w:sz w:val="21"/>
          <w:szCs w:val="21"/>
        </w:rPr>
      </w:pPr>
      <w:r w:rsidRPr="00B2059C">
        <w:rPr>
          <w:rFonts w:ascii="Arial" w:eastAsiaTheme="majorEastAsia" w:hAnsi="Arial" w:cs="Arial"/>
          <w:b/>
          <w:bCs/>
          <w:sz w:val="21"/>
          <w:szCs w:val="21"/>
        </w:rPr>
        <w:t>Establish business case and expected value.</w:t>
      </w:r>
    </w:p>
    <w:p w:rsidR="00B91A06" w:rsidRPr="006D2B24" w:rsidRDefault="00B91A06" w:rsidP="00877271">
      <w:pPr>
        <w:pStyle w:val="ListParagraph"/>
        <w:numPr>
          <w:ilvl w:val="0"/>
          <w:numId w:val="8"/>
        </w:numPr>
        <w:spacing w:after="200" w:line="276" w:lineRule="auto"/>
        <w:rPr>
          <w:rFonts w:ascii="Arial" w:eastAsiaTheme="majorEastAsia" w:hAnsi="Arial" w:cs="Arial"/>
          <w:b/>
          <w:bCs/>
          <w:sz w:val="21"/>
          <w:szCs w:val="21"/>
        </w:rPr>
      </w:pPr>
      <w:r w:rsidRPr="006D2B24">
        <w:rPr>
          <w:rFonts w:ascii="Arial" w:eastAsiaTheme="majorEastAsia" w:hAnsi="Arial" w:cs="Arial"/>
          <w:b/>
          <w:bCs/>
          <w:sz w:val="21"/>
          <w:szCs w:val="21"/>
        </w:rPr>
        <w:t>Selection process</w:t>
      </w:r>
      <w:r w:rsidR="00B2059C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</w:p>
    <w:p w:rsidR="009F1F22" w:rsidRDefault="00B91A06" w:rsidP="00877271">
      <w:pPr>
        <w:pStyle w:val="ListParagraph"/>
        <w:numPr>
          <w:ilvl w:val="1"/>
          <w:numId w:val="8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 xml:space="preserve">Define </w:t>
      </w:r>
      <w:r w:rsidR="009F1F22">
        <w:rPr>
          <w:rFonts w:ascii="Arial" w:eastAsiaTheme="majorEastAsia" w:hAnsi="Arial" w:cs="Arial"/>
          <w:bCs/>
          <w:sz w:val="21"/>
          <w:szCs w:val="21"/>
        </w:rPr>
        <w:t xml:space="preserve">skills and experience </w:t>
      </w:r>
      <w:r>
        <w:rPr>
          <w:rFonts w:ascii="Arial" w:eastAsiaTheme="majorEastAsia" w:hAnsi="Arial" w:cs="Arial"/>
          <w:bCs/>
          <w:sz w:val="21"/>
          <w:szCs w:val="21"/>
        </w:rPr>
        <w:t>needed – establish selection criteria</w:t>
      </w:r>
    </w:p>
    <w:p w:rsidR="00B91A06" w:rsidRDefault="00B91A06" w:rsidP="00877271">
      <w:pPr>
        <w:pStyle w:val="ListParagraph"/>
        <w:numPr>
          <w:ilvl w:val="1"/>
          <w:numId w:val="8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>Identify potential candidates and evaluate against criteria</w:t>
      </w:r>
    </w:p>
    <w:p w:rsidR="00B91A06" w:rsidRPr="009B35D8" w:rsidRDefault="00B91A06" w:rsidP="00877271">
      <w:pPr>
        <w:pStyle w:val="ListParagraph"/>
        <w:numPr>
          <w:ilvl w:val="1"/>
          <w:numId w:val="8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 w:rsidRPr="00B91A06">
        <w:rPr>
          <w:rFonts w:ascii="Arial" w:eastAsiaTheme="majorEastAsia" w:hAnsi="Arial" w:cs="Arial"/>
          <w:sz w:val="21"/>
          <w:szCs w:val="21"/>
        </w:rPr>
        <w:t>Determine appropriate approach</w:t>
      </w:r>
      <w:r w:rsidR="0052096B">
        <w:rPr>
          <w:rFonts w:ascii="Arial" w:eastAsiaTheme="majorEastAsia" w:hAnsi="Arial" w:cs="Arial"/>
          <w:sz w:val="21"/>
          <w:szCs w:val="21"/>
        </w:rPr>
        <w:t xml:space="preserve"> based on ICANN Procurement Guidelines: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B35D8" w:rsidRPr="009B35D8" w:rsidTr="00111D75"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b/>
                <w:sz w:val="20"/>
                <w:szCs w:val="20"/>
              </w:rPr>
              <w:t>Procurement Methodology</w:t>
            </w:r>
          </w:p>
        </w:tc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b/>
                <w:sz w:val="20"/>
                <w:szCs w:val="20"/>
              </w:rPr>
              <w:t>When Recommended?</w:t>
            </w:r>
          </w:p>
        </w:tc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b/>
                <w:sz w:val="20"/>
                <w:szCs w:val="20"/>
              </w:rPr>
              <w:t>When Required?</w:t>
            </w:r>
          </w:p>
        </w:tc>
      </w:tr>
      <w:tr w:rsidR="009B35D8" w:rsidRPr="009B35D8" w:rsidTr="00111D75"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sz w:val="20"/>
                <w:szCs w:val="20"/>
              </w:rPr>
              <w:t xml:space="preserve">Request for Proposal (RFP) or Request for Quotation (RFQ) </w:t>
            </w:r>
          </w:p>
        </w:tc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sz w:val="20"/>
                <w:szCs w:val="20"/>
              </w:rPr>
              <w:t>Estimated procurement with the supplier will exceed $50k in the aggregate.</w:t>
            </w:r>
          </w:p>
        </w:tc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sz w:val="20"/>
                <w:szCs w:val="20"/>
              </w:rPr>
              <w:t>Estimated procurement with the supplier will exceed $150k for an individual purchase or in the aggregate.</w:t>
            </w:r>
          </w:p>
        </w:tc>
      </w:tr>
      <w:tr w:rsidR="009B35D8" w:rsidRPr="009B35D8" w:rsidTr="00111D75"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sz w:val="20"/>
                <w:szCs w:val="20"/>
              </w:rPr>
              <w:t>Broad Solicitation</w:t>
            </w:r>
          </w:p>
        </w:tc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sz w:val="20"/>
                <w:szCs w:val="20"/>
              </w:rPr>
              <w:t>Estimated procurement with the supplier will exceed $150k in the aggregate.</w:t>
            </w:r>
          </w:p>
        </w:tc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sz w:val="20"/>
                <w:szCs w:val="20"/>
              </w:rPr>
              <w:t>Estimated procurement with the supplier will exceed $250k for an individual purchase or in the aggregate.</w:t>
            </w:r>
          </w:p>
        </w:tc>
      </w:tr>
      <w:tr w:rsidR="009B35D8" w:rsidRPr="009B35D8" w:rsidTr="00111D75"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sz w:val="20"/>
                <w:szCs w:val="20"/>
              </w:rPr>
              <w:t>Individual Direct Contracting</w:t>
            </w:r>
          </w:p>
        </w:tc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rPr>
                <w:rFonts w:ascii="Arial Narrow" w:eastAsia="Times New Roman" w:hAnsi="Arial Narrow" w:cs="Arial"/>
                <w:color w:val="03405F"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sz w:val="20"/>
                <w:szCs w:val="20"/>
              </w:rPr>
              <w:t>If costs for RFP process exceed potential savings, if appropriate under the circumstances, and when strategic impact of the purchase decision is not critical for ICANN.</w:t>
            </w:r>
          </w:p>
        </w:tc>
        <w:tc>
          <w:tcPr>
            <w:tcW w:w="3192" w:type="dxa"/>
          </w:tcPr>
          <w:p w:rsidR="009B35D8" w:rsidRPr="009B35D8" w:rsidRDefault="009B35D8" w:rsidP="009B35D8">
            <w:pPr>
              <w:widowControl w:val="0"/>
              <w:spacing w:before="40" w:after="40" w:line="260" w:lineRule="exac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B35D8">
              <w:rPr>
                <w:rFonts w:ascii="Arial Narrow" w:eastAsia="Times New Roman" w:hAnsi="Arial Narrow" w:cs="Arial"/>
                <w:sz w:val="20"/>
                <w:szCs w:val="20"/>
              </w:rPr>
              <w:t>Not applicable</w:t>
            </w:r>
          </w:p>
        </w:tc>
      </w:tr>
    </w:tbl>
    <w:p w:rsidR="009B35D8" w:rsidRDefault="009B35D8" w:rsidP="009B35D8">
      <w:p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</w:p>
    <w:p w:rsidR="009B35D8" w:rsidRPr="009B35D8" w:rsidRDefault="009B35D8" w:rsidP="009B35D8">
      <w:p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br w:type="page"/>
      </w:r>
    </w:p>
    <w:p w:rsidR="009B35D8" w:rsidRPr="00B5444C" w:rsidRDefault="0052096B" w:rsidP="00B5444C">
      <w:pPr>
        <w:pStyle w:val="ListParagraph"/>
        <w:numPr>
          <w:ilvl w:val="0"/>
          <w:numId w:val="8"/>
        </w:numPr>
        <w:spacing w:after="200" w:line="276" w:lineRule="auto"/>
        <w:rPr>
          <w:rFonts w:ascii="Arial" w:eastAsiaTheme="majorEastAsia" w:hAnsi="Arial" w:cs="Arial"/>
          <w:b/>
          <w:bCs/>
          <w:sz w:val="21"/>
          <w:szCs w:val="21"/>
        </w:rPr>
      </w:pPr>
      <w:r w:rsidRPr="0003520A">
        <w:rPr>
          <w:rFonts w:ascii="Arial" w:eastAsiaTheme="majorEastAsia" w:hAnsi="Arial" w:cs="Arial"/>
          <w:b/>
          <w:bCs/>
          <w:sz w:val="21"/>
          <w:szCs w:val="21"/>
        </w:rPr>
        <w:lastRenderedPageBreak/>
        <w:t>Requisition  and procurement process</w:t>
      </w:r>
      <w:r w:rsidR="00B5444C">
        <w:rPr>
          <w:rFonts w:ascii="Arial" w:eastAsiaTheme="majorEastAsia" w:hAnsi="Arial" w:cs="Arial"/>
          <w:b/>
          <w:bCs/>
          <w:sz w:val="21"/>
          <w:szCs w:val="21"/>
        </w:rPr>
        <w:t xml:space="preserve"> - </w:t>
      </w:r>
      <w:r w:rsidRPr="00B5444C">
        <w:rPr>
          <w:rFonts w:ascii="Arial" w:eastAsiaTheme="majorEastAsia" w:hAnsi="Arial" w:cs="Arial"/>
          <w:bCs/>
          <w:sz w:val="21"/>
          <w:szCs w:val="21"/>
        </w:rPr>
        <w:t>Request, approval, contracting</w:t>
      </w:r>
    </w:p>
    <w:p w:rsidR="00B5444C" w:rsidRDefault="00B5444C" w:rsidP="00B5444C">
      <w:pPr>
        <w:spacing w:after="200" w:line="276" w:lineRule="auto"/>
        <w:rPr>
          <w:rFonts w:ascii="Arial" w:eastAsiaTheme="majorEastAsia" w:hAnsi="Arial" w:cs="Arial"/>
          <w:bCs/>
          <w:i/>
          <w:sz w:val="20"/>
          <w:szCs w:val="21"/>
        </w:rPr>
      </w:pPr>
      <w:r>
        <w:rPr>
          <w:rFonts w:ascii="Arial" w:eastAsiaTheme="majorEastAsia" w:hAnsi="Arial" w:cs="Arial"/>
          <w:bCs/>
          <w:i/>
          <w:sz w:val="20"/>
          <w:szCs w:val="21"/>
        </w:rPr>
        <w:tab/>
      </w:r>
      <w:r>
        <w:rPr>
          <w:rFonts w:ascii="Arial" w:eastAsiaTheme="majorEastAsia" w:hAnsi="Arial" w:cs="Arial"/>
          <w:bCs/>
          <w:i/>
          <w:sz w:val="20"/>
          <w:szCs w:val="21"/>
        </w:rPr>
        <w:tab/>
      </w:r>
      <w:r w:rsidR="009B35D8">
        <w:rPr>
          <w:noProof/>
        </w:rPr>
        <w:drawing>
          <wp:inline distT="0" distB="0" distL="0" distR="0" wp14:anchorId="5B6FDDDA" wp14:editId="6D9EEAA8">
            <wp:extent cx="5692741" cy="15484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393" cy="154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5D8" w:rsidRDefault="00B5444C" w:rsidP="00B5444C">
      <w:pPr>
        <w:spacing w:after="200" w:line="276" w:lineRule="auto"/>
        <w:rPr>
          <w:rFonts w:ascii="Arial" w:eastAsiaTheme="majorEastAsia" w:hAnsi="Arial" w:cs="Arial"/>
          <w:bCs/>
          <w:i/>
          <w:sz w:val="20"/>
          <w:szCs w:val="21"/>
        </w:rPr>
      </w:pPr>
      <w:r>
        <w:rPr>
          <w:noProof/>
        </w:rPr>
        <w:drawing>
          <wp:inline distT="0" distB="0" distL="0" distR="0" wp14:anchorId="11FE1FB1" wp14:editId="5D12932E">
            <wp:extent cx="5742337" cy="3633746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2548" cy="363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ajorEastAsia" w:hAnsi="Arial" w:cs="Arial"/>
          <w:bCs/>
          <w:i/>
          <w:sz w:val="20"/>
          <w:szCs w:val="21"/>
        </w:rPr>
        <w:tab/>
      </w:r>
      <w:r w:rsidR="009B35D8">
        <w:rPr>
          <w:rFonts w:ascii="Arial" w:eastAsiaTheme="majorEastAsia" w:hAnsi="Arial" w:cs="Arial"/>
          <w:bCs/>
          <w:i/>
          <w:sz w:val="20"/>
          <w:szCs w:val="21"/>
        </w:rPr>
        <w:br w:type="page"/>
      </w:r>
    </w:p>
    <w:p w:rsidR="0052096B" w:rsidRPr="0052096B" w:rsidRDefault="0052096B" w:rsidP="0052096B">
      <w:pPr>
        <w:spacing w:after="200" w:line="276" w:lineRule="auto"/>
        <w:jc w:val="both"/>
        <w:rPr>
          <w:rFonts w:ascii="Arial" w:eastAsiaTheme="majorEastAsia" w:hAnsi="Arial" w:cs="Arial"/>
          <w:bCs/>
          <w:i/>
          <w:sz w:val="20"/>
          <w:szCs w:val="21"/>
        </w:rPr>
      </w:pPr>
      <w:r w:rsidRPr="0052096B">
        <w:rPr>
          <w:rFonts w:ascii="Arial" w:eastAsiaTheme="majorEastAsia" w:hAnsi="Arial" w:cs="Arial"/>
          <w:bCs/>
          <w:i/>
          <w:sz w:val="20"/>
          <w:szCs w:val="21"/>
        </w:rPr>
        <w:lastRenderedPageBreak/>
        <w:t>Excerpt from ICANN Procurement Guideline</w:t>
      </w:r>
    </w:p>
    <w:p w:rsidR="009B35D8" w:rsidRDefault="009B35D8" w:rsidP="005C5442">
      <w:pPr>
        <w:pStyle w:val="b1"/>
        <w:numPr>
          <w:ilvl w:val="0"/>
          <w:numId w:val="0"/>
        </w:numPr>
      </w:pPr>
      <w:r w:rsidRPr="009B35D8">
        <w:rPr>
          <w:b/>
        </w:rPr>
        <w:t>RFP features that should be considered up front</w:t>
      </w:r>
      <w:r>
        <w:t xml:space="preserve"> include:</w:t>
      </w:r>
    </w:p>
    <w:p w:rsidR="009B35D8" w:rsidRPr="0061203C" w:rsidRDefault="009B35D8" w:rsidP="005C5442">
      <w:pPr>
        <w:pStyle w:val="b2"/>
        <w:ind w:left="1080"/>
      </w:pPr>
      <w:r w:rsidRPr="0061203C">
        <w:t>Method of developing the potential vendor or provider list</w:t>
      </w:r>
      <w:r>
        <w:t>.</w:t>
      </w:r>
    </w:p>
    <w:p w:rsidR="009B35D8" w:rsidRPr="0061203C" w:rsidRDefault="009B35D8" w:rsidP="005C5442">
      <w:pPr>
        <w:pStyle w:val="b2"/>
        <w:ind w:left="1080"/>
      </w:pPr>
      <w:r>
        <w:t>Pre</w:t>
      </w:r>
      <w:r w:rsidR="00EC5020">
        <w:t>-</w:t>
      </w:r>
      <w:r w:rsidRPr="0061203C">
        <w:t>bid conference call to ensure equal information for all vendors or providers</w:t>
      </w:r>
      <w:r>
        <w:t>.</w:t>
      </w:r>
      <w:r w:rsidRPr="0061203C">
        <w:t xml:space="preserve"> </w:t>
      </w:r>
    </w:p>
    <w:p w:rsidR="009B35D8" w:rsidRPr="0061203C" w:rsidRDefault="009B35D8" w:rsidP="005C5442">
      <w:pPr>
        <w:pStyle w:val="b2"/>
        <w:ind w:left="1080"/>
      </w:pPr>
      <w:r w:rsidRPr="0061203C">
        <w:t>Deadlines for proposals</w:t>
      </w:r>
      <w:r>
        <w:t>.</w:t>
      </w:r>
    </w:p>
    <w:p w:rsidR="009B35D8" w:rsidRPr="0061203C" w:rsidRDefault="009B35D8" w:rsidP="005C5442">
      <w:pPr>
        <w:pStyle w:val="b2"/>
        <w:ind w:left="1080"/>
      </w:pPr>
      <w:r w:rsidRPr="0061203C">
        <w:t>Format and structure of proposals; in person, email, or conference call</w:t>
      </w:r>
      <w:r>
        <w:t>.</w:t>
      </w:r>
    </w:p>
    <w:p w:rsidR="009B35D8" w:rsidRPr="0061203C" w:rsidRDefault="009B35D8" w:rsidP="005C5442">
      <w:pPr>
        <w:pStyle w:val="b2"/>
        <w:ind w:left="1080"/>
      </w:pPr>
      <w:r>
        <w:t>In-</w:t>
      </w:r>
      <w:r w:rsidRPr="0061203C">
        <w:t>person or telephonic presentations</w:t>
      </w:r>
      <w:r>
        <w:t>.</w:t>
      </w:r>
    </w:p>
    <w:p w:rsidR="009B35D8" w:rsidRPr="0061203C" w:rsidRDefault="009B35D8" w:rsidP="005C5442">
      <w:pPr>
        <w:pStyle w:val="b2"/>
        <w:ind w:left="1080"/>
      </w:pPr>
      <w:r w:rsidRPr="0061203C">
        <w:t>FAQs for all venders or providers, and protocols for questions from, and answers to, potential vendors or providers</w:t>
      </w:r>
      <w:r>
        <w:t>.</w:t>
      </w:r>
    </w:p>
    <w:p w:rsidR="009B35D8" w:rsidRPr="0061203C" w:rsidRDefault="009B35D8" w:rsidP="005C5442">
      <w:pPr>
        <w:pStyle w:val="b2"/>
        <w:ind w:left="1080"/>
      </w:pPr>
      <w:r w:rsidRPr="0061203C">
        <w:t>Importance of pricing on the proposal versus other more subjective criteria; consider score card with criteria, weighting and ranking methodology</w:t>
      </w:r>
      <w:r>
        <w:t>.</w:t>
      </w:r>
    </w:p>
    <w:p w:rsidR="009B35D8" w:rsidRPr="0061203C" w:rsidRDefault="009B35D8" w:rsidP="005C5442">
      <w:pPr>
        <w:pStyle w:val="b2"/>
        <w:ind w:left="1080"/>
      </w:pPr>
      <w:r>
        <w:t>Make</w:t>
      </w:r>
      <w:r w:rsidRPr="0061203C">
        <w:t>up of evaluation team and each member’s roles and responsibilities</w:t>
      </w:r>
      <w:r>
        <w:t>.</w:t>
      </w:r>
    </w:p>
    <w:p w:rsidR="009B35D8" w:rsidRPr="0061203C" w:rsidRDefault="009B35D8" w:rsidP="005C5442">
      <w:pPr>
        <w:pStyle w:val="b2"/>
        <w:ind w:left="1080"/>
      </w:pPr>
      <w:r w:rsidRPr="0061203C">
        <w:t>Level of detai</w:t>
      </w:r>
      <w:r>
        <w:t>l</w:t>
      </w:r>
      <w:r w:rsidRPr="0061203C">
        <w:t xml:space="preserve"> provided in drafting of RFP</w:t>
      </w:r>
      <w:r>
        <w:t>.</w:t>
      </w:r>
    </w:p>
    <w:p w:rsidR="009B35D8" w:rsidRPr="0061203C" w:rsidRDefault="009B35D8" w:rsidP="005C5442">
      <w:pPr>
        <w:pStyle w:val="b2"/>
        <w:ind w:left="1080"/>
      </w:pPr>
      <w:r w:rsidRPr="0061203C">
        <w:t>Documentation required i</w:t>
      </w:r>
      <w:r>
        <w:t>ncluding draft contract and non</w:t>
      </w:r>
      <w:r w:rsidRPr="0061203C">
        <w:t>disclosure agreement (NDA)</w:t>
      </w:r>
      <w:r>
        <w:t>.</w:t>
      </w:r>
    </w:p>
    <w:p w:rsidR="009B35D8" w:rsidRDefault="009B35D8" w:rsidP="005C5442">
      <w:pPr>
        <w:pStyle w:val="b2"/>
        <w:ind w:left="1080"/>
      </w:pPr>
      <w:r>
        <w:t>Pricing terms such as price per hour, price per unit, expected additional costs, not to exceed terms, and expected total costs.</w:t>
      </w:r>
    </w:p>
    <w:p w:rsidR="009B35D8" w:rsidRDefault="009B35D8" w:rsidP="005C5442">
      <w:pPr>
        <w:pStyle w:val="b2"/>
        <w:ind w:left="1080"/>
      </w:pPr>
      <w:r>
        <w:t>Contract terms and conditions (e.g., liability limitations, disclosures, warranties, substitution policy).</w:t>
      </w:r>
    </w:p>
    <w:p w:rsidR="009B35D8" w:rsidRPr="009B35D8" w:rsidRDefault="009B35D8" w:rsidP="0052096B">
      <w:pPr>
        <w:spacing w:after="200" w:line="276" w:lineRule="auto"/>
        <w:jc w:val="both"/>
        <w:rPr>
          <w:rFonts w:ascii="Calibri" w:eastAsia="Times New Roman" w:hAnsi="Calibri" w:cs="Arial"/>
          <w:bCs/>
          <w:iCs/>
          <w:szCs w:val="20"/>
        </w:rPr>
      </w:pPr>
    </w:p>
    <w:p w:rsidR="0052096B" w:rsidRPr="009B35D8" w:rsidRDefault="0052096B" w:rsidP="0052096B">
      <w:pPr>
        <w:spacing w:after="200" w:line="276" w:lineRule="auto"/>
        <w:jc w:val="both"/>
        <w:rPr>
          <w:rFonts w:ascii="Calibri" w:eastAsia="Times New Roman" w:hAnsi="Calibri" w:cs="Arial"/>
          <w:b/>
          <w:bCs/>
          <w:iCs/>
          <w:szCs w:val="20"/>
        </w:rPr>
      </w:pPr>
      <w:r w:rsidRPr="009B35D8">
        <w:rPr>
          <w:rFonts w:ascii="Calibri" w:eastAsia="Times New Roman" w:hAnsi="Calibri" w:cs="Arial"/>
          <w:b/>
          <w:bCs/>
          <w:iCs/>
          <w:szCs w:val="20"/>
        </w:rPr>
        <w:t xml:space="preserve">Direct contracting selection process </w:t>
      </w:r>
    </w:p>
    <w:p w:rsidR="0052096B" w:rsidRPr="00EC5020" w:rsidRDefault="0052096B" w:rsidP="00EC5020">
      <w:pPr>
        <w:pStyle w:val="b2"/>
        <w:numPr>
          <w:ilvl w:val="0"/>
          <w:numId w:val="0"/>
        </w:numPr>
      </w:pPr>
      <w:r w:rsidRPr="00EC5020">
        <w:t>In certain circumstances, contracting directly with a vendor or service provider without calling for competitive bidding is appropriate for procurement decisions, such as:</w:t>
      </w:r>
    </w:p>
    <w:p w:rsidR="0052096B" w:rsidRPr="00EC5020" w:rsidRDefault="0052096B" w:rsidP="00EC5020">
      <w:pPr>
        <w:pStyle w:val="b2"/>
        <w:ind w:left="1080"/>
      </w:pPr>
      <w:r w:rsidRPr="00EC5020">
        <w:t>Emergency situations.</w:t>
      </w:r>
    </w:p>
    <w:p w:rsidR="0052096B" w:rsidRPr="00EC5020" w:rsidRDefault="005C5442" w:rsidP="00EC5020">
      <w:pPr>
        <w:pStyle w:val="b2"/>
        <w:ind w:left="1080"/>
      </w:pPr>
      <w:r>
        <w:t>S</w:t>
      </w:r>
      <w:r w:rsidR="0052096B" w:rsidRPr="00EC5020">
        <w:t>pecialized professional services including, but not limited to, staff, audio-visual experts, lobbyists, advisors to CEO or departmental functions, law firms and economists.</w:t>
      </w:r>
    </w:p>
    <w:p w:rsidR="0052096B" w:rsidRPr="00EC5020" w:rsidRDefault="0052096B" w:rsidP="00EC5020">
      <w:pPr>
        <w:pStyle w:val="b2"/>
        <w:ind w:left="1080"/>
      </w:pPr>
      <w:r w:rsidRPr="00EC5020">
        <w:t>When small or less significant items are required in which the costs to implement competitive bidding outweigh the potential benefits.</w:t>
      </w:r>
    </w:p>
    <w:p w:rsidR="0052096B" w:rsidRPr="00EC5020" w:rsidRDefault="0052096B" w:rsidP="00EC5020">
      <w:pPr>
        <w:pStyle w:val="b2"/>
        <w:ind w:left="1080"/>
      </w:pPr>
      <w:r w:rsidRPr="00EC5020">
        <w:t>When there is a natural continuation of previous work carried out by the vendor or service provider, and in which competitive bidding would not improve value to ICANN.</w:t>
      </w:r>
    </w:p>
    <w:p w:rsidR="0052096B" w:rsidRPr="00EC5020" w:rsidRDefault="0052096B" w:rsidP="00EC5020">
      <w:pPr>
        <w:pStyle w:val="b2"/>
        <w:ind w:left="1080"/>
      </w:pPr>
      <w:r w:rsidRPr="00EC5020">
        <w:lastRenderedPageBreak/>
        <w:t>When there is only one potential provider or when the provider has a measurably superior capacity, expertise and/or knowledge, which might be subjectively determined.</w:t>
      </w:r>
    </w:p>
    <w:p w:rsidR="0052096B" w:rsidRPr="00EC5020" w:rsidRDefault="0052096B" w:rsidP="00EC5020">
      <w:pPr>
        <w:pStyle w:val="b2"/>
        <w:ind w:left="1080"/>
      </w:pPr>
      <w:r w:rsidRPr="00EC5020">
        <w:t>When the incumbent provider demonstrates a clear historic pattern of charging reasonable prices and providing consistently good quality service.</w:t>
      </w:r>
    </w:p>
    <w:p w:rsidR="00B75C3D" w:rsidRPr="0052096B" w:rsidRDefault="00CA24E5" w:rsidP="0052096B">
      <w:p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Potential Service Providers (starting point)</w:t>
      </w:r>
    </w:p>
    <w:p w:rsidR="00FC6AF0" w:rsidRDefault="00FC6AF0" w:rsidP="00877271">
      <w:pPr>
        <w:pStyle w:val="ListParagraph"/>
        <w:spacing w:after="200" w:line="276" w:lineRule="auto"/>
        <w:ind w:left="0"/>
        <w:rPr>
          <w:rFonts w:ascii="Arial" w:eastAsiaTheme="majorEastAsia" w:hAnsi="Arial" w:cs="Arial"/>
          <w:bCs/>
          <w:sz w:val="21"/>
          <w:szCs w:val="21"/>
        </w:rPr>
      </w:pPr>
      <w:r w:rsidRPr="00FC6AF0">
        <w:rPr>
          <w:rFonts w:ascii="Arial" w:eastAsiaTheme="majorEastAsia" w:hAnsi="Arial" w:cs="Arial"/>
          <w:bCs/>
          <w:sz w:val="21"/>
          <w:szCs w:val="21"/>
        </w:rPr>
        <w:t>The following organisations have been listed as a starting point</w:t>
      </w:r>
      <w:r w:rsidR="00DF20B5">
        <w:rPr>
          <w:rFonts w:ascii="Arial" w:eastAsiaTheme="majorEastAsia" w:hAnsi="Arial" w:cs="Arial"/>
          <w:bCs/>
          <w:sz w:val="21"/>
          <w:szCs w:val="21"/>
        </w:rPr>
        <w:t>, based on discussion on 9 May</w:t>
      </w:r>
      <w:r w:rsidRPr="00FC6AF0">
        <w:rPr>
          <w:rFonts w:ascii="Arial" w:eastAsiaTheme="majorEastAsia" w:hAnsi="Arial" w:cs="Arial"/>
          <w:bCs/>
          <w:sz w:val="21"/>
          <w:szCs w:val="21"/>
        </w:rPr>
        <w:t>.</w:t>
      </w:r>
    </w:p>
    <w:p w:rsidR="00450466" w:rsidRPr="00FC6AF0" w:rsidRDefault="00450466" w:rsidP="00877271">
      <w:pPr>
        <w:pStyle w:val="ListParagraph"/>
        <w:spacing w:after="200" w:line="276" w:lineRule="auto"/>
        <w:ind w:left="0"/>
        <w:rPr>
          <w:rFonts w:ascii="Arial" w:eastAsiaTheme="majorEastAsia" w:hAnsi="Arial" w:cs="Arial"/>
          <w:bCs/>
          <w:sz w:val="21"/>
          <w:szCs w:val="21"/>
        </w:rPr>
      </w:pPr>
    </w:p>
    <w:p w:rsidR="00B75C3D" w:rsidRDefault="00B75C3D" w:rsidP="00877271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 w:rsidRPr="00DF3923">
        <w:rPr>
          <w:rFonts w:ascii="Arial" w:eastAsiaTheme="majorEastAsia" w:hAnsi="Arial" w:cs="Arial"/>
          <w:b/>
          <w:bCs/>
          <w:sz w:val="21"/>
          <w:szCs w:val="21"/>
        </w:rPr>
        <w:t>One World Trust</w:t>
      </w:r>
      <w:r>
        <w:rPr>
          <w:rFonts w:ascii="Arial" w:eastAsiaTheme="majorEastAsia" w:hAnsi="Arial" w:cs="Arial"/>
          <w:bCs/>
          <w:sz w:val="21"/>
          <w:szCs w:val="21"/>
        </w:rPr>
        <w:t>: making global governance more accountable (</w:t>
      </w:r>
      <w:hyperlink r:id="rId10" w:history="1">
        <w:r w:rsidRPr="001B1119">
          <w:rPr>
            <w:rStyle w:val="Hyperlink"/>
            <w:rFonts w:ascii="Arial" w:eastAsiaTheme="majorEastAsia" w:hAnsi="Arial" w:cs="Arial"/>
            <w:bCs/>
            <w:sz w:val="21"/>
            <w:szCs w:val="21"/>
          </w:rPr>
          <w:t>http://www.oneworldtrust.org/about-us</w:t>
        </w:r>
      </w:hyperlink>
      <w:r>
        <w:rPr>
          <w:rFonts w:ascii="Arial" w:eastAsiaTheme="majorEastAsia" w:hAnsi="Arial" w:cs="Arial"/>
          <w:bCs/>
          <w:sz w:val="21"/>
          <w:szCs w:val="21"/>
        </w:rPr>
        <w:t>)</w:t>
      </w:r>
    </w:p>
    <w:p w:rsidR="00B75C3D" w:rsidRPr="00B75C3D" w:rsidRDefault="00B75C3D" w:rsidP="00877271">
      <w:pPr>
        <w:spacing w:after="200" w:line="276" w:lineRule="auto"/>
        <w:ind w:left="720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>Excerpts from web site:</w:t>
      </w:r>
    </w:p>
    <w:p w:rsidR="00B75C3D" w:rsidRPr="00450466" w:rsidRDefault="00B75C3D" w:rsidP="00877271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Theme="majorEastAsia" w:hAnsi="Arial" w:cs="Arial"/>
          <w:bCs/>
          <w:sz w:val="18"/>
          <w:szCs w:val="21"/>
        </w:rPr>
      </w:pPr>
      <w:r w:rsidRPr="00450466">
        <w:rPr>
          <w:rFonts w:ascii="Arial" w:eastAsiaTheme="majorEastAsia" w:hAnsi="Arial" w:cs="Arial"/>
          <w:bCs/>
          <w:sz w:val="18"/>
          <w:szCs w:val="21"/>
        </w:rPr>
        <w:t xml:space="preserve">The One World Trust is an independent charity that conducts research, develops recommendations and advocates for reform to make policy and decision-making processes in global governance more accountable to the people they affect now and in the future, and to ensure that international laws are strengthened and applied equally to all.  </w:t>
      </w:r>
    </w:p>
    <w:p w:rsidR="00450466" w:rsidRPr="00450466" w:rsidRDefault="00450466" w:rsidP="00877271">
      <w:pPr>
        <w:pStyle w:val="ListParagraph"/>
        <w:spacing w:after="200" w:line="276" w:lineRule="auto"/>
        <w:ind w:left="1080"/>
        <w:rPr>
          <w:sz w:val="20"/>
        </w:rPr>
      </w:pPr>
    </w:p>
    <w:p w:rsidR="00B75C3D" w:rsidRPr="00450466" w:rsidRDefault="00B75C3D" w:rsidP="00877271">
      <w:pPr>
        <w:pStyle w:val="ListParagraph"/>
        <w:spacing w:after="200" w:line="276" w:lineRule="auto"/>
        <w:ind w:left="1080"/>
        <w:rPr>
          <w:sz w:val="20"/>
        </w:rPr>
      </w:pPr>
      <w:r w:rsidRPr="00450466">
        <w:rPr>
          <w:sz w:val="20"/>
        </w:rPr>
        <w:t xml:space="preserve">To achieve this we develop practical tools and recommendations in support of organisational reform, identifying gaps in the accountability of governance systems, and highlighting opportunities for cross-sector learning.  </w:t>
      </w:r>
      <w:r w:rsidRPr="00450466">
        <w:rPr>
          <w:sz w:val="20"/>
        </w:rPr>
        <w:br/>
      </w:r>
      <w:r w:rsidRPr="00450466">
        <w:rPr>
          <w:sz w:val="20"/>
        </w:rPr>
        <w:br/>
        <w:t>Key to the effectiveness of our research and advocacy in all our strategic areas is the objectivity of our findings,</w:t>
      </w:r>
      <w:r w:rsidR="004A232A" w:rsidRPr="00450466">
        <w:rPr>
          <w:sz w:val="20"/>
        </w:rPr>
        <w:t xml:space="preserve"> </w:t>
      </w:r>
      <w:r w:rsidRPr="00450466">
        <w:rPr>
          <w:sz w:val="20"/>
        </w:rPr>
        <w:t>and the constructive engagement with those whose efforts for reform we would like to support, including leaders, senior decision- and policy-makers and opinion-formers in global organisations, parliaments and governments, civil society organisations, and the media.</w:t>
      </w:r>
    </w:p>
    <w:p w:rsidR="00450466" w:rsidRPr="00B75C3D" w:rsidRDefault="00450466" w:rsidP="00877271">
      <w:pPr>
        <w:pStyle w:val="ListParagraph"/>
        <w:spacing w:after="200" w:line="276" w:lineRule="auto"/>
        <w:ind w:left="1080"/>
        <w:rPr>
          <w:rFonts w:ascii="Arial" w:eastAsiaTheme="majorEastAsia" w:hAnsi="Arial" w:cs="Arial"/>
          <w:bCs/>
          <w:sz w:val="21"/>
          <w:szCs w:val="21"/>
        </w:rPr>
      </w:pPr>
    </w:p>
    <w:p w:rsidR="00EE02ED" w:rsidRPr="00EE02ED" w:rsidRDefault="00B75C3D" w:rsidP="00877271">
      <w:pPr>
        <w:pStyle w:val="ListParagraph"/>
        <w:numPr>
          <w:ilvl w:val="1"/>
          <w:numId w:val="10"/>
        </w:numPr>
        <w:spacing w:after="200" w:line="276" w:lineRule="auto"/>
        <w:rPr>
          <w:b/>
        </w:rPr>
      </w:pPr>
      <w:r>
        <w:t xml:space="preserve">Engaged in 2007 to undertake an independent review of standards of accountability and transparency within ICANN </w:t>
      </w:r>
      <w:r w:rsidR="00EE02ED">
        <w:t>-</w:t>
      </w:r>
      <w:r w:rsidR="00EE02ED" w:rsidRPr="00EE02ED">
        <w:rPr>
          <w:b/>
        </w:rPr>
        <w:t xml:space="preserve"> Independent Review of ICANN’s Accountability and Transparency – Structures and Practices</w:t>
      </w:r>
    </w:p>
    <w:p w:rsidR="00B75C3D" w:rsidRDefault="00400167" w:rsidP="00877271">
      <w:pPr>
        <w:pStyle w:val="ListParagraph"/>
        <w:spacing w:after="200" w:line="276" w:lineRule="auto"/>
        <w:ind w:left="1080"/>
      </w:pPr>
      <w:hyperlink r:id="rId11" w:history="1">
        <w:r w:rsidR="00B75C3D" w:rsidRPr="001B1119">
          <w:rPr>
            <w:rStyle w:val="Hyperlink"/>
          </w:rPr>
          <w:t>http://www.icann.org/en/news/announcements/announcement-4-29mar07-en.htm</w:t>
        </w:r>
      </w:hyperlink>
    </w:p>
    <w:p w:rsidR="00877271" w:rsidRPr="00B75C3D" w:rsidRDefault="00877271" w:rsidP="00877271">
      <w:pPr>
        <w:pStyle w:val="ListParagraph"/>
        <w:spacing w:after="200" w:line="276" w:lineRule="auto"/>
        <w:ind w:left="1080"/>
        <w:rPr>
          <w:rFonts w:ascii="Arial" w:eastAsiaTheme="majorEastAsia" w:hAnsi="Arial" w:cs="Arial"/>
          <w:bCs/>
          <w:sz w:val="21"/>
          <w:szCs w:val="21"/>
        </w:rPr>
      </w:pPr>
    </w:p>
    <w:p w:rsidR="00B75C3D" w:rsidRDefault="004278BE" w:rsidP="00877271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 w:rsidRPr="004278BE">
        <w:rPr>
          <w:rFonts w:ascii="Arial" w:eastAsiaTheme="majorEastAsia" w:hAnsi="Arial" w:cs="Arial"/>
          <w:b/>
          <w:bCs/>
          <w:sz w:val="21"/>
          <w:szCs w:val="21"/>
        </w:rPr>
        <w:t>Berkman Center for Internet and Society</w:t>
      </w:r>
      <w:r>
        <w:rPr>
          <w:rFonts w:ascii="Arial" w:eastAsiaTheme="majorEastAsia" w:hAnsi="Arial" w:cs="Arial"/>
          <w:bCs/>
          <w:sz w:val="21"/>
          <w:szCs w:val="21"/>
        </w:rPr>
        <w:t xml:space="preserve">  </w:t>
      </w:r>
      <w:hyperlink r:id="rId12" w:history="1">
        <w:r w:rsidRPr="001B1119">
          <w:rPr>
            <w:rStyle w:val="Hyperlink"/>
            <w:rFonts w:ascii="Arial" w:eastAsiaTheme="majorEastAsia" w:hAnsi="Arial" w:cs="Arial"/>
            <w:bCs/>
            <w:sz w:val="21"/>
            <w:szCs w:val="21"/>
          </w:rPr>
          <w:t>http://cyber.law.harvard.edu/</w:t>
        </w:r>
      </w:hyperlink>
    </w:p>
    <w:p w:rsidR="004278BE" w:rsidRPr="004278BE" w:rsidRDefault="004278BE" w:rsidP="00877271">
      <w:p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ab/>
        <w:t>Excerpts from web site</w:t>
      </w:r>
      <w:r w:rsidR="006A4E9D">
        <w:rPr>
          <w:rFonts w:ascii="Arial" w:eastAsiaTheme="majorEastAsia" w:hAnsi="Arial" w:cs="Arial"/>
          <w:bCs/>
          <w:sz w:val="21"/>
          <w:szCs w:val="21"/>
        </w:rPr>
        <w:t>:</w:t>
      </w:r>
    </w:p>
    <w:p w:rsidR="004278BE" w:rsidRPr="00877271" w:rsidRDefault="004278BE" w:rsidP="00877271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Theme="majorEastAsia" w:hAnsi="Arial" w:cs="Arial"/>
          <w:bCs/>
          <w:sz w:val="18"/>
          <w:szCs w:val="21"/>
        </w:rPr>
      </w:pPr>
      <w:r w:rsidRPr="00877271">
        <w:rPr>
          <w:rFonts w:ascii="Arial" w:eastAsiaTheme="majorEastAsia" w:hAnsi="Arial" w:cs="Arial"/>
          <w:bCs/>
          <w:sz w:val="18"/>
          <w:szCs w:val="21"/>
        </w:rPr>
        <w:t>Mission is to explore and understand cyberspace; to study its development, dynamics, norms, and standards; and to assess the need or lack thereof for laws and sanctions.</w:t>
      </w:r>
    </w:p>
    <w:p w:rsidR="004278BE" w:rsidRPr="00877271" w:rsidRDefault="004278BE" w:rsidP="00877271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Theme="majorEastAsia" w:hAnsi="Arial" w:cs="Arial"/>
          <w:bCs/>
          <w:sz w:val="18"/>
          <w:szCs w:val="21"/>
        </w:rPr>
      </w:pPr>
      <w:r w:rsidRPr="00877271">
        <w:rPr>
          <w:rFonts w:ascii="Arial" w:eastAsiaTheme="majorEastAsia" w:hAnsi="Arial" w:cs="Arial"/>
          <w:bCs/>
          <w:sz w:val="18"/>
          <w:szCs w:val="21"/>
        </w:rPr>
        <w:t>We are a research center, premised on the observation that what we seek to learn is not already recorded. Our method is to build out into cyberspace, record data as we go, self-study, and share. Our mode is entrepreneurial nonprofit.</w:t>
      </w:r>
    </w:p>
    <w:p w:rsidR="00877271" w:rsidRDefault="00877271" w:rsidP="00877271">
      <w:pPr>
        <w:pStyle w:val="ListParagraph"/>
        <w:spacing w:after="200" w:line="276" w:lineRule="auto"/>
        <w:ind w:left="360"/>
        <w:rPr>
          <w:rFonts w:ascii="Arial" w:eastAsiaTheme="majorEastAsia" w:hAnsi="Arial" w:cs="Arial"/>
          <w:bCs/>
          <w:sz w:val="21"/>
          <w:szCs w:val="21"/>
        </w:rPr>
      </w:pPr>
    </w:p>
    <w:p w:rsidR="00877271" w:rsidRPr="00DF20B5" w:rsidRDefault="00D24B13" w:rsidP="00877271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 xml:space="preserve">Engaged in 2010 by ATRT 1 </w:t>
      </w:r>
      <w:hyperlink r:id="rId13" w:history="1">
        <w:r w:rsidRPr="001B1119">
          <w:rPr>
            <w:rStyle w:val="Hyperlink"/>
            <w:rFonts w:ascii="Arial" w:eastAsiaTheme="majorEastAsia" w:hAnsi="Arial" w:cs="Arial"/>
            <w:bCs/>
            <w:sz w:val="21"/>
            <w:szCs w:val="21"/>
          </w:rPr>
          <w:t>http://www.icann.org/en/about/aoc-review/atrt/review-berkman-final-report-20oct10-en</w:t>
        </w:r>
      </w:hyperlink>
    </w:p>
    <w:p w:rsidR="00877271" w:rsidRPr="004278BE" w:rsidRDefault="00877271" w:rsidP="00877271">
      <w:pPr>
        <w:pStyle w:val="ListParagraph"/>
        <w:spacing w:after="200" w:line="276" w:lineRule="auto"/>
        <w:ind w:left="1080"/>
        <w:rPr>
          <w:rFonts w:ascii="Arial" w:eastAsiaTheme="majorEastAsia" w:hAnsi="Arial" w:cs="Arial"/>
          <w:bCs/>
          <w:sz w:val="21"/>
          <w:szCs w:val="21"/>
        </w:rPr>
      </w:pPr>
    </w:p>
    <w:p w:rsidR="00877271" w:rsidRDefault="00877271" w:rsidP="00877271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 w:rsidRPr="00877271">
        <w:rPr>
          <w:rFonts w:ascii="Arial" w:eastAsiaTheme="majorEastAsia" w:hAnsi="Arial" w:cs="Arial"/>
          <w:b/>
          <w:bCs/>
          <w:sz w:val="21"/>
          <w:szCs w:val="21"/>
        </w:rPr>
        <w:lastRenderedPageBreak/>
        <w:t>Transparency International</w:t>
      </w:r>
      <w:r>
        <w:rPr>
          <w:rFonts w:ascii="Arial" w:eastAsiaTheme="majorEastAsia" w:hAnsi="Arial" w:cs="Arial"/>
          <w:bCs/>
          <w:sz w:val="21"/>
          <w:szCs w:val="21"/>
        </w:rPr>
        <w:t xml:space="preserve">, the global coalition against corruption   </w:t>
      </w:r>
      <w:hyperlink r:id="rId14" w:history="1">
        <w:r w:rsidR="00B2059C" w:rsidRPr="008933EF">
          <w:rPr>
            <w:rStyle w:val="Hyperlink"/>
            <w:rFonts w:ascii="Arial" w:eastAsiaTheme="majorEastAsia" w:hAnsi="Arial" w:cs="Arial"/>
            <w:bCs/>
            <w:sz w:val="21"/>
            <w:szCs w:val="21"/>
          </w:rPr>
          <w:t>http://www.transparency.org/</w:t>
        </w:r>
      </w:hyperlink>
    </w:p>
    <w:p w:rsidR="00B2059C" w:rsidRPr="00877271" w:rsidRDefault="00B2059C" w:rsidP="00B2059C">
      <w:pPr>
        <w:pStyle w:val="ListParagraph"/>
        <w:spacing w:after="200" w:line="276" w:lineRule="auto"/>
        <w:ind w:left="360"/>
        <w:rPr>
          <w:rFonts w:ascii="Arial" w:eastAsiaTheme="majorEastAsia" w:hAnsi="Arial" w:cs="Arial"/>
          <w:bCs/>
          <w:sz w:val="21"/>
          <w:szCs w:val="21"/>
        </w:rPr>
      </w:pPr>
    </w:p>
    <w:p w:rsidR="00877271" w:rsidRPr="00877271" w:rsidRDefault="00877271" w:rsidP="00877271">
      <w:p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ab/>
      </w:r>
      <w:r w:rsidRPr="00877271">
        <w:rPr>
          <w:rFonts w:ascii="Arial" w:eastAsiaTheme="majorEastAsia" w:hAnsi="Arial" w:cs="Arial"/>
          <w:bCs/>
          <w:sz w:val="21"/>
          <w:szCs w:val="21"/>
        </w:rPr>
        <w:t>Excerpts from web site:</w:t>
      </w:r>
    </w:p>
    <w:p w:rsidR="009F1F22" w:rsidRPr="00877271" w:rsidRDefault="00877271" w:rsidP="00877271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Theme="majorEastAsia" w:hAnsi="Arial" w:cs="Arial"/>
          <w:bCs/>
          <w:sz w:val="18"/>
          <w:szCs w:val="21"/>
        </w:rPr>
      </w:pPr>
      <w:r w:rsidRPr="00877271">
        <w:rPr>
          <w:rFonts w:ascii="Arial" w:eastAsiaTheme="majorEastAsia" w:hAnsi="Arial" w:cs="Arial"/>
          <w:bCs/>
          <w:sz w:val="18"/>
          <w:szCs w:val="21"/>
        </w:rPr>
        <w:t>In 1993, a few individuals decided to take a stance against corruption and created Transparency International. Now present in more than 100 countries, the movement works relentlessly to stir the world’s collective conscience and bring about change.</w:t>
      </w:r>
    </w:p>
    <w:p w:rsidR="00877271" w:rsidRDefault="00877271" w:rsidP="00877271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Theme="majorEastAsia" w:hAnsi="Arial" w:cs="Arial"/>
          <w:bCs/>
          <w:sz w:val="18"/>
          <w:szCs w:val="21"/>
        </w:rPr>
      </w:pPr>
      <w:r w:rsidRPr="00877271">
        <w:rPr>
          <w:rFonts w:ascii="Arial" w:eastAsiaTheme="majorEastAsia" w:hAnsi="Arial" w:cs="Arial"/>
          <w:bCs/>
          <w:sz w:val="18"/>
          <w:szCs w:val="21"/>
        </w:rPr>
        <w:t>Our Mission is to stop corruption and promote transparency, accountability and integrity at all levels and across all sectors of society. Our Core Values are: transparency, accountability, integrity, solidarity, courage, justice and democracy.</w:t>
      </w:r>
    </w:p>
    <w:p w:rsidR="005A5DD2" w:rsidRPr="005A5DD2" w:rsidRDefault="005A5DD2" w:rsidP="005A5DD2">
      <w:pPr>
        <w:spacing w:after="200" w:line="276" w:lineRule="auto"/>
        <w:rPr>
          <w:rFonts w:ascii="Arial" w:eastAsiaTheme="majorEastAsia" w:hAnsi="Arial" w:cs="Arial"/>
          <w:bCs/>
          <w:sz w:val="18"/>
          <w:szCs w:val="21"/>
        </w:rPr>
      </w:pPr>
    </w:p>
    <w:p w:rsidR="00877271" w:rsidRPr="00252DA6" w:rsidRDefault="00252DA6" w:rsidP="00252DA6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rPr>
          <w:rFonts w:ascii="Arial" w:eastAsiaTheme="majorEastAsia" w:hAnsi="Arial" w:cs="Arial"/>
          <w:bCs/>
          <w:sz w:val="21"/>
          <w:szCs w:val="21"/>
        </w:rPr>
        <w:t xml:space="preserve">Anti-Corruption Research Network </w:t>
      </w:r>
      <w:r>
        <w:t xml:space="preserve">(ACRN) is an online platform and the global meeting point for a research community that spans a wide range of disciplines and institutions </w:t>
      </w:r>
      <w:hyperlink r:id="rId15" w:history="1">
        <w:r w:rsidRPr="001B1119">
          <w:rPr>
            <w:rStyle w:val="Hyperlink"/>
          </w:rPr>
          <w:t>http://corruptionresearchnetwork.org/about</w:t>
        </w:r>
      </w:hyperlink>
    </w:p>
    <w:p w:rsidR="00252DA6" w:rsidRPr="00877271" w:rsidRDefault="00252DA6" w:rsidP="00252DA6">
      <w:pPr>
        <w:pStyle w:val="ListParagraph"/>
        <w:numPr>
          <w:ilvl w:val="1"/>
          <w:numId w:val="10"/>
        </w:num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  <w:r>
        <w:t>Custom research capabilities are not referenced</w:t>
      </w:r>
    </w:p>
    <w:p w:rsidR="006D2B24" w:rsidRPr="00DF20B5" w:rsidRDefault="006D2B24" w:rsidP="00DF20B5">
      <w:pPr>
        <w:spacing w:after="200" w:line="276" w:lineRule="auto"/>
        <w:rPr>
          <w:rFonts w:ascii="Arial" w:eastAsiaTheme="majorEastAsia" w:hAnsi="Arial" w:cs="Arial"/>
          <w:bCs/>
          <w:sz w:val="21"/>
          <w:szCs w:val="21"/>
        </w:rPr>
      </w:pPr>
    </w:p>
    <w:sectPr w:rsidR="006D2B24" w:rsidRPr="00DF20B5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67" w:rsidRDefault="00400167" w:rsidP="00BC5635">
      <w:r>
        <w:separator/>
      </w:r>
    </w:p>
  </w:endnote>
  <w:endnote w:type="continuationSeparator" w:id="0">
    <w:p w:rsidR="00400167" w:rsidRDefault="00400167" w:rsidP="00BC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94589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52285" w:rsidRDefault="00C52285">
        <w:pPr>
          <w:pStyle w:val="Footer"/>
          <w:pBdr>
            <w:top w:val="single" w:sz="4" w:space="1" w:color="D9D9D9" w:themeColor="background1" w:themeShade="D9"/>
          </w:pBdr>
          <w:rPr>
            <w:color w:val="808080" w:themeColor="background1" w:themeShade="80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88D" w:rsidRPr="0061588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DF20B5">
          <w:rPr>
            <w:color w:val="808080" w:themeColor="background1" w:themeShade="80"/>
            <w:spacing w:val="60"/>
          </w:rPr>
          <w:t>Page</w:t>
        </w:r>
        <w:r w:rsidR="00DF20B5">
          <w:rPr>
            <w:color w:val="808080" w:themeColor="background1" w:themeShade="80"/>
            <w:spacing w:val="60"/>
          </w:rPr>
          <w:tab/>
        </w:r>
        <w:r w:rsidR="00DF20B5">
          <w:rPr>
            <w:color w:val="808080" w:themeColor="background1" w:themeShade="80"/>
            <w:spacing w:val="60"/>
          </w:rPr>
          <w:tab/>
          <w:t>10</w:t>
        </w:r>
        <w:r>
          <w:rPr>
            <w:color w:val="808080" w:themeColor="background1" w:themeShade="80"/>
            <w:spacing w:val="60"/>
          </w:rPr>
          <w:t>May2013</w:t>
        </w:r>
      </w:p>
      <w:p w:rsidR="00C52285" w:rsidRDefault="009202F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L.Gurnick</w:t>
        </w:r>
      </w:p>
    </w:sdtContent>
  </w:sdt>
  <w:p w:rsidR="00C52285" w:rsidRDefault="00C522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67" w:rsidRDefault="00400167" w:rsidP="00BC5635">
      <w:r>
        <w:separator/>
      </w:r>
    </w:p>
  </w:footnote>
  <w:footnote w:type="continuationSeparator" w:id="0">
    <w:p w:rsidR="00400167" w:rsidRDefault="00400167" w:rsidP="00BC5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635" w:rsidRDefault="00400167" w:rsidP="00BC5635">
    <w:pPr>
      <w:pStyle w:val="Header"/>
      <w:pBdr>
        <w:bottom w:val="thickThinSmallGap" w:sz="24" w:space="1" w:color="622423" w:themeColor="accent2" w:themeShade="7F"/>
      </w:pBdr>
      <w:jc w:val="center"/>
    </w:pPr>
    <w:sdt>
      <w:sdtPr>
        <w:rPr>
          <w:rFonts w:asciiTheme="majorHAnsi" w:eastAsiaTheme="majorEastAsia" w:hAnsiTheme="majorHAnsi" w:cstheme="majorBidi"/>
          <w:sz w:val="32"/>
          <w:szCs w:val="32"/>
        </w:rPr>
        <w:id w:val="-1487309246"/>
        <w:docPartObj>
          <w:docPartGallery w:val="Watermarks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32E2B">
          <w:rPr>
            <w:rFonts w:asciiTheme="majorHAnsi" w:eastAsiaTheme="majorEastAsia" w:hAnsiTheme="majorHAnsi" w:cstheme="majorBidi"/>
            <w:sz w:val="32"/>
            <w:szCs w:val="32"/>
          </w:rPr>
          <w:t>Independent Experts – Notes and Considerations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F83"/>
    <w:multiLevelType w:val="hybridMultilevel"/>
    <w:tmpl w:val="A9C8F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463A0"/>
    <w:multiLevelType w:val="hybridMultilevel"/>
    <w:tmpl w:val="27CAF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17265"/>
    <w:multiLevelType w:val="hybridMultilevel"/>
    <w:tmpl w:val="DB0E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E2E63"/>
    <w:multiLevelType w:val="hybridMultilevel"/>
    <w:tmpl w:val="E6D4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86CD2">
      <w:start w:val="1"/>
      <w:numFmt w:val="bullet"/>
      <w:pStyle w:val="b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228B0"/>
    <w:multiLevelType w:val="hybridMultilevel"/>
    <w:tmpl w:val="4F82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05C32"/>
    <w:multiLevelType w:val="hybridMultilevel"/>
    <w:tmpl w:val="A7ECB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0D6E25"/>
    <w:multiLevelType w:val="hybridMultilevel"/>
    <w:tmpl w:val="50D43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100F2"/>
    <w:multiLevelType w:val="hybridMultilevel"/>
    <w:tmpl w:val="025AB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7739B"/>
    <w:multiLevelType w:val="hybridMultilevel"/>
    <w:tmpl w:val="B5621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562BBE"/>
    <w:multiLevelType w:val="hybridMultilevel"/>
    <w:tmpl w:val="C8D29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6267A2"/>
    <w:multiLevelType w:val="hybridMultilevel"/>
    <w:tmpl w:val="0D0E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D5F1E"/>
    <w:multiLevelType w:val="hybridMultilevel"/>
    <w:tmpl w:val="6DC2344C"/>
    <w:lvl w:ilvl="0" w:tplc="AF3AB66E">
      <w:start w:val="1"/>
      <w:numFmt w:val="bullet"/>
      <w:pStyle w:val="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45300"/>
    <w:multiLevelType w:val="hybridMultilevel"/>
    <w:tmpl w:val="420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E1BF7"/>
    <w:multiLevelType w:val="hybridMultilevel"/>
    <w:tmpl w:val="1A768A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1115EA"/>
    <w:multiLevelType w:val="hybridMultilevel"/>
    <w:tmpl w:val="DA4A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0"/>
  </w:num>
  <w:num w:numId="13">
    <w:abstractNumId w:val="11"/>
  </w:num>
  <w:num w:numId="14">
    <w:abstractNumId w:val="3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35"/>
    <w:rsid w:val="00007B76"/>
    <w:rsid w:val="0003520A"/>
    <w:rsid w:val="00037179"/>
    <w:rsid w:val="00053A4D"/>
    <w:rsid w:val="000D6368"/>
    <w:rsid w:val="00113820"/>
    <w:rsid w:val="00134C83"/>
    <w:rsid w:val="001819CF"/>
    <w:rsid w:val="00186480"/>
    <w:rsid w:val="001A4656"/>
    <w:rsid w:val="00213BE7"/>
    <w:rsid w:val="00247600"/>
    <w:rsid w:val="00252DA6"/>
    <w:rsid w:val="00254B08"/>
    <w:rsid w:val="00282567"/>
    <w:rsid w:val="002B1C48"/>
    <w:rsid w:val="002F7098"/>
    <w:rsid w:val="00324B0D"/>
    <w:rsid w:val="00331B76"/>
    <w:rsid w:val="003833E3"/>
    <w:rsid w:val="00384DC2"/>
    <w:rsid w:val="0039183C"/>
    <w:rsid w:val="003B6F03"/>
    <w:rsid w:val="00400167"/>
    <w:rsid w:val="00400587"/>
    <w:rsid w:val="004145F0"/>
    <w:rsid w:val="0041643D"/>
    <w:rsid w:val="004278BE"/>
    <w:rsid w:val="00450466"/>
    <w:rsid w:val="00457922"/>
    <w:rsid w:val="004664EF"/>
    <w:rsid w:val="004830AD"/>
    <w:rsid w:val="004A232A"/>
    <w:rsid w:val="0052096B"/>
    <w:rsid w:val="00536125"/>
    <w:rsid w:val="0056138F"/>
    <w:rsid w:val="00572364"/>
    <w:rsid w:val="00572741"/>
    <w:rsid w:val="005A5DD2"/>
    <w:rsid w:val="005C5442"/>
    <w:rsid w:val="005E46FD"/>
    <w:rsid w:val="0061588D"/>
    <w:rsid w:val="006819BE"/>
    <w:rsid w:val="006A4E9D"/>
    <w:rsid w:val="006C30E3"/>
    <w:rsid w:val="006D2B24"/>
    <w:rsid w:val="00707B97"/>
    <w:rsid w:val="00722F5C"/>
    <w:rsid w:val="007A1725"/>
    <w:rsid w:val="007B6184"/>
    <w:rsid w:val="007C0A36"/>
    <w:rsid w:val="007C0ACB"/>
    <w:rsid w:val="007D7A5C"/>
    <w:rsid w:val="007F7AB7"/>
    <w:rsid w:val="00807E1C"/>
    <w:rsid w:val="00877271"/>
    <w:rsid w:val="008B6A88"/>
    <w:rsid w:val="008C3DAE"/>
    <w:rsid w:val="008F0CBC"/>
    <w:rsid w:val="008F3BB0"/>
    <w:rsid w:val="00905225"/>
    <w:rsid w:val="009202F6"/>
    <w:rsid w:val="00932E2B"/>
    <w:rsid w:val="00997E6F"/>
    <w:rsid w:val="009B35D8"/>
    <w:rsid w:val="009F1F22"/>
    <w:rsid w:val="009F3C61"/>
    <w:rsid w:val="00A23A7B"/>
    <w:rsid w:val="00A55F21"/>
    <w:rsid w:val="00A90690"/>
    <w:rsid w:val="00B2059C"/>
    <w:rsid w:val="00B27B4F"/>
    <w:rsid w:val="00B5444C"/>
    <w:rsid w:val="00B67D7A"/>
    <w:rsid w:val="00B75C3D"/>
    <w:rsid w:val="00B91A06"/>
    <w:rsid w:val="00BA72F9"/>
    <w:rsid w:val="00BC5635"/>
    <w:rsid w:val="00C52285"/>
    <w:rsid w:val="00CA24E5"/>
    <w:rsid w:val="00CF2250"/>
    <w:rsid w:val="00CF7120"/>
    <w:rsid w:val="00D24B13"/>
    <w:rsid w:val="00D8123D"/>
    <w:rsid w:val="00DA7A29"/>
    <w:rsid w:val="00DF20B5"/>
    <w:rsid w:val="00DF3923"/>
    <w:rsid w:val="00E349E3"/>
    <w:rsid w:val="00E40E90"/>
    <w:rsid w:val="00E95027"/>
    <w:rsid w:val="00EB0D1D"/>
    <w:rsid w:val="00EC5020"/>
    <w:rsid w:val="00EE02ED"/>
    <w:rsid w:val="00EE5DEC"/>
    <w:rsid w:val="00F07556"/>
    <w:rsid w:val="00F44502"/>
    <w:rsid w:val="00F61E00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3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3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63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5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635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35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3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3D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3DAE"/>
    <w:rPr>
      <w:rFonts w:ascii="Consolas" w:eastAsiaTheme="minorEastAsia" w:hAnsi="Consolas" w:cs="Consolas"/>
      <w:sz w:val="21"/>
      <w:szCs w:val="21"/>
    </w:rPr>
  </w:style>
  <w:style w:type="paragraph" w:customStyle="1" w:styleId="para">
    <w:name w:val="para"/>
    <w:basedOn w:val="Normal"/>
    <w:qFormat/>
    <w:rsid w:val="00B91A06"/>
    <w:pPr>
      <w:widowControl w:val="0"/>
      <w:spacing w:after="180" w:line="280" w:lineRule="exact"/>
    </w:pPr>
    <w:rPr>
      <w:rFonts w:ascii="Calibri" w:eastAsia="Times New Roman" w:hAnsi="Calibri" w:cs="Arial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B75C3D"/>
    <w:rPr>
      <w:color w:val="0000FF" w:themeColor="hyperlink"/>
      <w:u w:val="single"/>
    </w:rPr>
  </w:style>
  <w:style w:type="paragraph" w:customStyle="1" w:styleId="b1">
    <w:name w:val="b1"/>
    <w:basedOn w:val="Normal"/>
    <w:qFormat/>
    <w:rsid w:val="009B35D8"/>
    <w:pPr>
      <w:widowControl w:val="0"/>
      <w:numPr>
        <w:numId w:val="13"/>
      </w:numPr>
      <w:spacing w:after="180" w:line="280" w:lineRule="exact"/>
    </w:pPr>
    <w:rPr>
      <w:rFonts w:ascii="Calibri" w:eastAsia="Times New Roman" w:hAnsi="Calibri" w:cs="Arial"/>
      <w:bCs/>
      <w:iCs/>
    </w:rPr>
  </w:style>
  <w:style w:type="paragraph" w:customStyle="1" w:styleId="b2">
    <w:name w:val="b2"/>
    <w:basedOn w:val="Normal"/>
    <w:qFormat/>
    <w:rsid w:val="009B35D8"/>
    <w:pPr>
      <w:numPr>
        <w:ilvl w:val="1"/>
        <w:numId w:val="14"/>
      </w:numPr>
      <w:tabs>
        <w:tab w:val="left" w:pos="1080"/>
      </w:tabs>
      <w:spacing w:after="180" w:line="280" w:lineRule="exact"/>
    </w:pPr>
    <w:rPr>
      <w:rFonts w:ascii="Calibri" w:eastAsia="Times New Roman" w:hAnsi="Calibri" w:cs="Arial"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3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3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63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5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635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35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3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3D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3DAE"/>
    <w:rPr>
      <w:rFonts w:ascii="Consolas" w:eastAsiaTheme="minorEastAsia" w:hAnsi="Consolas" w:cs="Consolas"/>
      <w:sz w:val="21"/>
      <w:szCs w:val="21"/>
    </w:rPr>
  </w:style>
  <w:style w:type="paragraph" w:customStyle="1" w:styleId="para">
    <w:name w:val="para"/>
    <w:basedOn w:val="Normal"/>
    <w:qFormat/>
    <w:rsid w:val="00B91A06"/>
    <w:pPr>
      <w:widowControl w:val="0"/>
      <w:spacing w:after="180" w:line="280" w:lineRule="exact"/>
    </w:pPr>
    <w:rPr>
      <w:rFonts w:ascii="Calibri" w:eastAsia="Times New Roman" w:hAnsi="Calibri" w:cs="Arial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B75C3D"/>
    <w:rPr>
      <w:color w:val="0000FF" w:themeColor="hyperlink"/>
      <w:u w:val="single"/>
    </w:rPr>
  </w:style>
  <w:style w:type="paragraph" w:customStyle="1" w:styleId="b1">
    <w:name w:val="b1"/>
    <w:basedOn w:val="Normal"/>
    <w:qFormat/>
    <w:rsid w:val="009B35D8"/>
    <w:pPr>
      <w:widowControl w:val="0"/>
      <w:numPr>
        <w:numId w:val="13"/>
      </w:numPr>
      <w:spacing w:after="180" w:line="280" w:lineRule="exact"/>
    </w:pPr>
    <w:rPr>
      <w:rFonts w:ascii="Calibri" w:eastAsia="Times New Roman" w:hAnsi="Calibri" w:cs="Arial"/>
      <w:bCs/>
      <w:iCs/>
    </w:rPr>
  </w:style>
  <w:style w:type="paragraph" w:customStyle="1" w:styleId="b2">
    <w:name w:val="b2"/>
    <w:basedOn w:val="Normal"/>
    <w:qFormat/>
    <w:rsid w:val="009B35D8"/>
    <w:pPr>
      <w:numPr>
        <w:ilvl w:val="1"/>
        <w:numId w:val="14"/>
      </w:numPr>
      <w:tabs>
        <w:tab w:val="left" w:pos="1080"/>
      </w:tabs>
      <w:spacing w:after="180" w:line="280" w:lineRule="exact"/>
    </w:pPr>
    <w:rPr>
      <w:rFonts w:ascii="Calibri" w:eastAsia="Times New Roman" w:hAnsi="Calibri" w:cs="Arial"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ann.org/en/about/aoc-review/atrt/review-berkman-final-report-20oct10-e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yber.law.harvard.ed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ann.org/en/news/announcements/announcement-4-29mar07-en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rruptionresearchnetwork.org/about" TargetMode="External"/><Relationship Id="rId10" Type="http://schemas.openxmlformats.org/officeDocument/2006/relationships/hyperlink" Target="http://www.oneworldtrust.org/about-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ransparenc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Experts – Notes and Considerations</vt:lpstr>
    </vt:vector>
  </TitlesOfParts>
  <Company>ICANN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Experts – Notes and Considerations</dc:title>
  <dc:creator>Larisa B. Gurnick</dc:creator>
  <cp:lastModifiedBy>Larisa B. Gurnick</cp:lastModifiedBy>
  <cp:revision>34</cp:revision>
  <dcterms:created xsi:type="dcterms:W3CDTF">2013-05-09T18:42:00Z</dcterms:created>
  <dcterms:modified xsi:type="dcterms:W3CDTF">2013-05-10T17:54:00Z</dcterms:modified>
</cp:coreProperties>
</file>