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8D7" w:rsidRPr="005748D7" w:rsidRDefault="005748D7" w:rsidP="00BF0C81">
      <w:pPr>
        <w:pStyle w:val="Heading2"/>
      </w:pPr>
      <w:r w:rsidRPr="005748D7">
        <w:t>Multilingual Quality:</w:t>
      </w:r>
    </w:p>
    <w:p w:rsidR="003224B9" w:rsidRPr="003224B9" w:rsidRDefault="003224B9" w:rsidP="003224B9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ICANN in 2012 introduced translation services to enable it better serve its larger divers</w:t>
      </w:r>
      <w:r w:rsidR="00CD6E0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community. Though the language services are welcome t</w:t>
      </w:r>
      <w:r w:rsidRPr="003224B9">
        <w:rPr>
          <w:rFonts w:ascii="Times New Roman" w:hAnsi="Times New Roman" w:cs="Times New Roman"/>
        </w:rPr>
        <w:t>he quality of the translation is</w:t>
      </w:r>
      <w:r>
        <w:rPr>
          <w:rFonts w:ascii="Times New Roman" w:hAnsi="Times New Roman" w:cs="Times New Roman"/>
        </w:rPr>
        <w:t xml:space="preserve"> </w:t>
      </w:r>
      <w:r w:rsidR="00CD6E0A">
        <w:rPr>
          <w:rFonts w:ascii="Times New Roman" w:hAnsi="Times New Roman" w:cs="Times New Roman"/>
        </w:rPr>
        <w:t>terms of accuracy</w:t>
      </w:r>
      <w:r w:rsidR="00CD6E0A" w:rsidRPr="003224B9">
        <w:rPr>
          <w:rFonts w:ascii="Times New Roman" w:hAnsi="Times New Roman" w:cs="Times New Roman"/>
        </w:rPr>
        <w:t xml:space="preserve"> to the working language of the</w:t>
      </w:r>
      <w:r w:rsidR="00CD6E0A">
        <w:rPr>
          <w:rFonts w:ascii="Times New Roman" w:hAnsi="Times New Roman" w:cs="Times New Roman"/>
        </w:rPr>
        <w:t xml:space="preserve"> various communities are</w:t>
      </w:r>
      <w:r>
        <w:rPr>
          <w:rFonts w:ascii="Times New Roman" w:hAnsi="Times New Roman" w:cs="Times New Roman"/>
        </w:rPr>
        <w:t xml:space="preserve"> important. This will ensure effective and clear communication with the community.</w:t>
      </w:r>
    </w:p>
    <w:p w:rsidR="006961A3" w:rsidRPr="00CD6E0A" w:rsidRDefault="005748D7" w:rsidP="006961A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 w:rsidRPr="00CD6E0A">
        <w:rPr>
          <w:rFonts w:ascii="Times New Roman" w:hAnsi="Times New Roman" w:cs="Times New Roman"/>
          <w:b/>
        </w:rPr>
        <w:t>Hypothesis of problem:</w:t>
      </w:r>
      <w:r w:rsidR="006961A3" w:rsidRPr="00CD6E0A">
        <w:rPr>
          <w:rFonts w:ascii="Times New Roman" w:hAnsi="Times New Roman" w:cs="Times New Roman"/>
          <w:b/>
        </w:rPr>
        <w:t xml:space="preserve"> </w:t>
      </w:r>
    </w:p>
    <w:p w:rsidR="00E9134E" w:rsidRDefault="006961A3" w:rsidP="006961A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level to which translation is applied in the public participation process represents partial translation</w:t>
      </w:r>
    </w:p>
    <w:p w:rsidR="006961A3" w:rsidRPr="006961A3" w:rsidRDefault="006961A3" w:rsidP="006961A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ability to encourage public participation is limited to the availability of the full translation function</w:t>
      </w:r>
    </w:p>
    <w:p w:rsidR="00E9134E" w:rsidRPr="00CD6E0A" w:rsidRDefault="00E9134E" w:rsidP="006961A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 w:rsidRPr="00CD6E0A">
        <w:rPr>
          <w:rFonts w:ascii="Times New Roman" w:hAnsi="Times New Roman" w:cs="Times New Roman"/>
          <w:b/>
        </w:rPr>
        <w:t xml:space="preserve">Background research undertaken </w:t>
      </w:r>
    </w:p>
    <w:p w:rsidR="00E9134E" w:rsidRDefault="00E9134E" w:rsidP="006961A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Summary </w:t>
      </w:r>
      <w:r w:rsidRPr="00A20A04">
        <w:rPr>
          <w:rFonts w:ascii="Times New Roman" w:hAnsi="Times New Roman" w:cs="Times New Roman"/>
        </w:rPr>
        <w:t xml:space="preserve">of ICANN input </w:t>
      </w:r>
    </w:p>
    <w:p w:rsidR="003224B9" w:rsidRPr="003224B9" w:rsidRDefault="003224B9" w:rsidP="003224B9">
      <w:pPr>
        <w:ind w:left="360"/>
        <w:rPr>
          <w:rFonts w:ascii="Times New Roman" w:eastAsia="Times New Roman" w:hAnsi="Times New Roman" w:cs="Times New Roman"/>
        </w:rPr>
      </w:pPr>
      <w:r w:rsidRPr="00CD6E0A">
        <w:rPr>
          <w:rFonts w:ascii="Times New Roman" w:eastAsia="Times New Roman" w:hAnsi="Symbol" w:cs="Times New Roman"/>
        </w:rPr>
        <w:t xml:space="preserve">The </w:t>
      </w:r>
      <w:r w:rsidRPr="00CD6E0A">
        <w:rPr>
          <w:rFonts w:ascii="Times New Roman" w:eastAsia="Times New Roman" w:hAnsi="Times New Roman" w:cs="Times New Roman"/>
          <w:bCs/>
        </w:rPr>
        <w:t>Board meeting on</w:t>
      </w:r>
      <w:r w:rsidRPr="00CD6E0A">
        <w:rPr>
          <w:rFonts w:ascii="Times New Roman" w:eastAsia="Times New Roman" w:hAnsi="Times New Roman" w:cs="Times New Roman"/>
        </w:rPr>
        <w:t xml:space="preserve"> 18 October 2012 passed r</w:t>
      </w:r>
      <w:r w:rsidRPr="00CD6E0A">
        <w:rPr>
          <w:rFonts w:ascii="Times New Roman" w:eastAsia="Times New Roman" w:hAnsi="Times New Roman" w:cs="Times New Roman"/>
          <w:bCs/>
        </w:rPr>
        <w:t>esolution number</w:t>
      </w:r>
      <w:r w:rsidRPr="00CD6E0A">
        <w:rPr>
          <w:rFonts w:ascii="Times New Roman" w:eastAsia="Times New Roman" w:hAnsi="Times New Roman" w:cs="Times New Roman"/>
        </w:rPr>
        <w:t xml:space="preserve"> 2012.10.18.02 </w:t>
      </w:r>
      <w:r w:rsidRPr="00CD6E0A">
        <w:rPr>
          <w:rFonts w:ascii="Times New Roman" w:eastAsia="Times New Roman" w:hAnsi="Times New Roman" w:cs="Times New Roman"/>
          <w:bCs/>
        </w:rPr>
        <w:t>minutes/</w:t>
      </w:r>
      <w:proofErr w:type="gramStart"/>
      <w:r w:rsidRPr="00CD6E0A">
        <w:rPr>
          <w:rFonts w:ascii="Times New Roman" w:eastAsia="Times New Roman" w:hAnsi="Times New Roman" w:cs="Times New Roman"/>
          <w:bCs/>
        </w:rPr>
        <w:t xml:space="preserve">resolution </w:t>
      </w:r>
      <w:r w:rsidRPr="003224B9">
        <w:rPr>
          <w:rFonts w:ascii="Times New Roman" w:eastAsia="Times New Roman" w:hAnsi="Times New Roman" w:cs="Times New Roman"/>
        </w:rPr>
        <w:t> </w:t>
      </w:r>
      <w:proofErr w:type="gramEnd"/>
      <w:r w:rsidRPr="003224B9">
        <w:rPr>
          <w:rFonts w:ascii="Times New Roman" w:eastAsia="Times New Roman" w:hAnsi="Times New Roman" w:cs="Times New Roman"/>
        </w:rPr>
        <w:fldChar w:fldCharType="begin"/>
      </w:r>
      <w:r w:rsidRPr="003224B9">
        <w:rPr>
          <w:rFonts w:ascii="Times New Roman" w:eastAsia="Times New Roman" w:hAnsi="Times New Roman" w:cs="Times New Roman"/>
        </w:rPr>
        <w:instrText xml:space="preserve"> HYPERLINK "http://www.icann.org/en/groups/board/documents/resolutions-18oct12-en.htm" \l "1.b" </w:instrText>
      </w:r>
      <w:r w:rsidRPr="003224B9">
        <w:rPr>
          <w:rFonts w:ascii="Times New Roman" w:eastAsia="Times New Roman" w:hAnsi="Times New Roman" w:cs="Times New Roman"/>
        </w:rPr>
        <w:fldChar w:fldCharType="separate"/>
      </w:r>
      <w:r w:rsidRPr="003224B9">
        <w:rPr>
          <w:rFonts w:ascii="Times New Roman" w:eastAsia="Times New Roman" w:hAnsi="Times New Roman" w:cs="Times New Roman"/>
          <w:color w:val="0000FF"/>
          <w:u w:val="single"/>
        </w:rPr>
        <w:t>http://www.icann.org/en/groups/board/documents/resolutions-18oct12-en.htm#1.b</w:t>
      </w:r>
      <w:r w:rsidRPr="003224B9">
        <w:rPr>
          <w:rFonts w:ascii="Times New Roman" w:eastAsia="Times New Roman" w:hAnsi="Times New Roman" w:cs="Times New Roman"/>
        </w:rPr>
        <w:fldChar w:fldCharType="end"/>
      </w:r>
    </w:p>
    <w:p w:rsidR="006F5FB5" w:rsidRDefault="006F5FB5" w:rsidP="006F5FB5">
      <w:pPr>
        <w:pStyle w:val="ListParagraph"/>
        <w:widowControl w:val="0"/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Staff </w:t>
      </w:r>
      <w:r w:rsidR="00CD6E0A">
        <w:rPr>
          <w:rFonts w:ascii="Times New Roman" w:hAnsi="Times New Roman" w:cs="Times New Roman"/>
        </w:rPr>
        <w:t xml:space="preserve"> have</w:t>
      </w:r>
      <w:proofErr w:type="gramEnd"/>
      <w:r w:rsidR="00CD6E0A">
        <w:rPr>
          <w:rFonts w:ascii="Times New Roman" w:hAnsi="Times New Roman" w:cs="Times New Roman"/>
        </w:rPr>
        <w:t xml:space="preserve"> provided input during the call with ATRT2 team on XXXX explaining how the translations services works and the challenges they experience.</w:t>
      </w:r>
    </w:p>
    <w:p w:rsidR="006961A3" w:rsidRDefault="006961A3" w:rsidP="006961A3">
      <w:pPr>
        <w:pStyle w:val="ListParagraph"/>
        <w:widowControl w:val="0"/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</w:rPr>
      </w:pPr>
    </w:p>
    <w:p w:rsidR="00E9134E" w:rsidRDefault="00E9134E" w:rsidP="006961A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Summary of </w:t>
      </w:r>
      <w:r w:rsidRPr="00A20A04">
        <w:rPr>
          <w:rFonts w:ascii="Times New Roman" w:hAnsi="Times New Roman" w:cs="Times New Roman"/>
        </w:rPr>
        <w:t>community input via the public comment process and face to face meetings</w:t>
      </w:r>
    </w:p>
    <w:tbl>
      <w:tblPr>
        <w:tblStyle w:val="TableGrid"/>
        <w:tblW w:w="0" w:type="auto"/>
        <w:tblLook w:val="04A0"/>
      </w:tblPr>
      <w:tblGrid>
        <w:gridCol w:w="1265"/>
        <w:gridCol w:w="1115"/>
        <w:gridCol w:w="1825"/>
        <w:gridCol w:w="1816"/>
        <w:gridCol w:w="1794"/>
        <w:gridCol w:w="1941"/>
      </w:tblGrid>
      <w:tr w:rsidR="00BF0C81" w:rsidRPr="00257C51" w:rsidTr="00EE3F63">
        <w:tc>
          <w:tcPr>
            <w:tcW w:w="2430" w:type="dxa"/>
          </w:tcPr>
          <w:p w:rsidR="00BF0C81" w:rsidRPr="00257C51" w:rsidRDefault="00BF0C81" w:rsidP="00EE3F63">
            <w:pPr>
              <w:rPr>
                <w:sz w:val="24"/>
                <w:szCs w:val="24"/>
              </w:rPr>
            </w:pPr>
            <w:r w:rsidRPr="00257C51">
              <w:rPr>
                <w:sz w:val="24"/>
                <w:szCs w:val="24"/>
              </w:rPr>
              <w:t>Document</w:t>
            </w:r>
          </w:p>
        </w:tc>
        <w:tc>
          <w:tcPr>
            <w:tcW w:w="1647" w:type="dxa"/>
          </w:tcPr>
          <w:p w:rsidR="00BF0C81" w:rsidRPr="00257C51" w:rsidRDefault="00BF0C81" w:rsidP="00EE3F63">
            <w:pPr>
              <w:rPr>
                <w:sz w:val="24"/>
                <w:szCs w:val="24"/>
              </w:rPr>
            </w:pPr>
            <w:r w:rsidRPr="00257C51">
              <w:rPr>
                <w:sz w:val="24"/>
                <w:szCs w:val="24"/>
              </w:rPr>
              <w:t>Section (Part)</w:t>
            </w:r>
          </w:p>
        </w:tc>
        <w:tc>
          <w:tcPr>
            <w:tcW w:w="2694" w:type="dxa"/>
          </w:tcPr>
          <w:p w:rsidR="00BF0C81" w:rsidRPr="00257C51" w:rsidRDefault="00BF0C81" w:rsidP="00EE3F63">
            <w:pPr>
              <w:rPr>
                <w:sz w:val="24"/>
                <w:szCs w:val="24"/>
              </w:rPr>
            </w:pPr>
            <w:r w:rsidRPr="00257C51">
              <w:rPr>
                <w:sz w:val="24"/>
                <w:szCs w:val="24"/>
              </w:rPr>
              <w:t>Wording</w:t>
            </w:r>
          </w:p>
        </w:tc>
        <w:tc>
          <w:tcPr>
            <w:tcW w:w="2551" w:type="dxa"/>
          </w:tcPr>
          <w:p w:rsidR="00BF0C81" w:rsidRPr="00257C51" w:rsidRDefault="00BF0C81" w:rsidP="00EE3F63">
            <w:pPr>
              <w:rPr>
                <w:sz w:val="24"/>
                <w:szCs w:val="24"/>
              </w:rPr>
            </w:pPr>
            <w:r w:rsidRPr="00257C51">
              <w:rPr>
                <w:sz w:val="24"/>
                <w:szCs w:val="24"/>
              </w:rPr>
              <w:t>Actual translation</w:t>
            </w:r>
          </w:p>
        </w:tc>
        <w:tc>
          <w:tcPr>
            <w:tcW w:w="2268" w:type="dxa"/>
          </w:tcPr>
          <w:p w:rsidR="00BF0C81" w:rsidRPr="00257C51" w:rsidRDefault="00BF0C81" w:rsidP="00EE3F63">
            <w:pPr>
              <w:rPr>
                <w:sz w:val="24"/>
                <w:szCs w:val="24"/>
              </w:rPr>
            </w:pPr>
            <w:r w:rsidRPr="00257C51">
              <w:rPr>
                <w:sz w:val="24"/>
                <w:szCs w:val="24"/>
              </w:rPr>
              <w:t>What it can mean</w:t>
            </w:r>
          </w:p>
        </w:tc>
        <w:tc>
          <w:tcPr>
            <w:tcW w:w="2584" w:type="dxa"/>
          </w:tcPr>
          <w:p w:rsidR="00BF0C81" w:rsidRPr="00257C51" w:rsidRDefault="00BF0C81" w:rsidP="00EE3F63">
            <w:pPr>
              <w:rPr>
                <w:sz w:val="24"/>
                <w:szCs w:val="24"/>
              </w:rPr>
            </w:pPr>
            <w:r w:rsidRPr="00257C51">
              <w:rPr>
                <w:sz w:val="24"/>
                <w:szCs w:val="24"/>
              </w:rPr>
              <w:t>Correct translation</w:t>
            </w:r>
          </w:p>
        </w:tc>
      </w:tr>
      <w:tr w:rsidR="00BF0C81" w:rsidRPr="00257C51" w:rsidTr="00EE3F63">
        <w:tc>
          <w:tcPr>
            <w:tcW w:w="2430" w:type="dxa"/>
          </w:tcPr>
          <w:p w:rsidR="00BF0C81" w:rsidRPr="00257C51" w:rsidRDefault="00BF0C81" w:rsidP="00EE3F63">
            <w:pPr>
              <w:rPr>
                <w:sz w:val="24"/>
                <w:szCs w:val="24"/>
              </w:rPr>
            </w:pPr>
            <w:r w:rsidRPr="00257C51">
              <w:rPr>
                <w:i/>
                <w:sz w:val="24"/>
                <w:szCs w:val="24"/>
              </w:rPr>
              <w:t>A Next Generation Registration Directory Service</w:t>
            </w:r>
            <w:r w:rsidRPr="00257C51">
              <w:rPr>
                <w:sz w:val="24"/>
                <w:szCs w:val="24"/>
              </w:rPr>
              <w:t xml:space="preserve"> (2013)</w:t>
            </w:r>
          </w:p>
        </w:tc>
        <w:tc>
          <w:tcPr>
            <w:tcW w:w="1647" w:type="dxa"/>
          </w:tcPr>
          <w:p w:rsidR="00BF0C81" w:rsidRPr="00257C51" w:rsidRDefault="00BF0C81" w:rsidP="00EE3F63">
            <w:pPr>
              <w:rPr>
                <w:sz w:val="24"/>
                <w:szCs w:val="24"/>
              </w:rPr>
            </w:pPr>
            <w:r w:rsidRPr="00257C51">
              <w:rPr>
                <w:sz w:val="24"/>
                <w:szCs w:val="24"/>
              </w:rPr>
              <w:t xml:space="preserve">Status of this </w:t>
            </w:r>
            <w:r w:rsidRPr="0091205F">
              <w:rPr>
                <w:b/>
                <w:sz w:val="24"/>
                <w:szCs w:val="24"/>
              </w:rPr>
              <w:t>document</w:t>
            </w:r>
          </w:p>
        </w:tc>
        <w:tc>
          <w:tcPr>
            <w:tcW w:w="2694" w:type="dxa"/>
          </w:tcPr>
          <w:p w:rsidR="00BF0C81" w:rsidRPr="00AD0AC7" w:rsidRDefault="00BF0C81" w:rsidP="00EE3F63">
            <w:pPr>
              <w:rPr>
                <w:b/>
                <w:sz w:val="24"/>
                <w:szCs w:val="24"/>
              </w:rPr>
            </w:pPr>
            <w:r w:rsidRPr="00AD0AC7">
              <w:rPr>
                <w:b/>
                <w:sz w:val="24"/>
                <w:szCs w:val="24"/>
              </w:rPr>
              <w:t xml:space="preserve">This </w:t>
            </w:r>
            <w:r w:rsidRPr="0091205F">
              <w:rPr>
                <w:b/>
                <w:color w:val="FF0000"/>
                <w:sz w:val="24"/>
                <w:szCs w:val="24"/>
              </w:rPr>
              <w:t>is</w:t>
            </w:r>
            <w:r w:rsidRPr="00AD0AC7">
              <w:rPr>
                <w:b/>
                <w:sz w:val="24"/>
                <w:szCs w:val="24"/>
              </w:rPr>
              <w:t xml:space="preserve"> an </w:t>
            </w:r>
            <w:r w:rsidRPr="00AD0AC7">
              <w:rPr>
                <w:b/>
                <w:color w:val="FF0000"/>
                <w:sz w:val="24"/>
                <w:szCs w:val="24"/>
              </w:rPr>
              <w:t>initial</w:t>
            </w:r>
            <w:r w:rsidRPr="00AD0AC7">
              <w:rPr>
                <w:b/>
                <w:sz w:val="24"/>
                <w:szCs w:val="24"/>
              </w:rPr>
              <w:t xml:space="preserve"> report from the Expert Working Group on </w:t>
            </w:r>
            <w:proofErr w:type="spellStart"/>
            <w:r w:rsidRPr="00AD0AC7">
              <w:rPr>
                <w:b/>
                <w:sz w:val="24"/>
                <w:szCs w:val="24"/>
              </w:rPr>
              <w:t>gTLD</w:t>
            </w:r>
            <w:proofErr w:type="spellEnd"/>
            <w:r w:rsidRPr="00AD0AC7">
              <w:rPr>
                <w:b/>
                <w:sz w:val="24"/>
                <w:szCs w:val="24"/>
              </w:rPr>
              <w:t xml:space="preserve"> Directory Services (EWG) providing </w:t>
            </w:r>
            <w:r w:rsidRPr="00AD0AC7">
              <w:rPr>
                <w:b/>
                <w:color w:val="FF0000"/>
                <w:sz w:val="24"/>
                <w:szCs w:val="24"/>
              </w:rPr>
              <w:t xml:space="preserve">draft </w:t>
            </w:r>
            <w:r w:rsidRPr="00AD0AC7">
              <w:rPr>
                <w:b/>
                <w:sz w:val="24"/>
                <w:szCs w:val="24"/>
              </w:rPr>
              <w:t xml:space="preserve">recommendations for a </w:t>
            </w:r>
            <w:r w:rsidRPr="00AD0AC7">
              <w:rPr>
                <w:b/>
                <w:color w:val="FF0000"/>
                <w:sz w:val="24"/>
                <w:szCs w:val="24"/>
              </w:rPr>
              <w:t>next generation</w:t>
            </w:r>
            <w:r w:rsidRPr="00AD0AC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D0AC7">
              <w:rPr>
                <w:b/>
                <w:sz w:val="24"/>
                <w:szCs w:val="24"/>
              </w:rPr>
              <w:t>gTLD</w:t>
            </w:r>
            <w:proofErr w:type="spellEnd"/>
            <w:r w:rsidRPr="00AD0AC7">
              <w:rPr>
                <w:b/>
                <w:sz w:val="24"/>
                <w:szCs w:val="24"/>
              </w:rPr>
              <w:t xml:space="preserve"> </w:t>
            </w:r>
            <w:r w:rsidRPr="00AD0AC7">
              <w:rPr>
                <w:b/>
                <w:color w:val="FF0000"/>
                <w:sz w:val="24"/>
                <w:szCs w:val="24"/>
              </w:rPr>
              <w:t xml:space="preserve">Registration Directory Service </w:t>
            </w:r>
            <w:r w:rsidRPr="00AD0AC7">
              <w:rPr>
                <w:b/>
                <w:sz w:val="24"/>
                <w:szCs w:val="24"/>
              </w:rPr>
              <w:t>(the “RDS”) to replace the current WHOIS system</w:t>
            </w:r>
          </w:p>
        </w:tc>
        <w:tc>
          <w:tcPr>
            <w:tcW w:w="2551" w:type="dxa"/>
          </w:tcPr>
          <w:p w:rsidR="00BF0C81" w:rsidRPr="00257C51" w:rsidRDefault="00BF0C81" w:rsidP="00EE3F63">
            <w:pPr>
              <w:rPr>
                <w:sz w:val="24"/>
                <w:szCs w:val="24"/>
                <w:lang w:val="ru-RU"/>
              </w:rPr>
            </w:pPr>
            <w:r w:rsidRPr="00257C51">
              <w:rPr>
                <w:sz w:val="24"/>
                <w:szCs w:val="24"/>
                <w:lang w:val="ru-RU"/>
              </w:rPr>
              <w:t xml:space="preserve">Настоящий документ </w:t>
            </w:r>
            <w:r w:rsidRPr="0091205F">
              <w:rPr>
                <w:b/>
                <w:i/>
                <w:color w:val="FF0000"/>
                <w:sz w:val="24"/>
                <w:szCs w:val="24"/>
                <w:lang w:val="ru-RU"/>
              </w:rPr>
              <w:t>представляет собой</w:t>
            </w:r>
            <w:r w:rsidRPr="0091205F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Pr="00257C51">
              <w:rPr>
                <w:sz w:val="24"/>
                <w:szCs w:val="24"/>
                <w:lang w:val="ru-RU"/>
              </w:rPr>
              <w:t xml:space="preserve">отчёт экспертной рабочей группы (ЭРГ) с рекомендациями по замене существующей системы </w:t>
            </w:r>
            <w:r w:rsidRPr="00257C51">
              <w:rPr>
                <w:sz w:val="24"/>
                <w:szCs w:val="24"/>
              </w:rPr>
              <w:t>WHOIS</w:t>
            </w:r>
            <w:r w:rsidRPr="00257C51">
              <w:rPr>
                <w:sz w:val="24"/>
                <w:szCs w:val="24"/>
                <w:lang w:val="ru-RU"/>
              </w:rPr>
              <w:t xml:space="preserve"> на </w:t>
            </w:r>
            <w:r w:rsidRPr="0091205F">
              <w:rPr>
                <w:b/>
                <w:i/>
                <w:color w:val="FF0000"/>
                <w:sz w:val="24"/>
                <w:szCs w:val="24"/>
                <w:lang w:val="ru-RU"/>
              </w:rPr>
              <w:t>службу каталогов регистрации рДВУ («СКР») следующего поколения</w:t>
            </w:r>
          </w:p>
        </w:tc>
        <w:tc>
          <w:tcPr>
            <w:tcW w:w="2268" w:type="dxa"/>
          </w:tcPr>
          <w:p w:rsidR="00BF0C81" w:rsidRPr="00257C51" w:rsidRDefault="00BF0C81" w:rsidP="00EE3F63">
            <w:pPr>
              <w:rPr>
                <w:sz w:val="24"/>
                <w:szCs w:val="24"/>
              </w:rPr>
            </w:pPr>
            <w:r w:rsidRPr="00257C51">
              <w:rPr>
                <w:sz w:val="24"/>
                <w:szCs w:val="24"/>
              </w:rPr>
              <w:t>This is a [</w:t>
            </w:r>
            <w:r w:rsidRPr="0091205F">
              <w:rPr>
                <w:i/>
                <w:color w:val="FF0000"/>
                <w:sz w:val="24"/>
                <w:szCs w:val="24"/>
              </w:rPr>
              <w:t>initial</w:t>
            </w:r>
            <w:r w:rsidRPr="0091205F">
              <w:rPr>
                <w:color w:val="FF0000"/>
                <w:sz w:val="24"/>
                <w:szCs w:val="24"/>
              </w:rPr>
              <w:t xml:space="preserve"> -missing</w:t>
            </w:r>
            <w:r w:rsidRPr="00257C51">
              <w:rPr>
                <w:sz w:val="24"/>
                <w:szCs w:val="24"/>
              </w:rPr>
              <w:t>] report of the Expert Working Group on [</w:t>
            </w:r>
            <w:r w:rsidRPr="0091205F">
              <w:rPr>
                <w:i/>
                <w:color w:val="FF0000"/>
                <w:sz w:val="24"/>
                <w:szCs w:val="24"/>
              </w:rPr>
              <w:t>draft</w:t>
            </w:r>
            <w:r w:rsidRPr="0091205F">
              <w:rPr>
                <w:color w:val="FF0000"/>
                <w:sz w:val="24"/>
                <w:szCs w:val="24"/>
              </w:rPr>
              <w:t xml:space="preserve"> - missing</w:t>
            </w:r>
            <w:r w:rsidRPr="00257C51">
              <w:rPr>
                <w:sz w:val="24"/>
                <w:szCs w:val="24"/>
              </w:rPr>
              <w:t xml:space="preserve">] recommendations to replace the existing WHOIS system with </w:t>
            </w:r>
            <w:r w:rsidRPr="0091205F">
              <w:rPr>
                <w:i/>
                <w:color w:val="FF0000"/>
                <w:sz w:val="24"/>
                <w:szCs w:val="24"/>
              </w:rPr>
              <w:t>the office (service) of the catalogues of registration</w:t>
            </w:r>
            <w:r w:rsidRPr="0091205F">
              <w:rPr>
                <w:color w:val="FF0000"/>
                <w:sz w:val="24"/>
                <w:szCs w:val="24"/>
              </w:rPr>
              <w:t xml:space="preserve"> </w:t>
            </w:r>
            <w:r w:rsidRPr="00257C51">
              <w:rPr>
                <w:sz w:val="24"/>
                <w:szCs w:val="24"/>
              </w:rPr>
              <w:t xml:space="preserve">of the </w:t>
            </w:r>
            <w:r w:rsidRPr="0091205F">
              <w:rPr>
                <w:i/>
                <w:color w:val="FF0000"/>
                <w:sz w:val="24"/>
                <w:szCs w:val="24"/>
              </w:rPr>
              <w:t>generic</w:t>
            </w:r>
            <w:r w:rsidRPr="00257C51">
              <w:rPr>
                <w:sz w:val="24"/>
                <w:szCs w:val="24"/>
              </w:rPr>
              <w:t xml:space="preserve"> Domains of the Top Level (</w:t>
            </w:r>
            <w:bookmarkStart w:id="0" w:name="_GoBack"/>
            <w:r w:rsidRPr="0091205F">
              <w:rPr>
                <w:color w:val="FF0000"/>
                <w:sz w:val="24"/>
                <w:szCs w:val="24"/>
              </w:rPr>
              <w:t xml:space="preserve">abbreviation </w:t>
            </w:r>
            <w:r w:rsidRPr="0091205F">
              <w:rPr>
                <w:color w:val="FF0000"/>
                <w:sz w:val="24"/>
                <w:szCs w:val="24"/>
              </w:rPr>
              <w:lastRenderedPageBreak/>
              <w:t>never used in Russian</w:t>
            </w:r>
            <w:bookmarkEnd w:id="0"/>
            <w:r w:rsidRPr="00257C51">
              <w:rPr>
                <w:sz w:val="24"/>
                <w:szCs w:val="24"/>
              </w:rPr>
              <w:t xml:space="preserve">) of the </w:t>
            </w:r>
            <w:r w:rsidRPr="0091205F">
              <w:rPr>
                <w:i/>
                <w:color w:val="FF0000"/>
                <w:sz w:val="24"/>
                <w:szCs w:val="24"/>
              </w:rPr>
              <w:t xml:space="preserve">following </w:t>
            </w:r>
            <w:r w:rsidRPr="00257C51">
              <w:rPr>
                <w:sz w:val="24"/>
                <w:szCs w:val="24"/>
              </w:rPr>
              <w:t xml:space="preserve">generation </w:t>
            </w:r>
          </w:p>
        </w:tc>
        <w:tc>
          <w:tcPr>
            <w:tcW w:w="2584" w:type="dxa"/>
          </w:tcPr>
          <w:p w:rsidR="00BF0C81" w:rsidRPr="0091205F" w:rsidRDefault="00BF0C81" w:rsidP="00EE3F63">
            <w:pPr>
              <w:rPr>
                <w:b/>
                <w:sz w:val="24"/>
                <w:szCs w:val="24"/>
                <w:lang w:val="ru-RU"/>
              </w:rPr>
            </w:pPr>
            <w:r w:rsidRPr="0091205F">
              <w:rPr>
                <w:b/>
                <w:sz w:val="24"/>
                <w:szCs w:val="24"/>
                <w:lang w:val="ru-RU"/>
              </w:rPr>
              <w:lastRenderedPageBreak/>
              <w:t xml:space="preserve">Настоящий документ </w:t>
            </w:r>
            <w:r w:rsidRPr="0091205F">
              <w:rPr>
                <w:b/>
                <w:color w:val="FF0000"/>
                <w:sz w:val="24"/>
                <w:szCs w:val="24"/>
                <w:lang w:val="ru-RU"/>
              </w:rPr>
              <w:t>является</w:t>
            </w:r>
            <w:r w:rsidRPr="0091205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1205F">
              <w:rPr>
                <w:b/>
                <w:color w:val="FF0000"/>
                <w:sz w:val="24"/>
                <w:szCs w:val="24"/>
                <w:lang w:val="ru-RU"/>
              </w:rPr>
              <w:t xml:space="preserve">предварительным </w:t>
            </w:r>
            <w:r w:rsidRPr="0091205F">
              <w:rPr>
                <w:b/>
                <w:sz w:val="24"/>
                <w:szCs w:val="24"/>
                <w:lang w:val="ru-RU"/>
              </w:rPr>
              <w:t xml:space="preserve">отчётом Экспертной рабочей группы (ЭРГ) с рекомендациями по замене системы </w:t>
            </w:r>
            <w:r w:rsidRPr="0091205F">
              <w:rPr>
                <w:b/>
                <w:sz w:val="24"/>
                <w:szCs w:val="24"/>
              </w:rPr>
              <w:t>WHOIS</w:t>
            </w:r>
            <w:r w:rsidRPr="0091205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1205F">
              <w:rPr>
                <w:b/>
                <w:color w:val="FF0000"/>
                <w:sz w:val="24"/>
                <w:szCs w:val="24"/>
                <w:lang w:val="ru-RU"/>
              </w:rPr>
              <w:t xml:space="preserve">справочным сервисом нового поколения </w:t>
            </w:r>
            <w:r w:rsidRPr="0091205F">
              <w:rPr>
                <w:b/>
                <w:sz w:val="24"/>
                <w:szCs w:val="24"/>
                <w:lang w:val="ru-RU"/>
              </w:rPr>
              <w:t xml:space="preserve">(«ССНП») </w:t>
            </w:r>
            <w:r>
              <w:rPr>
                <w:b/>
                <w:sz w:val="24"/>
                <w:szCs w:val="24"/>
                <w:lang w:val="ru-RU"/>
              </w:rPr>
              <w:t>по</w:t>
            </w:r>
            <w:r w:rsidRPr="0091205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1205F">
              <w:rPr>
                <w:b/>
                <w:color w:val="FF0000"/>
                <w:sz w:val="24"/>
                <w:szCs w:val="24"/>
                <w:lang w:val="ru-RU"/>
              </w:rPr>
              <w:t>регист</w:t>
            </w:r>
            <w:r>
              <w:rPr>
                <w:b/>
                <w:color w:val="FF0000"/>
                <w:sz w:val="24"/>
                <w:szCs w:val="24"/>
                <w:lang w:val="ru-RU"/>
              </w:rPr>
              <w:t>рационным</w:t>
            </w:r>
            <w:r w:rsidRPr="0091205F">
              <w:rPr>
                <w:b/>
                <w:color w:val="FF0000"/>
                <w:sz w:val="24"/>
                <w:szCs w:val="24"/>
                <w:lang w:val="ru-RU"/>
              </w:rPr>
              <w:t xml:space="preserve"> данны</w:t>
            </w:r>
            <w:r>
              <w:rPr>
                <w:b/>
                <w:color w:val="FF0000"/>
                <w:sz w:val="24"/>
                <w:szCs w:val="24"/>
                <w:lang w:val="ru-RU"/>
              </w:rPr>
              <w:t>м</w:t>
            </w:r>
            <w:r w:rsidRPr="0091205F">
              <w:rPr>
                <w:b/>
                <w:color w:val="FF0000"/>
                <w:sz w:val="24"/>
                <w:szCs w:val="24"/>
                <w:lang w:val="ru-RU"/>
              </w:rPr>
              <w:t xml:space="preserve"> </w:t>
            </w:r>
            <w:r w:rsidRPr="0091205F">
              <w:rPr>
                <w:b/>
                <w:color w:val="FF0000"/>
                <w:sz w:val="24"/>
                <w:szCs w:val="24"/>
                <w:lang w:val="ru-RU"/>
              </w:rPr>
              <w:lastRenderedPageBreak/>
              <w:t>доменов общего пользования</w:t>
            </w:r>
          </w:p>
        </w:tc>
      </w:tr>
      <w:tr w:rsidR="00BF0C81" w:rsidRPr="00257C51" w:rsidTr="00EE3F63">
        <w:tc>
          <w:tcPr>
            <w:tcW w:w="2430" w:type="dxa"/>
          </w:tcPr>
          <w:p w:rsidR="00BF0C81" w:rsidRPr="00257C51" w:rsidRDefault="00BF0C81" w:rsidP="00EE3F63">
            <w:pPr>
              <w:rPr>
                <w:sz w:val="24"/>
                <w:szCs w:val="24"/>
              </w:rPr>
            </w:pPr>
            <w:r w:rsidRPr="00257C51">
              <w:rPr>
                <w:i/>
                <w:sz w:val="24"/>
                <w:szCs w:val="24"/>
              </w:rPr>
              <w:lastRenderedPageBreak/>
              <w:t>WHOIS Policy Review Team Final Report</w:t>
            </w:r>
            <w:r w:rsidRPr="00257C51">
              <w:rPr>
                <w:sz w:val="24"/>
                <w:szCs w:val="24"/>
              </w:rPr>
              <w:t xml:space="preserve"> (2012)</w:t>
            </w:r>
          </w:p>
        </w:tc>
        <w:tc>
          <w:tcPr>
            <w:tcW w:w="1647" w:type="dxa"/>
          </w:tcPr>
          <w:p w:rsidR="00BF0C81" w:rsidRPr="00257C51" w:rsidRDefault="00BF0C81" w:rsidP="00EE3F63">
            <w:pPr>
              <w:rPr>
                <w:sz w:val="24"/>
                <w:szCs w:val="24"/>
              </w:rPr>
            </w:pPr>
            <w:r w:rsidRPr="00257C51">
              <w:rPr>
                <w:sz w:val="24"/>
                <w:szCs w:val="24"/>
              </w:rPr>
              <w:t>Title</w:t>
            </w:r>
          </w:p>
        </w:tc>
        <w:tc>
          <w:tcPr>
            <w:tcW w:w="2694" w:type="dxa"/>
          </w:tcPr>
          <w:p w:rsidR="00BF0C81" w:rsidRPr="00AD0AC7" w:rsidRDefault="00BF0C81" w:rsidP="00EE3F63">
            <w:pPr>
              <w:rPr>
                <w:b/>
                <w:sz w:val="24"/>
                <w:szCs w:val="24"/>
              </w:rPr>
            </w:pPr>
            <w:r w:rsidRPr="00AD0AC7">
              <w:rPr>
                <w:b/>
                <w:sz w:val="24"/>
                <w:szCs w:val="24"/>
              </w:rPr>
              <w:t xml:space="preserve">WHOIS Policy </w:t>
            </w:r>
            <w:r w:rsidRPr="00AD0AC7">
              <w:rPr>
                <w:b/>
                <w:color w:val="FF0000"/>
                <w:sz w:val="24"/>
                <w:szCs w:val="24"/>
              </w:rPr>
              <w:t xml:space="preserve">Review </w:t>
            </w:r>
            <w:r w:rsidRPr="00AD0AC7">
              <w:rPr>
                <w:b/>
                <w:sz w:val="24"/>
                <w:szCs w:val="24"/>
              </w:rPr>
              <w:t>Team // Final Report</w:t>
            </w:r>
          </w:p>
        </w:tc>
        <w:tc>
          <w:tcPr>
            <w:tcW w:w="2551" w:type="dxa"/>
          </w:tcPr>
          <w:p w:rsidR="00BF0C81" w:rsidRPr="00257C51" w:rsidRDefault="00BF0C81" w:rsidP="00EE3F63">
            <w:pPr>
              <w:rPr>
                <w:sz w:val="24"/>
                <w:szCs w:val="24"/>
                <w:lang w:val="ru-RU"/>
              </w:rPr>
            </w:pPr>
            <w:r w:rsidRPr="00257C51">
              <w:rPr>
                <w:sz w:val="24"/>
                <w:szCs w:val="24"/>
                <w:lang w:val="ru-RU"/>
              </w:rPr>
              <w:t xml:space="preserve">Группа </w:t>
            </w:r>
            <w:r w:rsidRPr="0091205F">
              <w:rPr>
                <w:b/>
                <w:i/>
                <w:color w:val="FF0000"/>
                <w:sz w:val="24"/>
                <w:szCs w:val="24"/>
                <w:lang w:val="ru-RU"/>
              </w:rPr>
              <w:t>проверки</w:t>
            </w:r>
            <w:r w:rsidRPr="0091205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57C51">
              <w:rPr>
                <w:sz w:val="24"/>
                <w:szCs w:val="24"/>
                <w:lang w:val="ru-RU"/>
              </w:rPr>
              <w:t xml:space="preserve">политики </w:t>
            </w:r>
            <w:r w:rsidRPr="00257C51">
              <w:rPr>
                <w:sz w:val="24"/>
                <w:szCs w:val="24"/>
              </w:rPr>
              <w:t>WHOIS</w:t>
            </w:r>
            <w:r w:rsidRPr="00257C51">
              <w:rPr>
                <w:sz w:val="24"/>
                <w:szCs w:val="24"/>
                <w:lang w:val="ru-RU"/>
              </w:rPr>
              <w:t xml:space="preserve"> // Итоговый отчёт</w:t>
            </w:r>
          </w:p>
        </w:tc>
        <w:tc>
          <w:tcPr>
            <w:tcW w:w="2268" w:type="dxa"/>
          </w:tcPr>
          <w:p w:rsidR="00BF0C81" w:rsidRPr="00257C51" w:rsidRDefault="00BF0C81" w:rsidP="00EE3F63">
            <w:pPr>
              <w:rPr>
                <w:sz w:val="24"/>
                <w:szCs w:val="24"/>
              </w:rPr>
            </w:pPr>
            <w:r w:rsidRPr="00257C51">
              <w:rPr>
                <w:sz w:val="24"/>
                <w:szCs w:val="24"/>
              </w:rPr>
              <w:t xml:space="preserve">The Team on </w:t>
            </w:r>
            <w:r w:rsidRPr="0091205F">
              <w:rPr>
                <w:i/>
                <w:color w:val="FF0000"/>
                <w:sz w:val="24"/>
                <w:szCs w:val="24"/>
              </w:rPr>
              <w:t>Checking</w:t>
            </w:r>
            <w:r w:rsidRPr="00257C51">
              <w:rPr>
                <w:sz w:val="24"/>
                <w:szCs w:val="24"/>
              </w:rPr>
              <w:t xml:space="preserve"> WHOIS Policy // Final Report</w:t>
            </w:r>
          </w:p>
        </w:tc>
        <w:tc>
          <w:tcPr>
            <w:tcW w:w="2584" w:type="dxa"/>
          </w:tcPr>
          <w:p w:rsidR="00BF0C81" w:rsidRPr="0091205F" w:rsidRDefault="00BF0C81" w:rsidP="00EE3F63">
            <w:pPr>
              <w:rPr>
                <w:b/>
                <w:sz w:val="24"/>
                <w:szCs w:val="24"/>
                <w:lang w:val="ru-RU"/>
              </w:rPr>
            </w:pPr>
            <w:r w:rsidRPr="0091205F">
              <w:rPr>
                <w:b/>
                <w:sz w:val="24"/>
                <w:szCs w:val="24"/>
                <w:lang w:val="ru-RU"/>
              </w:rPr>
              <w:t xml:space="preserve">Группа по </w:t>
            </w:r>
            <w:r w:rsidRPr="0091205F">
              <w:rPr>
                <w:b/>
                <w:color w:val="FF0000"/>
                <w:sz w:val="24"/>
                <w:szCs w:val="24"/>
                <w:lang w:val="ru-RU"/>
              </w:rPr>
              <w:t>обзору</w:t>
            </w:r>
            <w:r w:rsidRPr="0091205F">
              <w:rPr>
                <w:b/>
                <w:sz w:val="24"/>
                <w:szCs w:val="24"/>
                <w:lang w:val="ru-RU"/>
              </w:rPr>
              <w:t xml:space="preserve"> политики </w:t>
            </w:r>
            <w:r w:rsidRPr="0091205F">
              <w:rPr>
                <w:b/>
                <w:sz w:val="24"/>
                <w:szCs w:val="24"/>
              </w:rPr>
              <w:t>WHOIS</w:t>
            </w:r>
            <w:r w:rsidRPr="0091205F">
              <w:rPr>
                <w:b/>
                <w:sz w:val="24"/>
                <w:szCs w:val="24"/>
                <w:lang w:val="ru-RU"/>
              </w:rPr>
              <w:t xml:space="preserve"> // Итоговый отчёт</w:t>
            </w:r>
          </w:p>
        </w:tc>
      </w:tr>
      <w:tr w:rsidR="00BF0C81" w:rsidRPr="00257C51" w:rsidTr="00EE3F63">
        <w:tc>
          <w:tcPr>
            <w:tcW w:w="2430" w:type="dxa"/>
          </w:tcPr>
          <w:p w:rsidR="00BF0C81" w:rsidRPr="00257C51" w:rsidRDefault="00BF0C81" w:rsidP="00EE3F63">
            <w:pPr>
              <w:rPr>
                <w:sz w:val="24"/>
                <w:szCs w:val="24"/>
              </w:rPr>
            </w:pPr>
            <w:r w:rsidRPr="00257C51">
              <w:rPr>
                <w:sz w:val="24"/>
                <w:szCs w:val="24"/>
              </w:rPr>
              <w:t>(</w:t>
            </w:r>
            <w:r w:rsidRPr="00257C51">
              <w:rPr>
                <w:i/>
                <w:sz w:val="24"/>
                <w:szCs w:val="24"/>
              </w:rPr>
              <w:t>multiple documents</w:t>
            </w:r>
            <w:r w:rsidRPr="00257C51">
              <w:rPr>
                <w:sz w:val="24"/>
                <w:szCs w:val="24"/>
              </w:rPr>
              <w:t>)</w:t>
            </w:r>
          </w:p>
        </w:tc>
        <w:tc>
          <w:tcPr>
            <w:tcW w:w="1647" w:type="dxa"/>
          </w:tcPr>
          <w:p w:rsidR="00BF0C81" w:rsidRPr="00257C51" w:rsidRDefault="00BF0C81" w:rsidP="00EE3F6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</w:tcPr>
          <w:p w:rsidR="00BF0C81" w:rsidRPr="00AD0AC7" w:rsidRDefault="00BF0C81" w:rsidP="00EE3F63">
            <w:pPr>
              <w:rPr>
                <w:b/>
                <w:color w:val="FF0000"/>
                <w:sz w:val="24"/>
                <w:szCs w:val="24"/>
              </w:rPr>
            </w:pPr>
            <w:r w:rsidRPr="00AD0AC7">
              <w:rPr>
                <w:b/>
                <w:color w:val="FF0000"/>
                <w:sz w:val="24"/>
                <w:szCs w:val="24"/>
              </w:rPr>
              <w:t>registry</w:t>
            </w:r>
          </w:p>
        </w:tc>
        <w:tc>
          <w:tcPr>
            <w:tcW w:w="2551" w:type="dxa"/>
          </w:tcPr>
          <w:p w:rsidR="00BF0C81" w:rsidRPr="0091205F" w:rsidRDefault="00BF0C81" w:rsidP="00EE3F63">
            <w:pPr>
              <w:rPr>
                <w:b/>
                <w:i/>
                <w:color w:val="FF0000"/>
                <w:sz w:val="24"/>
                <w:szCs w:val="24"/>
                <w:lang w:val="ru-RU"/>
              </w:rPr>
            </w:pPr>
            <w:r w:rsidRPr="0091205F">
              <w:rPr>
                <w:b/>
                <w:i/>
                <w:color w:val="FF0000"/>
                <w:sz w:val="24"/>
                <w:szCs w:val="24"/>
                <w:lang w:val="ru-RU"/>
              </w:rPr>
              <w:t>реестр</w:t>
            </w:r>
          </w:p>
        </w:tc>
        <w:tc>
          <w:tcPr>
            <w:tcW w:w="2268" w:type="dxa"/>
          </w:tcPr>
          <w:p w:rsidR="00BF0C81" w:rsidRPr="0091205F" w:rsidRDefault="00BF0C81" w:rsidP="00EE3F63">
            <w:pPr>
              <w:rPr>
                <w:color w:val="FF0000"/>
                <w:sz w:val="24"/>
                <w:szCs w:val="24"/>
              </w:rPr>
            </w:pPr>
            <w:r w:rsidRPr="0091205F">
              <w:rPr>
                <w:color w:val="FF0000"/>
                <w:sz w:val="24"/>
                <w:szCs w:val="24"/>
              </w:rPr>
              <w:t>register (list)</w:t>
            </w:r>
          </w:p>
        </w:tc>
        <w:tc>
          <w:tcPr>
            <w:tcW w:w="2584" w:type="dxa"/>
          </w:tcPr>
          <w:p w:rsidR="00BF0C81" w:rsidRPr="0091205F" w:rsidRDefault="00BF0C81" w:rsidP="00EE3F63">
            <w:pPr>
              <w:rPr>
                <w:b/>
                <w:color w:val="FF0000"/>
                <w:sz w:val="24"/>
                <w:szCs w:val="24"/>
                <w:lang w:val="ru-RU"/>
              </w:rPr>
            </w:pPr>
            <w:r w:rsidRPr="0091205F">
              <w:rPr>
                <w:b/>
                <w:color w:val="FF0000"/>
                <w:sz w:val="24"/>
                <w:szCs w:val="24"/>
                <w:lang w:val="ru-RU"/>
              </w:rPr>
              <w:t>регистратура</w:t>
            </w:r>
          </w:p>
        </w:tc>
      </w:tr>
      <w:tr w:rsidR="00BF0C81" w:rsidRPr="00257C51" w:rsidTr="00EE3F63">
        <w:tc>
          <w:tcPr>
            <w:tcW w:w="2430" w:type="dxa"/>
          </w:tcPr>
          <w:p w:rsidR="00BF0C81" w:rsidRPr="00257C51" w:rsidRDefault="00BF0C81" w:rsidP="00EE3F63">
            <w:pPr>
              <w:rPr>
                <w:sz w:val="24"/>
                <w:szCs w:val="24"/>
                <w:lang w:val="ru-RU"/>
              </w:rPr>
            </w:pPr>
            <w:r w:rsidRPr="00257C51">
              <w:rPr>
                <w:sz w:val="24"/>
                <w:szCs w:val="24"/>
              </w:rPr>
              <w:t>(</w:t>
            </w:r>
            <w:r w:rsidRPr="00257C51">
              <w:rPr>
                <w:i/>
                <w:sz w:val="24"/>
                <w:szCs w:val="24"/>
              </w:rPr>
              <w:t>multiple documents</w:t>
            </w:r>
            <w:r w:rsidRPr="00257C51">
              <w:rPr>
                <w:sz w:val="24"/>
                <w:szCs w:val="24"/>
              </w:rPr>
              <w:t>)</w:t>
            </w:r>
          </w:p>
        </w:tc>
        <w:tc>
          <w:tcPr>
            <w:tcW w:w="1647" w:type="dxa"/>
          </w:tcPr>
          <w:p w:rsidR="00BF0C81" w:rsidRPr="00257C51" w:rsidRDefault="00BF0C81" w:rsidP="00EE3F6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</w:tcPr>
          <w:p w:rsidR="00BF0C81" w:rsidRPr="00AD0AC7" w:rsidRDefault="00BF0C81" w:rsidP="00EE3F63">
            <w:pPr>
              <w:rPr>
                <w:b/>
                <w:color w:val="FF0000"/>
                <w:sz w:val="24"/>
                <w:szCs w:val="24"/>
              </w:rPr>
            </w:pPr>
            <w:r w:rsidRPr="00AD0AC7">
              <w:rPr>
                <w:b/>
                <w:color w:val="FF0000"/>
                <w:sz w:val="24"/>
                <w:szCs w:val="24"/>
              </w:rPr>
              <w:t>registrant</w:t>
            </w:r>
          </w:p>
        </w:tc>
        <w:tc>
          <w:tcPr>
            <w:tcW w:w="2551" w:type="dxa"/>
          </w:tcPr>
          <w:p w:rsidR="00BF0C81" w:rsidRPr="0091205F" w:rsidRDefault="00BF0C81" w:rsidP="00EE3F63">
            <w:pPr>
              <w:rPr>
                <w:b/>
                <w:i/>
                <w:color w:val="FF0000"/>
                <w:sz w:val="24"/>
                <w:szCs w:val="24"/>
                <w:lang w:val="ru-RU"/>
              </w:rPr>
            </w:pPr>
            <w:r w:rsidRPr="0091205F">
              <w:rPr>
                <w:b/>
                <w:i/>
                <w:color w:val="FF0000"/>
                <w:sz w:val="24"/>
                <w:szCs w:val="24"/>
                <w:lang w:val="ru-RU"/>
              </w:rPr>
              <w:t>владелец  регистрации</w:t>
            </w:r>
          </w:p>
        </w:tc>
        <w:tc>
          <w:tcPr>
            <w:tcW w:w="2268" w:type="dxa"/>
          </w:tcPr>
          <w:p w:rsidR="00BF0C81" w:rsidRPr="0091205F" w:rsidRDefault="00BF0C81" w:rsidP="00EE3F63">
            <w:pPr>
              <w:rPr>
                <w:color w:val="FF0000"/>
                <w:sz w:val="24"/>
                <w:szCs w:val="24"/>
              </w:rPr>
            </w:pPr>
            <w:r w:rsidRPr="0091205F">
              <w:rPr>
                <w:color w:val="FF0000"/>
                <w:sz w:val="24"/>
                <w:szCs w:val="24"/>
              </w:rPr>
              <w:t>owner of registration</w:t>
            </w:r>
          </w:p>
        </w:tc>
        <w:tc>
          <w:tcPr>
            <w:tcW w:w="2584" w:type="dxa"/>
          </w:tcPr>
          <w:p w:rsidR="00BF0C81" w:rsidRPr="0091205F" w:rsidRDefault="00BF0C81" w:rsidP="00EE3F63">
            <w:pPr>
              <w:rPr>
                <w:b/>
                <w:color w:val="FF0000"/>
                <w:sz w:val="24"/>
                <w:szCs w:val="24"/>
                <w:lang w:val="ru-RU"/>
              </w:rPr>
            </w:pPr>
            <w:r w:rsidRPr="0091205F">
              <w:rPr>
                <w:b/>
                <w:color w:val="FF0000"/>
                <w:sz w:val="24"/>
                <w:szCs w:val="24"/>
                <w:lang w:val="ru-RU"/>
              </w:rPr>
              <w:t>администратор домена</w:t>
            </w:r>
          </w:p>
        </w:tc>
      </w:tr>
      <w:tr w:rsidR="00BF0C81" w:rsidRPr="00257C51" w:rsidTr="00EE3F63">
        <w:tc>
          <w:tcPr>
            <w:tcW w:w="2430" w:type="dxa"/>
          </w:tcPr>
          <w:p w:rsidR="00BF0C81" w:rsidRPr="00257C51" w:rsidRDefault="00BF0C81" w:rsidP="00EE3F63">
            <w:pPr>
              <w:rPr>
                <w:sz w:val="24"/>
                <w:szCs w:val="24"/>
              </w:rPr>
            </w:pPr>
            <w:r w:rsidRPr="00257C51">
              <w:rPr>
                <w:sz w:val="24"/>
                <w:szCs w:val="24"/>
              </w:rPr>
              <w:t>(</w:t>
            </w:r>
            <w:r w:rsidRPr="00257C51">
              <w:rPr>
                <w:i/>
                <w:sz w:val="24"/>
                <w:szCs w:val="24"/>
              </w:rPr>
              <w:t>multiple documents</w:t>
            </w:r>
            <w:r w:rsidRPr="00257C51">
              <w:rPr>
                <w:sz w:val="24"/>
                <w:szCs w:val="24"/>
              </w:rPr>
              <w:t>)</w:t>
            </w:r>
          </w:p>
        </w:tc>
        <w:tc>
          <w:tcPr>
            <w:tcW w:w="1647" w:type="dxa"/>
          </w:tcPr>
          <w:p w:rsidR="00BF0C81" w:rsidRPr="00257C51" w:rsidRDefault="00BF0C81" w:rsidP="00EE3F6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</w:tcPr>
          <w:p w:rsidR="00BF0C81" w:rsidRPr="00AD0AC7" w:rsidRDefault="00BF0C81" w:rsidP="00EE3F63">
            <w:pPr>
              <w:rPr>
                <w:b/>
                <w:sz w:val="24"/>
                <w:szCs w:val="24"/>
              </w:rPr>
            </w:pPr>
            <w:r w:rsidRPr="00AD0AC7">
              <w:rPr>
                <w:b/>
                <w:color w:val="FF0000"/>
                <w:sz w:val="24"/>
                <w:szCs w:val="24"/>
              </w:rPr>
              <w:t>generic</w:t>
            </w:r>
            <w:r w:rsidRPr="00AD0AC7">
              <w:rPr>
                <w:b/>
                <w:sz w:val="24"/>
                <w:szCs w:val="24"/>
              </w:rPr>
              <w:t xml:space="preserve"> domain names</w:t>
            </w:r>
          </w:p>
        </w:tc>
        <w:tc>
          <w:tcPr>
            <w:tcW w:w="2551" w:type="dxa"/>
          </w:tcPr>
          <w:p w:rsidR="00BF0C81" w:rsidRPr="00257C51" w:rsidRDefault="00BF0C81" w:rsidP="00EE3F63">
            <w:pPr>
              <w:rPr>
                <w:sz w:val="24"/>
                <w:szCs w:val="24"/>
                <w:lang w:val="ru-RU"/>
              </w:rPr>
            </w:pPr>
            <w:r w:rsidRPr="0091205F">
              <w:rPr>
                <w:b/>
                <w:i/>
                <w:color w:val="FF0000"/>
                <w:sz w:val="24"/>
                <w:szCs w:val="24"/>
                <w:lang w:val="ru-RU"/>
              </w:rPr>
              <w:t>родовые</w:t>
            </w:r>
            <w:r w:rsidRPr="00257C51">
              <w:rPr>
                <w:sz w:val="24"/>
                <w:szCs w:val="24"/>
                <w:lang w:val="ru-RU"/>
              </w:rPr>
              <w:t xml:space="preserve"> домены</w:t>
            </w:r>
          </w:p>
        </w:tc>
        <w:tc>
          <w:tcPr>
            <w:tcW w:w="2268" w:type="dxa"/>
          </w:tcPr>
          <w:p w:rsidR="00BF0C81" w:rsidRPr="0091205F" w:rsidRDefault="00BF0C81" w:rsidP="00EE3F63">
            <w:pPr>
              <w:rPr>
                <w:color w:val="FF0000"/>
                <w:sz w:val="24"/>
                <w:szCs w:val="24"/>
              </w:rPr>
            </w:pPr>
            <w:r w:rsidRPr="0091205F">
              <w:rPr>
                <w:color w:val="FF0000"/>
                <w:sz w:val="24"/>
                <w:szCs w:val="24"/>
              </w:rPr>
              <w:t xml:space="preserve">ancestral, tribal domains </w:t>
            </w:r>
          </w:p>
        </w:tc>
        <w:tc>
          <w:tcPr>
            <w:tcW w:w="2584" w:type="dxa"/>
          </w:tcPr>
          <w:p w:rsidR="00BF0C81" w:rsidRPr="0091205F" w:rsidRDefault="00BF0C81" w:rsidP="00EE3F63">
            <w:pPr>
              <w:rPr>
                <w:b/>
                <w:color w:val="FF0000"/>
                <w:sz w:val="24"/>
                <w:szCs w:val="24"/>
                <w:lang w:val="ru-RU"/>
              </w:rPr>
            </w:pPr>
            <w:r w:rsidRPr="0091205F">
              <w:rPr>
                <w:b/>
                <w:color w:val="FF0000"/>
                <w:sz w:val="24"/>
                <w:szCs w:val="24"/>
                <w:lang w:val="ru-RU"/>
              </w:rPr>
              <w:t>домены общего пользования</w:t>
            </w:r>
          </w:p>
        </w:tc>
      </w:tr>
    </w:tbl>
    <w:p w:rsidR="006961A3" w:rsidRDefault="006961A3" w:rsidP="006961A3">
      <w:pPr>
        <w:pStyle w:val="ListParagraph"/>
        <w:widowControl w:val="0"/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</w:rPr>
      </w:pPr>
    </w:p>
    <w:p w:rsidR="00E9134E" w:rsidRPr="00A20A04" w:rsidRDefault="00E9134E" w:rsidP="006961A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Summary of other relevant research</w:t>
      </w:r>
    </w:p>
    <w:p w:rsidR="00E9134E" w:rsidRPr="00A20A04" w:rsidRDefault="00E9134E" w:rsidP="00E9134E">
      <w:pPr>
        <w:pStyle w:val="ListParagraph"/>
        <w:widowControl w:val="0"/>
        <w:autoSpaceDE w:val="0"/>
        <w:autoSpaceDN w:val="0"/>
        <w:adjustRightInd w:val="0"/>
        <w:spacing w:after="240"/>
        <w:ind w:left="1080"/>
        <w:rPr>
          <w:rFonts w:ascii="Times New Roman" w:hAnsi="Times New Roman" w:cs="Times New Roman"/>
        </w:rPr>
      </w:pPr>
    </w:p>
    <w:p w:rsidR="00E9134E" w:rsidRPr="00562FE5" w:rsidRDefault="00E9134E" w:rsidP="006961A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 w:rsidRPr="00562FE5">
        <w:rPr>
          <w:rFonts w:ascii="Times New Roman" w:hAnsi="Times New Roman" w:cs="Times New Roman"/>
          <w:b/>
        </w:rPr>
        <w:t>Relevant ICANN bylaws</w:t>
      </w:r>
    </w:p>
    <w:p w:rsidR="00E9134E" w:rsidRDefault="00E9134E" w:rsidP="00CD6E0A">
      <w:pPr>
        <w:pStyle w:val="ListParagraph"/>
        <w:ind w:left="0"/>
        <w:rPr>
          <w:rFonts w:ascii="Times New Roman" w:hAnsi="Times New Roman" w:cs="Times New Roman"/>
        </w:rPr>
      </w:pPr>
    </w:p>
    <w:p w:rsidR="00CD6E0A" w:rsidRPr="00A20A04" w:rsidRDefault="00CD6E0A" w:rsidP="00CD6E0A">
      <w:pPr>
        <w:pStyle w:val="ListParagraph"/>
        <w:ind w:left="0"/>
        <w:rPr>
          <w:rFonts w:ascii="Times New Roman" w:hAnsi="Times New Roman" w:cs="Times New Roman"/>
        </w:rPr>
      </w:pPr>
    </w:p>
    <w:p w:rsidR="00E9134E" w:rsidRPr="00562FE5" w:rsidRDefault="00E9134E" w:rsidP="006961A3">
      <w:pPr>
        <w:rPr>
          <w:rFonts w:ascii="Times New Roman" w:hAnsi="Times New Roman" w:cs="Times New Roman"/>
          <w:b/>
        </w:rPr>
      </w:pPr>
      <w:r w:rsidRPr="00562FE5">
        <w:rPr>
          <w:rFonts w:ascii="Times New Roman" w:hAnsi="Times New Roman" w:cs="Times New Roman"/>
          <w:b/>
        </w:rPr>
        <w:t>Relevant ICANN published policies</w:t>
      </w:r>
    </w:p>
    <w:p w:rsidR="006961A3" w:rsidRPr="006961A3" w:rsidRDefault="006961A3" w:rsidP="006961A3">
      <w:pPr>
        <w:pStyle w:val="Default"/>
        <w:widowControl w:val="0"/>
        <w:numPr>
          <w:ilvl w:val="0"/>
          <w:numId w:val="3"/>
        </w:numPr>
        <w:spacing w:after="240"/>
        <w:rPr>
          <w:rFonts w:ascii="Times New Roman" w:hAnsi="Times New Roman" w:cs="Times New Roman"/>
          <w:sz w:val="22"/>
          <w:szCs w:val="22"/>
        </w:rPr>
      </w:pPr>
      <w:r w:rsidRPr="006961A3">
        <w:rPr>
          <w:rFonts w:cs="Times New Roman"/>
          <w:color w:val="auto"/>
          <w:sz w:val="22"/>
          <w:szCs w:val="22"/>
        </w:rPr>
        <w:t>Language Services Policy and Procedures  developed in May 2012</w:t>
      </w:r>
    </w:p>
    <w:p w:rsidR="006961A3" w:rsidRPr="00A20A04" w:rsidRDefault="006961A3" w:rsidP="006961A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</w:p>
    <w:p w:rsidR="00E9134E" w:rsidRPr="00A20A04" w:rsidRDefault="00E9134E" w:rsidP="00E9134E">
      <w:pPr>
        <w:pStyle w:val="ListParagraph"/>
        <w:rPr>
          <w:rFonts w:ascii="Times New Roman" w:hAnsi="Times New Roman" w:cs="Times New Roman"/>
        </w:rPr>
      </w:pPr>
    </w:p>
    <w:p w:rsidR="00E9134E" w:rsidRPr="00562FE5" w:rsidRDefault="00E9134E" w:rsidP="006961A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 w:rsidRPr="00562FE5">
        <w:rPr>
          <w:rFonts w:ascii="Times New Roman" w:hAnsi="Times New Roman" w:cs="Times New Roman"/>
          <w:b/>
        </w:rPr>
        <w:t>ATRT2 analysis</w:t>
      </w:r>
    </w:p>
    <w:p w:rsidR="00E9134E" w:rsidRDefault="00BF0C81" w:rsidP="00BF0C81">
      <w:pPr>
        <w:rPr>
          <w:rFonts w:ascii="Times New Roman" w:hAnsi="Times New Roman" w:cs="Times New Roman"/>
        </w:rPr>
      </w:pPr>
      <w:r w:rsidRPr="00BF0C81">
        <w:rPr>
          <w:rFonts w:ascii="Times New Roman" w:hAnsi="Times New Roman" w:cs="Times New Roman"/>
        </w:rPr>
        <w:t>The implementation of the language policy is weak because</w:t>
      </w:r>
      <w:r>
        <w:rPr>
          <w:rFonts w:ascii="Times New Roman" w:hAnsi="Times New Roman" w:cs="Times New Roman"/>
        </w:rPr>
        <w:t>;</w:t>
      </w:r>
    </w:p>
    <w:p w:rsidR="00BF0C81" w:rsidRDefault="00BF0C81" w:rsidP="00BF0C8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quality of translations are poor</w:t>
      </w:r>
    </w:p>
    <w:p w:rsidR="00BF0C81" w:rsidRDefault="00BF0C81" w:rsidP="00BF0C8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inability for participants to participate in the public comments process in their preferred language especially for the languages that ICANN claims to have established translation services.</w:t>
      </w:r>
    </w:p>
    <w:p w:rsidR="008709E5" w:rsidRPr="00BF0C81" w:rsidRDefault="008709E5" w:rsidP="00BF0C8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translations of documents going out for </w:t>
      </w:r>
      <w:r w:rsidR="00562FE5">
        <w:rPr>
          <w:rFonts w:ascii="Times New Roman" w:hAnsi="Times New Roman" w:cs="Times New Roman"/>
        </w:rPr>
        <w:t>public comments are</w:t>
      </w:r>
      <w:r>
        <w:rPr>
          <w:rFonts w:ascii="Times New Roman" w:hAnsi="Times New Roman" w:cs="Times New Roman"/>
        </w:rPr>
        <w:t xml:space="preserve"> delayed therefore not uniform for all language communities.</w:t>
      </w:r>
    </w:p>
    <w:p w:rsidR="008709E5" w:rsidRDefault="008709E5" w:rsidP="006961A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:rsidR="008709E5" w:rsidRDefault="008709E5" w:rsidP="006961A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:rsidR="00E9134E" w:rsidRPr="006961A3" w:rsidRDefault="00E9134E" w:rsidP="006961A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6961A3">
        <w:rPr>
          <w:rFonts w:ascii="Times New Roman" w:hAnsi="Times New Roman" w:cs="Times New Roman"/>
        </w:rPr>
        <w:t>Draft recommendation</w:t>
      </w:r>
    </w:p>
    <w:p w:rsidR="00E9134E" w:rsidRDefault="00E9134E" w:rsidP="00E9134E">
      <w:pPr>
        <w:pStyle w:val="ListParagraph"/>
        <w:ind w:left="1080"/>
        <w:rPr>
          <w:rFonts w:ascii="Times New Roman" w:hAnsi="Times New Roman" w:cs="Times New Roman"/>
        </w:rPr>
      </w:pPr>
    </w:p>
    <w:p w:rsidR="006D4F60" w:rsidRPr="00A20A04" w:rsidRDefault="006D4F60" w:rsidP="00E9134E">
      <w:pPr>
        <w:pStyle w:val="ListParagraph"/>
        <w:ind w:left="1080"/>
        <w:rPr>
          <w:rFonts w:ascii="Times New Roman" w:hAnsi="Times New Roman" w:cs="Times New Roman"/>
        </w:rPr>
      </w:pPr>
    </w:p>
    <w:p w:rsidR="00E9134E" w:rsidRPr="006961A3" w:rsidRDefault="00E9134E" w:rsidP="006961A3">
      <w:pPr>
        <w:rPr>
          <w:rFonts w:ascii="Times New Roman" w:hAnsi="Times New Roman" w:cs="Times New Roman"/>
        </w:rPr>
      </w:pPr>
      <w:r w:rsidRPr="006961A3">
        <w:rPr>
          <w:rFonts w:ascii="Times New Roman" w:hAnsi="Times New Roman" w:cs="Times New Roman"/>
        </w:rPr>
        <w:t>Public Comment on Draft Recommendations</w:t>
      </w:r>
    </w:p>
    <w:p w:rsidR="00E9134E" w:rsidRPr="00A20A04" w:rsidRDefault="00E9134E" w:rsidP="00E9134E">
      <w:pPr>
        <w:pStyle w:val="ListParagraph"/>
        <w:rPr>
          <w:rFonts w:ascii="Times New Roman" w:hAnsi="Times New Roman" w:cs="Times New Roman"/>
        </w:rPr>
      </w:pPr>
    </w:p>
    <w:p w:rsidR="00E9134E" w:rsidRPr="006961A3" w:rsidRDefault="00E9134E" w:rsidP="006961A3">
      <w:pPr>
        <w:rPr>
          <w:rFonts w:ascii="Times New Roman" w:hAnsi="Times New Roman" w:cs="Times New Roman"/>
        </w:rPr>
      </w:pPr>
      <w:r w:rsidRPr="006961A3">
        <w:rPr>
          <w:rFonts w:ascii="Times New Roman" w:hAnsi="Times New Roman" w:cs="Times New Roman"/>
        </w:rPr>
        <w:t>Final recommendation</w:t>
      </w:r>
    </w:p>
    <w:p w:rsidR="00401530" w:rsidRDefault="00401530"/>
    <w:sectPr w:rsidR="00401530" w:rsidSect="00BF0C81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47C"/>
    <w:multiLevelType w:val="hybridMultilevel"/>
    <w:tmpl w:val="AD145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E52B1"/>
    <w:multiLevelType w:val="hybridMultilevel"/>
    <w:tmpl w:val="B448B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41A75"/>
    <w:multiLevelType w:val="hybridMultilevel"/>
    <w:tmpl w:val="EE7EF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A515A"/>
    <w:multiLevelType w:val="hybridMultilevel"/>
    <w:tmpl w:val="81F4F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C03485"/>
    <w:multiLevelType w:val="hybridMultilevel"/>
    <w:tmpl w:val="9914FA1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134E"/>
    <w:rsid w:val="00160D4E"/>
    <w:rsid w:val="003224B9"/>
    <w:rsid w:val="00401530"/>
    <w:rsid w:val="00562FE5"/>
    <w:rsid w:val="005748D7"/>
    <w:rsid w:val="00604059"/>
    <w:rsid w:val="006961A3"/>
    <w:rsid w:val="006D4F60"/>
    <w:rsid w:val="006F5FB5"/>
    <w:rsid w:val="008709E5"/>
    <w:rsid w:val="00964350"/>
    <w:rsid w:val="00BF0C81"/>
    <w:rsid w:val="00CD6E0A"/>
    <w:rsid w:val="00E9134E"/>
    <w:rsid w:val="00EF5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53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0C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34E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customStyle="1" w:styleId="Default">
    <w:name w:val="Default"/>
    <w:rsid w:val="006961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3224B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224B9"/>
    <w:rPr>
      <w:color w:val="0000FF"/>
      <w:u w:val="single"/>
    </w:rPr>
  </w:style>
  <w:style w:type="table" w:styleId="TableGrid">
    <w:name w:val="Table Grid"/>
    <w:basedOn w:val="TableNormal"/>
    <w:uiPriority w:val="59"/>
    <w:rsid w:val="00BF0C8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F0C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Asonga</dc:creator>
  <cp:lastModifiedBy>Fiona Asonga</cp:lastModifiedBy>
  <cp:revision>8</cp:revision>
  <dcterms:created xsi:type="dcterms:W3CDTF">2013-07-15T15:00:00Z</dcterms:created>
  <dcterms:modified xsi:type="dcterms:W3CDTF">2013-07-17T12:25:00Z</dcterms:modified>
</cp:coreProperties>
</file>