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EDB" w:rsidRPr="0004061C" w:rsidRDefault="00497B23" w:rsidP="000C2EDB">
      <w:pPr>
        <w:jc w:val="center"/>
        <w:rPr>
          <w:rFonts w:ascii="Times New Roman" w:hAnsi="Times New Roman" w:cs="Times New Roman"/>
          <w:b/>
          <w:sz w:val="28"/>
        </w:rPr>
      </w:pPr>
      <w:r>
        <w:rPr>
          <w:rFonts w:ascii="Times New Roman" w:hAnsi="Times New Roman" w:cs="Times New Roman"/>
          <w:b/>
          <w:sz w:val="28"/>
        </w:rPr>
        <w:t>Multi</w:t>
      </w:r>
      <w:r w:rsidR="008F7328">
        <w:rPr>
          <w:rFonts w:ascii="Times New Roman" w:hAnsi="Times New Roman" w:cs="Times New Roman"/>
          <w:b/>
          <w:sz w:val="28"/>
        </w:rPr>
        <w:t>-</w:t>
      </w:r>
      <w:r>
        <w:rPr>
          <w:rFonts w:ascii="Times New Roman" w:hAnsi="Times New Roman" w:cs="Times New Roman"/>
          <w:b/>
          <w:sz w:val="28"/>
        </w:rPr>
        <w:t>l</w:t>
      </w:r>
      <w:r w:rsidR="008F7328">
        <w:rPr>
          <w:rFonts w:ascii="Times New Roman" w:hAnsi="Times New Roman" w:cs="Times New Roman"/>
          <w:b/>
          <w:sz w:val="28"/>
        </w:rPr>
        <w:t>i</w:t>
      </w:r>
      <w:r>
        <w:rPr>
          <w:rFonts w:ascii="Times New Roman" w:hAnsi="Times New Roman" w:cs="Times New Roman"/>
          <w:b/>
          <w:sz w:val="28"/>
        </w:rPr>
        <w:t>ngua</w:t>
      </w:r>
      <w:r w:rsidR="008F7328">
        <w:rPr>
          <w:rFonts w:ascii="Times New Roman" w:hAnsi="Times New Roman" w:cs="Times New Roman"/>
          <w:b/>
          <w:sz w:val="28"/>
        </w:rPr>
        <w:t>l</w:t>
      </w:r>
      <w:r>
        <w:rPr>
          <w:rFonts w:ascii="Times New Roman" w:hAnsi="Times New Roman" w:cs="Times New Roman"/>
          <w:b/>
          <w:sz w:val="28"/>
        </w:rPr>
        <w:t xml:space="preserve"> recommendation 19 and 22</w:t>
      </w:r>
      <w:r w:rsidR="000733B2" w:rsidRPr="0004061C">
        <w:rPr>
          <w:rFonts w:ascii="Times New Roman" w:hAnsi="Times New Roman" w:cs="Times New Roman"/>
          <w:b/>
          <w:sz w:val="28"/>
        </w:rPr>
        <w:t xml:space="preserve"> </w:t>
      </w:r>
    </w:p>
    <w:p w:rsidR="00B27BCC" w:rsidRDefault="00B27BCC" w:rsidP="00E0305D">
      <w:pPr>
        <w:jc w:val="center"/>
        <w:rPr>
          <w:rFonts w:ascii="Times New Roman" w:hAnsi="Times New Roman" w:cs="Times New Roman"/>
        </w:rPr>
      </w:pPr>
    </w:p>
    <w:p w:rsidR="00E16176" w:rsidRDefault="00E16176" w:rsidP="00497B23">
      <w:pPr>
        <w:widowControl w:val="0"/>
        <w:autoSpaceDE w:val="0"/>
        <w:autoSpaceDN w:val="0"/>
        <w:adjustRightInd w:val="0"/>
        <w:spacing w:after="240"/>
        <w:rPr>
          <w:rFonts w:ascii="Times New Roman" w:hAnsi="Times New Roman"/>
        </w:rPr>
      </w:pPr>
      <w:r>
        <w:rPr>
          <w:rFonts w:ascii="Times New Roman" w:hAnsi="Times New Roman"/>
        </w:rPr>
        <w:t>The ATRT1 report had focus on language as a potential barrier to the community in the sense that if all documents are in English only</w:t>
      </w:r>
      <w:r w:rsidR="00023F96">
        <w:rPr>
          <w:rFonts w:ascii="Times New Roman" w:hAnsi="Times New Roman"/>
        </w:rPr>
        <w:t>, there is a risk that</w:t>
      </w:r>
      <w:r>
        <w:rPr>
          <w:rFonts w:ascii="Times New Roman" w:hAnsi="Times New Roman"/>
        </w:rPr>
        <w:t xml:space="preserve"> many of the no</w:t>
      </w:r>
      <w:r w:rsidR="00023F96">
        <w:rPr>
          <w:rFonts w:ascii="Times New Roman" w:hAnsi="Times New Roman"/>
        </w:rPr>
        <w:t>n-</w:t>
      </w:r>
      <w:r>
        <w:rPr>
          <w:rFonts w:ascii="Times New Roman" w:hAnsi="Times New Roman"/>
        </w:rPr>
        <w:t>native English speakers might have difficulties with comprehending important issues and missing out important information. Furthermore it was recommended that the senior staff was multi-lingual too</w:t>
      </w:r>
      <w:r w:rsidR="006803D6">
        <w:rPr>
          <w:rFonts w:ascii="Times New Roman" w:hAnsi="Times New Roman"/>
        </w:rPr>
        <w:t xml:space="preserve"> in order to </w:t>
      </w:r>
      <w:r w:rsidR="006803D6">
        <w:rPr>
          <w:sz w:val="23"/>
          <w:szCs w:val="23"/>
        </w:rPr>
        <w:t>deliver optimal levels of transparency and accountability to the community</w:t>
      </w:r>
      <w:r>
        <w:rPr>
          <w:rFonts w:ascii="Times New Roman" w:hAnsi="Times New Roman"/>
        </w:rPr>
        <w:t>.</w:t>
      </w:r>
    </w:p>
    <w:p w:rsidR="00497B23" w:rsidRPr="003224B9" w:rsidRDefault="00497B23" w:rsidP="00497B23">
      <w:pPr>
        <w:widowControl w:val="0"/>
        <w:autoSpaceDE w:val="0"/>
        <w:autoSpaceDN w:val="0"/>
        <w:adjustRightInd w:val="0"/>
        <w:spacing w:after="240"/>
        <w:rPr>
          <w:rFonts w:ascii="Times New Roman" w:hAnsi="Times New Roman"/>
        </w:rPr>
      </w:pPr>
      <w:r>
        <w:rPr>
          <w:rFonts w:ascii="Times New Roman" w:hAnsi="Times New Roman"/>
        </w:rPr>
        <w:t>In 2012 ICANN introduced translation services to enable a better service to the larger diverse community. Though the language services are welcome t</w:t>
      </w:r>
      <w:r w:rsidRPr="003224B9">
        <w:rPr>
          <w:rFonts w:ascii="Times New Roman" w:hAnsi="Times New Roman"/>
        </w:rPr>
        <w:t>he quality of the translation is</w:t>
      </w:r>
      <w:r>
        <w:rPr>
          <w:rFonts w:ascii="Times New Roman" w:hAnsi="Times New Roman"/>
        </w:rPr>
        <w:t xml:space="preserve"> terms of accuracy</w:t>
      </w:r>
      <w:r w:rsidRPr="003224B9">
        <w:rPr>
          <w:rFonts w:ascii="Times New Roman" w:hAnsi="Times New Roman"/>
        </w:rPr>
        <w:t xml:space="preserve"> to the working language of the</w:t>
      </w:r>
      <w:r>
        <w:rPr>
          <w:rFonts w:ascii="Times New Roman" w:hAnsi="Times New Roman"/>
        </w:rPr>
        <w:t xml:space="preserve"> various communities are important. In addition, the timeliness of the translation in relation to community interaction and participation is necessary.  This will ensure effective and clear communication with the community.</w:t>
      </w:r>
    </w:p>
    <w:p w:rsidR="00497B23" w:rsidRPr="0004061C" w:rsidRDefault="00497B23" w:rsidP="00E0305D">
      <w:pPr>
        <w:jc w:val="center"/>
        <w:rPr>
          <w:rFonts w:ascii="Times New Roman" w:hAnsi="Times New Roman" w:cs="Times New Roman"/>
        </w:rPr>
      </w:pPr>
    </w:p>
    <w:p w:rsidR="000C2EDB" w:rsidRDefault="000733B2" w:rsidP="00B765E1">
      <w:pPr>
        <w:pStyle w:val="Listeafsnit"/>
        <w:numPr>
          <w:ilvl w:val="0"/>
          <w:numId w:val="5"/>
        </w:numPr>
        <w:rPr>
          <w:rFonts w:ascii="Times New Roman" w:hAnsi="Times New Roman" w:cs="Times New Roman"/>
          <w:b/>
        </w:rPr>
      </w:pPr>
      <w:r w:rsidRPr="00B765E1">
        <w:rPr>
          <w:rFonts w:ascii="Times New Roman" w:hAnsi="Times New Roman" w:cs="Times New Roman"/>
          <w:b/>
        </w:rPr>
        <w:t>Analysis of previous review teams recommendations</w:t>
      </w:r>
      <w:r w:rsidR="00B765E1" w:rsidRPr="00B765E1">
        <w:rPr>
          <w:rFonts w:ascii="Times New Roman" w:hAnsi="Times New Roman" w:cs="Times New Roman"/>
          <w:b/>
        </w:rPr>
        <w:br/>
      </w:r>
    </w:p>
    <w:p w:rsidR="00903525" w:rsidRPr="0004061C" w:rsidRDefault="00903525">
      <w:pPr>
        <w:rPr>
          <w:rFonts w:ascii="Times New Roman" w:hAnsi="Times New Roman" w:cs="Times New Roman"/>
        </w:rPr>
      </w:pPr>
    </w:p>
    <w:p w:rsidR="00497B23" w:rsidRPr="00497B23" w:rsidRDefault="000733B2" w:rsidP="00497B23">
      <w:pPr>
        <w:pStyle w:val="Listeafsnit"/>
        <w:numPr>
          <w:ilvl w:val="0"/>
          <w:numId w:val="1"/>
        </w:numPr>
        <w:rPr>
          <w:rFonts w:ascii="Times New Roman" w:hAnsi="Times New Roman" w:cs="Times New Roman"/>
        </w:rPr>
      </w:pPr>
      <w:r w:rsidRPr="00B765E1">
        <w:rPr>
          <w:rFonts w:ascii="Times New Roman" w:hAnsi="Times New Roman" w:cs="Times New Roman"/>
          <w:b/>
        </w:rPr>
        <w:t>Recommendation</w:t>
      </w:r>
      <w:r w:rsidR="00497B23" w:rsidRPr="00B765E1">
        <w:rPr>
          <w:rFonts w:ascii="Times New Roman" w:hAnsi="Times New Roman" w:cs="Times New Roman"/>
          <w:b/>
        </w:rPr>
        <w:t xml:space="preserve"> 19 and 22</w:t>
      </w:r>
      <w:r w:rsidR="00497B23">
        <w:rPr>
          <w:rFonts w:ascii="Times New Roman" w:hAnsi="Times New Roman" w:cs="Times New Roman"/>
        </w:rPr>
        <w:br/>
      </w:r>
      <w:r w:rsidR="00497B23">
        <w:rPr>
          <w:rFonts w:ascii="Times New Roman" w:hAnsi="Times New Roman" w:cs="Times New Roman"/>
        </w:rPr>
        <w:br/>
      </w:r>
      <w:r w:rsidR="00497B23" w:rsidRPr="00497B23">
        <w:rPr>
          <w:rFonts w:ascii="Times New Roman" w:hAnsi="Times New Roman" w:cs="Times New Roman"/>
        </w:rPr>
        <w:t>19. Within 21 days of taking a decision, the ICANN Board should publish its translations (including the required rationale as outlined in other ATRT recommendations) in the languages called for in the ICANN Translation Policy.</w:t>
      </w:r>
      <w:r w:rsidR="00497B23">
        <w:rPr>
          <w:rFonts w:ascii="Times New Roman" w:hAnsi="Times New Roman" w:cs="Times New Roman"/>
        </w:rPr>
        <w:br/>
      </w:r>
      <w:r w:rsidR="00497B23">
        <w:rPr>
          <w:rFonts w:ascii="Times New Roman" w:hAnsi="Times New Roman" w:cs="Times New Roman"/>
        </w:rPr>
        <w:br/>
      </w:r>
      <w:r w:rsidR="00497B23">
        <w:rPr>
          <w:sz w:val="23"/>
          <w:szCs w:val="23"/>
        </w:rPr>
        <w:t>22. The Board should ensure that ICANN’s senior staffing arrangements are appropriately multi-lingual, delivering optimal levels of transparency and accountability to the community.</w:t>
      </w:r>
    </w:p>
    <w:p w:rsidR="000733B2" w:rsidRPr="0004061C" w:rsidRDefault="000733B2" w:rsidP="00903525">
      <w:pPr>
        <w:pStyle w:val="Listeafsnit"/>
        <w:ind w:left="360"/>
        <w:rPr>
          <w:rFonts w:ascii="Times New Roman" w:hAnsi="Times New Roman" w:cs="Times New Roman"/>
        </w:rPr>
      </w:pPr>
    </w:p>
    <w:p w:rsidR="00903525" w:rsidRPr="00B765E1" w:rsidRDefault="0003003F" w:rsidP="00903525">
      <w:pPr>
        <w:pStyle w:val="Listeafsnit"/>
        <w:widowControl w:val="0"/>
        <w:numPr>
          <w:ilvl w:val="0"/>
          <w:numId w:val="1"/>
        </w:numPr>
        <w:autoSpaceDE w:val="0"/>
        <w:autoSpaceDN w:val="0"/>
        <w:adjustRightInd w:val="0"/>
        <w:spacing w:after="240"/>
        <w:ind w:left="360"/>
        <w:rPr>
          <w:rFonts w:ascii="Times New Roman" w:hAnsi="Times New Roman" w:cs="Times New Roman"/>
          <w:b/>
        </w:rPr>
      </w:pPr>
      <w:r w:rsidRPr="00B765E1">
        <w:rPr>
          <w:rFonts w:ascii="Times New Roman" w:hAnsi="Times New Roman" w:cs="Times New Roman"/>
          <w:b/>
        </w:rPr>
        <w:t xml:space="preserve">Summary of </w:t>
      </w:r>
      <w:r w:rsidR="007A7D18" w:rsidRPr="00B765E1">
        <w:rPr>
          <w:rFonts w:ascii="Times New Roman" w:hAnsi="Times New Roman" w:cs="Times New Roman"/>
          <w:b/>
        </w:rPr>
        <w:t>ICANN</w:t>
      </w:r>
      <w:r w:rsidR="000C2EDB" w:rsidRPr="00B765E1">
        <w:rPr>
          <w:rFonts w:ascii="Times New Roman" w:hAnsi="Times New Roman" w:cs="Times New Roman"/>
          <w:b/>
        </w:rPr>
        <w:t>’s assessment</w:t>
      </w:r>
      <w:r w:rsidR="007A7D18" w:rsidRPr="00B765E1">
        <w:rPr>
          <w:rFonts w:ascii="Times New Roman" w:hAnsi="Times New Roman" w:cs="Times New Roman"/>
          <w:b/>
        </w:rPr>
        <w:t xml:space="preserve"> </w:t>
      </w:r>
      <w:r w:rsidR="000C2EDB" w:rsidRPr="00B765E1">
        <w:rPr>
          <w:rFonts w:ascii="Times New Roman" w:hAnsi="Times New Roman" w:cs="Times New Roman"/>
          <w:b/>
        </w:rPr>
        <w:t>of</w:t>
      </w:r>
      <w:r w:rsidR="000733B2" w:rsidRPr="00B765E1">
        <w:rPr>
          <w:rFonts w:ascii="Times New Roman" w:hAnsi="Times New Roman" w:cs="Times New Roman"/>
          <w:b/>
        </w:rPr>
        <w:t xml:space="preserve"> implementation including </w:t>
      </w:r>
      <w:r w:rsidR="00181D23" w:rsidRPr="00B765E1">
        <w:rPr>
          <w:rFonts w:ascii="Times New Roman" w:hAnsi="Times New Roman" w:cs="Times New Roman"/>
          <w:b/>
        </w:rPr>
        <w:t>actions</w:t>
      </w:r>
      <w:r w:rsidR="000C2EDB" w:rsidRPr="00B765E1">
        <w:rPr>
          <w:rFonts w:ascii="Times New Roman" w:hAnsi="Times New Roman" w:cs="Times New Roman"/>
          <w:b/>
        </w:rPr>
        <w:t xml:space="preserve"> taken, implementability and </w:t>
      </w:r>
      <w:r w:rsidR="000733B2" w:rsidRPr="00B765E1">
        <w:rPr>
          <w:rFonts w:ascii="Times New Roman" w:hAnsi="Times New Roman" w:cs="Times New Roman"/>
          <w:b/>
        </w:rPr>
        <w:t>effectiveness</w:t>
      </w:r>
      <w:r w:rsidR="000C2EDB" w:rsidRPr="00B765E1">
        <w:rPr>
          <w:rFonts w:ascii="Times New Roman" w:hAnsi="Times New Roman" w:cs="Times New Roman"/>
          <w:b/>
        </w:rPr>
        <w:t xml:space="preserve"> </w:t>
      </w:r>
      <w:r w:rsidR="00903525" w:rsidRPr="00B765E1">
        <w:rPr>
          <w:rFonts w:ascii="Times New Roman" w:hAnsi="Times New Roman" w:cs="Times New Roman"/>
          <w:b/>
        </w:rPr>
        <w:br/>
      </w:r>
    </w:p>
    <w:p w:rsidR="00497B23" w:rsidRPr="00497B23" w:rsidRDefault="00497B23" w:rsidP="00497B23">
      <w:pPr>
        <w:rPr>
          <w:rFonts w:ascii="Times New Roman" w:eastAsia="Times New Roman" w:hAnsi="Symbol"/>
          <w:b/>
        </w:rPr>
      </w:pPr>
      <w:r>
        <w:rPr>
          <w:rFonts w:ascii="Times New Roman" w:eastAsia="Times New Roman" w:hAnsi="Symbol"/>
          <w:b/>
        </w:rPr>
        <w:t>Recommendation 19</w:t>
      </w:r>
    </w:p>
    <w:p w:rsidR="00497B23" w:rsidRPr="003224B9" w:rsidRDefault="00497B23" w:rsidP="00497B23">
      <w:pPr>
        <w:rPr>
          <w:rFonts w:ascii="Times New Roman" w:eastAsia="Times New Roman" w:hAnsi="Times New Roman"/>
        </w:rPr>
      </w:pPr>
      <w:r w:rsidRPr="00CD6E0A">
        <w:rPr>
          <w:rFonts w:ascii="Times New Roman" w:eastAsia="Times New Roman" w:hAnsi="Symbol"/>
        </w:rPr>
        <w:t xml:space="preserve">The </w:t>
      </w:r>
      <w:r w:rsidRPr="00CD6E0A">
        <w:rPr>
          <w:rFonts w:ascii="Times New Roman" w:eastAsia="Times New Roman" w:hAnsi="Times New Roman"/>
          <w:bCs/>
        </w:rPr>
        <w:t>Board meeting on</w:t>
      </w:r>
      <w:r w:rsidRPr="00CD6E0A">
        <w:rPr>
          <w:rFonts w:ascii="Times New Roman" w:eastAsia="Times New Roman" w:hAnsi="Times New Roman"/>
        </w:rPr>
        <w:t xml:space="preserve"> 18 October 2012 passed r</w:t>
      </w:r>
      <w:r w:rsidRPr="00CD6E0A">
        <w:rPr>
          <w:rFonts w:ascii="Times New Roman" w:eastAsia="Times New Roman" w:hAnsi="Times New Roman"/>
          <w:bCs/>
        </w:rPr>
        <w:t>esolution number</w:t>
      </w:r>
      <w:r w:rsidRPr="00CD6E0A">
        <w:rPr>
          <w:rFonts w:ascii="Times New Roman" w:eastAsia="Times New Roman" w:hAnsi="Times New Roman"/>
        </w:rPr>
        <w:t xml:space="preserve"> 2012.10.18.02 </w:t>
      </w:r>
      <w:r w:rsidRPr="00CD6E0A">
        <w:rPr>
          <w:rFonts w:ascii="Times New Roman" w:eastAsia="Times New Roman" w:hAnsi="Times New Roman"/>
          <w:bCs/>
        </w:rPr>
        <w:t xml:space="preserve">minutes/resolution </w:t>
      </w:r>
      <w:hyperlink r:id="rId9" w:anchor="1.b" w:history="1">
        <w:r w:rsidRPr="003224B9">
          <w:rPr>
            <w:rFonts w:ascii="Times New Roman" w:eastAsia="Times New Roman" w:hAnsi="Times New Roman"/>
            <w:color w:val="0000FF"/>
            <w:u w:val="single"/>
          </w:rPr>
          <w:t>http://www.icann.org/en/groups/board/documents/resolutions-18oct12-en.htm#1.b</w:t>
        </w:r>
      </w:hyperlink>
    </w:p>
    <w:p w:rsidR="00497B23" w:rsidRDefault="00497B23" w:rsidP="00497B23">
      <w:pPr>
        <w:pStyle w:val="NormalWeb"/>
      </w:pPr>
      <w:r>
        <w:t>Staff ha</w:t>
      </w:r>
      <w:r w:rsidR="00D636FF">
        <w:t>s</w:t>
      </w:r>
      <w:r>
        <w:t xml:space="preserve"> provided input during the call with ATRT2 team on </w:t>
      </w:r>
      <w:r w:rsidRPr="00E24B5D">
        <w:rPr>
          <w:sz w:val="22"/>
          <w:szCs w:val="22"/>
        </w:rPr>
        <w:t>Thursday,</w:t>
      </w:r>
      <w:r>
        <w:t xml:space="preserve"> </w:t>
      </w:r>
      <w:r w:rsidRPr="00E24B5D">
        <w:rPr>
          <w:sz w:val="22"/>
          <w:szCs w:val="22"/>
        </w:rPr>
        <w:t>20</w:t>
      </w:r>
      <w:r>
        <w:t xml:space="preserve"> </w:t>
      </w:r>
      <w:r w:rsidRPr="00E24B5D">
        <w:rPr>
          <w:sz w:val="22"/>
          <w:szCs w:val="22"/>
        </w:rPr>
        <w:t>June</w:t>
      </w:r>
      <w:r>
        <w:t xml:space="preserve"> </w:t>
      </w:r>
      <w:r w:rsidRPr="00E24B5D">
        <w:rPr>
          <w:sz w:val="22"/>
          <w:szCs w:val="22"/>
        </w:rPr>
        <w:t>2013</w:t>
      </w:r>
      <w:r>
        <w:t xml:space="preserve"> </w:t>
      </w:r>
      <w:r w:rsidRPr="00E24B5D">
        <w:rPr>
          <w:sz w:val="22"/>
          <w:szCs w:val="22"/>
        </w:rPr>
        <w:t>–</w:t>
      </w:r>
      <w:r>
        <w:t xml:space="preserve"> </w:t>
      </w:r>
      <w:r w:rsidRPr="00E24B5D">
        <w:rPr>
          <w:sz w:val="22"/>
          <w:szCs w:val="22"/>
        </w:rPr>
        <w:t>16:00</w:t>
      </w:r>
      <w:r>
        <w:t xml:space="preserve"> </w:t>
      </w:r>
      <w:r w:rsidRPr="00E24B5D">
        <w:rPr>
          <w:rFonts w:eastAsia="Calibri"/>
          <w:sz w:val="22"/>
          <w:szCs w:val="22"/>
        </w:rPr>
        <w:t>UTC</w:t>
      </w:r>
      <w:r>
        <w:t xml:space="preserve"> </w:t>
      </w:r>
      <w:r w:rsidRPr="00E24B5D">
        <w:t>explaining how the translations services works and the challenges they experience.</w:t>
      </w:r>
      <w:r>
        <w:t xml:space="preserve"> The details of the discussion are available on the following links: </w:t>
      </w:r>
    </w:p>
    <w:p w:rsidR="00497B23" w:rsidRDefault="00A80F49" w:rsidP="00497B23">
      <w:pPr>
        <w:pStyle w:val="NormalWeb"/>
      </w:pPr>
      <w:hyperlink r:id="rId10" w:history="1">
        <w:r w:rsidR="00497B23">
          <w:rPr>
            <w:rStyle w:val="Hyperlink"/>
          </w:rPr>
          <w:t>Recording - 20 June</w:t>
        </w:r>
      </w:hyperlink>
    </w:p>
    <w:p w:rsidR="00497B23" w:rsidRDefault="00A80F49" w:rsidP="00497B23">
      <w:pPr>
        <w:pStyle w:val="Overskrift3"/>
      </w:pPr>
      <w:hyperlink r:id="rId11" w:history="1">
        <w:r w:rsidR="00497B23">
          <w:rPr>
            <w:rStyle w:val="Hyperlink"/>
          </w:rPr>
          <w:t>Transcript - 20 June</w:t>
        </w:r>
      </w:hyperlink>
    </w:p>
    <w:p w:rsidR="00497B23" w:rsidRDefault="00497B23" w:rsidP="00497B23">
      <w:pPr>
        <w:pStyle w:val="NormalWeb"/>
        <w:jc w:val="both"/>
      </w:pPr>
      <w:r>
        <w:t xml:space="preserve">Wednesday, </w:t>
      </w:r>
      <w:r w:rsidRPr="007A1829">
        <w:t>July 17, 2013</w:t>
      </w:r>
      <w:r>
        <w:t xml:space="preserve"> 3:00PM in Durban Meeting between </w:t>
      </w:r>
      <w:r w:rsidRPr="007A1829">
        <w:t xml:space="preserve">Carlos </w:t>
      </w:r>
      <w:proofErr w:type="spellStart"/>
      <w:r w:rsidRPr="007A1829">
        <w:t>Raúl</w:t>
      </w:r>
      <w:proofErr w:type="spellEnd"/>
      <w:r w:rsidRPr="007A1829">
        <w:t xml:space="preserve"> Gutierrez of </w:t>
      </w:r>
      <w:r>
        <w:t xml:space="preserve">work stream 4 with Nora </w:t>
      </w:r>
      <w:proofErr w:type="spellStart"/>
      <w:r>
        <w:t>Abusitta</w:t>
      </w:r>
      <w:proofErr w:type="spellEnd"/>
      <w:r>
        <w:t xml:space="preserve"> ICANN Translation staff: It was reported that ICANN will start working on updating and improving their glossaries in a manner that reflects the needs and requirements of the community. However, there is no evidence</w:t>
      </w:r>
      <w:r w:rsidR="00D636FF">
        <w:t xml:space="preserve"> provided that the work has begu</w:t>
      </w:r>
      <w:r>
        <w:t>n.</w:t>
      </w:r>
    </w:p>
    <w:p w:rsidR="00497B23" w:rsidRPr="00D85026" w:rsidRDefault="00497B23" w:rsidP="00497B23">
      <w:pPr>
        <w:pStyle w:val="NormalWeb"/>
        <w:jc w:val="both"/>
      </w:pPr>
      <w:r w:rsidRPr="00B56D51">
        <w:t>During the</w:t>
      </w:r>
      <w:r>
        <w:t xml:space="preserve"> Friday,</w:t>
      </w:r>
      <w:r w:rsidRPr="00B56D51">
        <w:t xml:space="preserve"> August</w:t>
      </w:r>
      <w:r>
        <w:t xml:space="preserve"> 16,</w:t>
      </w:r>
      <w:r w:rsidRPr="00B56D51">
        <w:t xml:space="preserve"> 2013, face to face meeting</w:t>
      </w:r>
      <w:r>
        <w:t xml:space="preserve"> the Language Services team represented by Nora </w:t>
      </w:r>
      <w:proofErr w:type="spellStart"/>
      <w:r>
        <w:t>Abusitta</w:t>
      </w:r>
      <w:proofErr w:type="spellEnd"/>
      <w:r>
        <w:t xml:space="preserve"> and </w:t>
      </w:r>
      <w:r w:rsidRPr="00D85026">
        <w:t>Christina Rodriguez shared an update on the status of the translation services. Staff mention</w:t>
      </w:r>
      <w:r w:rsidR="00D636FF">
        <w:t>ed</w:t>
      </w:r>
      <w:r w:rsidRPr="00D85026">
        <w:t xml:space="preserve"> initial budgetary constraints which were at the time of the discussion being addressed. More language staff should be hired as a result of the volume of work coming through to the team. This it is assumed should improve the timeliness of translation requests for the community. Presented by staff to ATRT2 is evidence that budget approved for service improvement FY14 in comparison to previous years as follows: 2012- US$ </w:t>
      </w:r>
      <w:proofErr w:type="gramStart"/>
      <w:r w:rsidRPr="00D85026">
        <w:t>2.1M ;</w:t>
      </w:r>
      <w:proofErr w:type="gramEnd"/>
      <w:r w:rsidRPr="00D85026">
        <w:t xml:space="preserve"> 2013-US$ 2.9M and  2014-US$ 3.6M</w:t>
      </w:r>
    </w:p>
    <w:p w:rsidR="00497B23" w:rsidRPr="00D85026" w:rsidRDefault="00497B23" w:rsidP="00497B23">
      <w:pPr>
        <w:pStyle w:val="NormalWeb"/>
      </w:pPr>
      <w:r w:rsidRPr="00D85026">
        <w:t>On the alignment of ICANN translations to already used terminologies of the various languages, the language team reported that they were starting a language Glossary project for the six ICANN languages that would be aligned to terminology already in use.</w:t>
      </w:r>
    </w:p>
    <w:p w:rsidR="00497B23" w:rsidRPr="00D85026" w:rsidRDefault="00497B23" w:rsidP="00497B23">
      <w:pPr>
        <w:pStyle w:val="NormalWeb"/>
        <w:spacing w:before="0" w:beforeAutospacing="0" w:after="0" w:afterAutospacing="0"/>
      </w:pPr>
      <w:r w:rsidRPr="00D85026">
        <w:t>Staff also shared the process involved as follows:</w:t>
      </w:r>
    </w:p>
    <w:p w:rsidR="00497B23" w:rsidRPr="00D85026" w:rsidRDefault="00497B23" w:rsidP="00497B23">
      <w:pPr>
        <w:pStyle w:val="NormalWeb"/>
        <w:spacing w:before="0" w:beforeAutospacing="0" w:after="0" w:afterAutospacing="0"/>
      </w:pPr>
      <w:r w:rsidRPr="00D85026">
        <w:t>1. Receive the document for translation</w:t>
      </w:r>
    </w:p>
    <w:p w:rsidR="00497B23" w:rsidRPr="00D85026" w:rsidRDefault="00497B23" w:rsidP="00497B23">
      <w:pPr>
        <w:pStyle w:val="NormalWeb"/>
        <w:spacing w:before="0" w:beforeAutospacing="0" w:after="0" w:afterAutospacing="0"/>
      </w:pPr>
      <w:r w:rsidRPr="00D85026">
        <w:t>2. Quick estimate of words per page multiply by days it takes to translate; 1 day -1800-2000 words</w:t>
      </w:r>
    </w:p>
    <w:p w:rsidR="00497B23" w:rsidRPr="00D85026" w:rsidRDefault="00497B23" w:rsidP="00497B23">
      <w:pPr>
        <w:pStyle w:val="NormalWeb"/>
        <w:spacing w:before="0" w:beforeAutospacing="0" w:after="0" w:afterAutospacing="0"/>
      </w:pPr>
      <w:r w:rsidRPr="00D85026">
        <w:t>3. Document goes through polishing</w:t>
      </w:r>
    </w:p>
    <w:p w:rsidR="00497B23" w:rsidRPr="00D85026" w:rsidRDefault="00497B23" w:rsidP="00497B23">
      <w:pPr>
        <w:pStyle w:val="NormalWeb"/>
      </w:pPr>
      <w:r w:rsidRPr="00D85026">
        <w:t>The delay in getting the materials out at the same time is as a result of the size of the material to be translated and a lean department of two staff.</w:t>
      </w:r>
    </w:p>
    <w:p w:rsidR="00497B23" w:rsidRDefault="00497B23" w:rsidP="00497B23">
      <w:pPr>
        <w:pStyle w:val="Overskrift4"/>
      </w:pPr>
      <w:r>
        <w:rPr>
          <w:rStyle w:val="Strk"/>
          <w:b/>
          <w:bCs/>
          <w:color w:val="333399"/>
        </w:rPr>
        <w:t>Day 2 - 15 August - Face-to-Face Meeting</w:t>
      </w:r>
    </w:p>
    <w:p w:rsidR="00497B23" w:rsidRDefault="00497B23" w:rsidP="00497B23">
      <w:pPr>
        <w:pStyle w:val="NormalWeb"/>
      </w:pPr>
      <w:r>
        <w:rPr>
          <w:color w:val="993300"/>
        </w:rPr>
        <w:t> </w:t>
      </w:r>
      <w:r>
        <w:rPr>
          <w:rStyle w:val="Strk"/>
          <w:color w:val="000000"/>
          <w:u w:val="single"/>
        </w:rPr>
        <w:t>Recordings:</w:t>
      </w:r>
    </w:p>
    <w:p w:rsidR="00497B23" w:rsidRDefault="00497B23" w:rsidP="00497B23">
      <w:pPr>
        <w:numPr>
          <w:ilvl w:val="0"/>
          <w:numId w:val="2"/>
        </w:numPr>
        <w:spacing w:before="100" w:beforeAutospacing="1" w:after="100" w:afterAutospacing="1"/>
      </w:pPr>
      <w:r>
        <w:rPr>
          <w:color w:val="993300"/>
          <w:u w:val="single"/>
        </w:rPr>
        <w:t> </w:t>
      </w:r>
      <w:hyperlink r:id="rId12" w:history="1">
        <w:r>
          <w:rPr>
            <w:rStyle w:val="Hyperlink"/>
          </w:rPr>
          <w:t>Part 1</w:t>
        </w:r>
      </w:hyperlink>
    </w:p>
    <w:p w:rsidR="00497B23" w:rsidRDefault="00A80F49" w:rsidP="00497B23">
      <w:pPr>
        <w:numPr>
          <w:ilvl w:val="0"/>
          <w:numId w:val="2"/>
        </w:numPr>
        <w:spacing w:before="100" w:beforeAutospacing="1" w:after="100" w:afterAutospacing="1"/>
      </w:pPr>
      <w:hyperlink r:id="rId13" w:history="1">
        <w:r w:rsidR="00497B23">
          <w:rPr>
            <w:rStyle w:val="Hyperlink"/>
          </w:rPr>
          <w:t>Part 2</w:t>
        </w:r>
      </w:hyperlink>
    </w:p>
    <w:p w:rsidR="00497B23" w:rsidRDefault="00497B23" w:rsidP="00497B23">
      <w:pPr>
        <w:pStyle w:val="NormalWeb"/>
      </w:pPr>
      <w:r>
        <w:rPr>
          <w:color w:val="993300"/>
        </w:rPr>
        <w:t> </w:t>
      </w:r>
      <w:hyperlink r:id="rId14" w:history="1">
        <w:r>
          <w:rPr>
            <w:rStyle w:val="Hyperlink"/>
          </w:rPr>
          <w:t>Chat Transcript</w:t>
        </w:r>
      </w:hyperlink>
    </w:p>
    <w:p w:rsidR="00497B23" w:rsidRDefault="00497B23" w:rsidP="00497B23">
      <w:pPr>
        <w:pStyle w:val="NormalWeb"/>
      </w:pPr>
      <w:r>
        <w:rPr>
          <w:rStyle w:val="Strk"/>
          <w:color w:val="000000"/>
          <w:u w:val="single"/>
        </w:rPr>
        <w:t>Transcript</w:t>
      </w:r>
      <w:r>
        <w:rPr>
          <w:rStyle w:val="Strk"/>
          <w:color w:val="000000"/>
        </w:rPr>
        <w:t xml:space="preserve">: </w:t>
      </w:r>
      <w:hyperlink r:id="rId15" w:history="1">
        <w:r>
          <w:rPr>
            <w:rStyle w:val="Hyperlink"/>
            <w:b/>
            <w:bCs/>
          </w:rPr>
          <w:t>DAY 2</w:t>
        </w:r>
      </w:hyperlink>
    </w:p>
    <w:p w:rsidR="00497B23" w:rsidRDefault="00497B23" w:rsidP="00497B23">
      <w:pPr>
        <w:pStyle w:val="NormalWeb"/>
        <w:spacing w:before="0" w:beforeAutospacing="0" w:after="0" w:afterAutospacing="0"/>
      </w:pPr>
    </w:p>
    <w:p w:rsidR="00497B23" w:rsidRPr="00497B23" w:rsidRDefault="00497B23" w:rsidP="00497B23">
      <w:pPr>
        <w:pStyle w:val="NormalWeb"/>
        <w:spacing w:before="0" w:beforeAutospacing="0" w:after="0" w:afterAutospacing="0"/>
        <w:rPr>
          <w:b/>
        </w:rPr>
      </w:pPr>
      <w:r>
        <w:rPr>
          <w:b/>
        </w:rPr>
        <w:t>Recommendation 22</w:t>
      </w:r>
    </w:p>
    <w:p w:rsidR="00497B23" w:rsidRDefault="00497B23" w:rsidP="00497B23">
      <w:pPr>
        <w:pStyle w:val="NormalWeb"/>
        <w:spacing w:before="0" w:beforeAutospacing="0" w:after="0" w:afterAutospacing="0"/>
      </w:pPr>
      <w:r w:rsidRPr="00D85026">
        <w:t xml:space="preserve">Steve </w:t>
      </w:r>
      <w:proofErr w:type="spellStart"/>
      <w:r w:rsidRPr="00D85026">
        <w:t>Antonoff</w:t>
      </w:r>
      <w:proofErr w:type="spellEnd"/>
      <w:r w:rsidRPr="00D85026">
        <w:t>, Director of Human Resources, to the ATRT 2 request - Provide metric of multilingual senior staff at Dec 2010 as compared to current. In December 2010, ICANN had 38 individuals in Senior and Executive Man</w:t>
      </w:r>
      <w:r>
        <w:t>agement roles, of which 28 were</w:t>
      </w:r>
      <w:r w:rsidRPr="00D85026">
        <w:t xml:space="preserve"> multi-</w:t>
      </w:r>
      <w:r w:rsidRPr="00D85026">
        <w:lastRenderedPageBreak/>
        <w:t>lingual (73.4%). Currently, in August 2013, there are 51 individuals in Senior and Executive Management roles, of which 39 are multi-lingual (76.5%).</w:t>
      </w:r>
      <w:r>
        <w:t xml:space="preserve">  </w:t>
      </w:r>
      <w:r w:rsidRPr="00D85026">
        <w:t>Staff reported that on the overall, ICANN staff speak</w:t>
      </w:r>
      <w:r w:rsidR="00D636FF">
        <w:t>s</w:t>
      </w:r>
      <w:r w:rsidRPr="00D85026">
        <w:t xml:space="preserve"> approximately 45 languages.</w:t>
      </w:r>
    </w:p>
    <w:p w:rsidR="00497B23" w:rsidRPr="00D85026" w:rsidRDefault="00497B23" w:rsidP="00497B23">
      <w:pPr>
        <w:pStyle w:val="NormalWeb"/>
        <w:spacing w:before="0" w:beforeAutospacing="0" w:after="0" w:afterAutospacing="0"/>
      </w:pPr>
    </w:p>
    <w:p w:rsidR="00497B23" w:rsidRPr="00D85026" w:rsidRDefault="00497B23" w:rsidP="00497B23">
      <w:pPr>
        <w:pStyle w:val="NormalWeb"/>
        <w:spacing w:before="0" w:beforeAutospacing="0" w:after="0" w:afterAutospacing="0"/>
        <w:rPr>
          <w:sz w:val="22"/>
          <w:szCs w:val="22"/>
        </w:rPr>
      </w:pPr>
    </w:p>
    <w:tbl>
      <w:tblPr>
        <w:tblW w:w="0" w:type="auto"/>
        <w:tblCellMar>
          <w:left w:w="0" w:type="dxa"/>
          <w:right w:w="0" w:type="dxa"/>
        </w:tblCellMar>
        <w:tblLook w:val="04A0" w:firstRow="1" w:lastRow="0" w:firstColumn="1" w:lastColumn="0" w:noHBand="0" w:noVBand="1"/>
      </w:tblPr>
      <w:tblGrid>
        <w:gridCol w:w="1691"/>
        <w:gridCol w:w="1919"/>
        <w:gridCol w:w="1619"/>
        <w:gridCol w:w="1943"/>
        <w:gridCol w:w="1684"/>
      </w:tblGrid>
      <w:tr w:rsidR="00497B23" w:rsidRPr="00D85026" w:rsidTr="00CE4517">
        <w:tc>
          <w:tcPr>
            <w:tcW w:w="1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7B23" w:rsidRPr="00D85026" w:rsidRDefault="00497B23" w:rsidP="00CE4517">
            <w:pPr>
              <w:pStyle w:val="NormalWeb"/>
              <w:rPr>
                <w:sz w:val="22"/>
                <w:szCs w:val="22"/>
              </w:rPr>
            </w:pPr>
            <w:r w:rsidRPr="00D85026">
              <w:rPr>
                <w:sz w:val="22"/>
                <w:szCs w:val="22"/>
              </w:rPr>
              <w:t>Level</w:t>
            </w:r>
          </w:p>
        </w:tc>
        <w:tc>
          <w:tcPr>
            <w:tcW w:w="23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7B23" w:rsidRPr="00D85026" w:rsidRDefault="00497B23" w:rsidP="00CE4517">
            <w:pPr>
              <w:pStyle w:val="NormalWeb"/>
              <w:rPr>
                <w:sz w:val="22"/>
                <w:szCs w:val="22"/>
              </w:rPr>
            </w:pPr>
            <w:r w:rsidRPr="00D85026">
              <w:rPr>
                <w:sz w:val="22"/>
                <w:szCs w:val="22"/>
              </w:rPr>
              <w:t>On staff as of Dec 2010</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7B23" w:rsidRPr="00D85026" w:rsidRDefault="00497B23" w:rsidP="00CE4517">
            <w:pPr>
              <w:pStyle w:val="NormalWeb"/>
              <w:rPr>
                <w:sz w:val="22"/>
                <w:szCs w:val="22"/>
              </w:rPr>
            </w:pPr>
            <w:r w:rsidRPr="00D85026">
              <w:rPr>
                <w:sz w:val="22"/>
                <w:szCs w:val="22"/>
              </w:rPr>
              <w:t>Multi-Lingual</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7B23" w:rsidRPr="00D85026" w:rsidRDefault="00497B23" w:rsidP="00CE4517">
            <w:pPr>
              <w:pStyle w:val="NormalWeb"/>
              <w:rPr>
                <w:sz w:val="22"/>
                <w:szCs w:val="22"/>
              </w:rPr>
            </w:pPr>
            <w:r w:rsidRPr="00D85026">
              <w:rPr>
                <w:sz w:val="22"/>
                <w:szCs w:val="22"/>
              </w:rPr>
              <w:t>On staff as of Aug 2013</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7B23" w:rsidRPr="00D85026" w:rsidRDefault="00497B23" w:rsidP="00CE4517">
            <w:pPr>
              <w:pStyle w:val="NormalWeb"/>
              <w:rPr>
                <w:sz w:val="22"/>
                <w:szCs w:val="22"/>
              </w:rPr>
            </w:pPr>
            <w:r w:rsidRPr="00D85026">
              <w:rPr>
                <w:sz w:val="22"/>
                <w:szCs w:val="22"/>
              </w:rPr>
              <w:t>Multi-Lingual</w:t>
            </w:r>
          </w:p>
        </w:tc>
      </w:tr>
      <w:tr w:rsidR="00497B23" w:rsidRPr="00D85026" w:rsidTr="00CE4517">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B23" w:rsidRPr="00D85026" w:rsidRDefault="00497B23" w:rsidP="00CE4517">
            <w:pPr>
              <w:pStyle w:val="NormalWeb"/>
              <w:rPr>
                <w:sz w:val="22"/>
                <w:szCs w:val="22"/>
              </w:rPr>
            </w:pPr>
            <w:r w:rsidRPr="00D85026">
              <w:rPr>
                <w:sz w:val="22"/>
                <w:szCs w:val="22"/>
              </w:rPr>
              <w:t>Executive</w:t>
            </w:r>
          </w:p>
        </w:tc>
        <w:tc>
          <w:tcPr>
            <w:tcW w:w="2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7B23" w:rsidRPr="00D85026" w:rsidRDefault="00497B23" w:rsidP="00CE4517">
            <w:pPr>
              <w:pStyle w:val="NormalWeb"/>
              <w:rPr>
                <w:sz w:val="22"/>
                <w:szCs w:val="22"/>
              </w:rPr>
            </w:pPr>
            <w:r w:rsidRPr="00D85026">
              <w:rPr>
                <w:sz w:val="22"/>
                <w:szCs w:val="22"/>
              </w:rPr>
              <w:t>8</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7B23" w:rsidRPr="00D85026" w:rsidRDefault="00497B23" w:rsidP="00CE4517">
            <w:pPr>
              <w:pStyle w:val="NormalWeb"/>
              <w:rPr>
                <w:sz w:val="22"/>
                <w:szCs w:val="22"/>
              </w:rPr>
            </w:pPr>
            <w:r w:rsidRPr="00D85026">
              <w:rPr>
                <w:sz w:val="22"/>
                <w:szCs w:val="22"/>
              </w:rPr>
              <w:t>7</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7B23" w:rsidRPr="00D85026" w:rsidRDefault="00497B23" w:rsidP="00CE4517">
            <w:pPr>
              <w:pStyle w:val="NormalWeb"/>
              <w:rPr>
                <w:sz w:val="22"/>
                <w:szCs w:val="22"/>
              </w:rPr>
            </w:pPr>
            <w:r w:rsidRPr="00D85026">
              <w:rPr>
                <w:sz w:val="22"/>
                <w:szCs w:val="22"/>
              </w:rPr>
              <w:t>9</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7B23" w:rsidRPr="00D85026" w:rsidRDefault="00497B23" w:rsidP="00CE4517">
            <w:pPr>
              <w:pStyle w:val="NormalWeb"/>
              <w:rPr>
                <w:sz w:val="22"/>
                <w:szCs w:val="22"/>
              </w:rPr>
            </w:pPr>
            <w:r w:rsidRPr="00D85026">
              <w:rPr>
                <w:sz w:val="22"/>
                <w:szCs w:val="22"/>
              </w:rPr>
              <w:t>8</w:t>
            </w:r>
          </w:p>
        </w:tc>
      </w:tr>
      <w:tr w:rsidR="00497B23" w:rsidRPr="00D85026" w:rsidTr="00CE4517">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B23" w:rsidRPr="00D85026" w:rsidRDefault="00497B23" w:rsidP="00CE4517">
            <w:pPr>
              <w:pStyle w:val="NormalWeb"/>
              <w:rPr>
                <w:sz w:val="22"/>
                <w:szCs w:val="22"/>
              </w:rPr>
            </w:pPr>
            <w:r w:rsidRPr="00D85026">
              <w:rPr>
                <w:sz w:val="22"/>
                <w:szCs w:val="22"/>
              </w:rPr>
              <w:t xml:space="preserve">Senior </w:t>
            </w:r>
            <w:proofErr w:type="spellStart"/>
            <w:r w:rsidRPr="00D85026">
              <w:rPr>
                <w:sz w:val="22"/>
                <w:szCs w:val="22"/>
              </w:rPr>
              <w:t>Mgmt</w:t>
            </w:r>
            <w:proofErr w:type="spellEnd"/>
          </w:p>
        </w:tc>
        <w:tc>
          <w:tcPr>
            <w:tcW w:w="2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7B23" w:rsidRPr="00D85026" w:rsidRDefault="00497B23" w:rsidP="00CE4517">
            <w:pPr>
              <w:pStyle w:val="NormalWeb"/>
              <w:rPr>
                <w:sz w:val="22"/>
                <w:szCs w:val="22"/>
              </w:rPr>
            </w:pPr>
            <w:r w:rsidRPr="00D85026">
              <w:rPr>
                <w:sz w:val="22"/>
                <w:szCs w:val="22"/>
              </w:rPr>
              <w:t>30</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7B23" w:rsidRPr="00D85026" w:rsidRDefault="00497B23" w:rsidP="00CE4517">
            <w:pPr>
              <w:pStyle w:val="NormalWeb"/>
              <w:rPr>
                <w:sz w:val="22"/>
                <w:szCs w:val="22"/>
              </w:rPr>
            </w:pPr>
            <w:r w:rsidRPr="00D85026">
              <w:rPr>
                <w:sz w:val="22"/>
                <w:szCs w:val="22"/>
              </w:rPr>
              <w:t>21</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7B23" w:rsidRPr="00D85026" w:rsidRDefault="00497B23" w:rsidP="00CE4517">
            <w:pPr>
              <w:pStyle w:val="NormalWeb"/>
              <w:rPr>
                <w:sz w:val="22"/>
                <w:szCs w:val="22"/>
              </w:rPr>
            </w:pPr>
            <w:r w:rsidRPr="00D85026">
              <w:rPr>
                <w:sz w:val="22"/>
                <w:szCs w:val="22"/>
              </w:rPr>
              <w:t>42</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7B23" w:rsidRPr="00D85026" w:rsidRDefault="00497B23" w:rsidP="00CE4517">
            <w:pPr>
              <w:pStyle w:val="NormalWeb"/>
              <w:rPr>
                <w:sz w:val="22"/>
                <w:szCs w:val="22"/>
              </w:rPr>
            </w:pPr>
            <w:r w:rsidRPr="00D85026">
              <w:rPr>
                <w:sz w:val="22"/>
                <w:szCs w:val="22"/>
              </w:rPr>
              <w:t>31</w:t>
            </w:r>
          </w:p>
        </w:tc>
      </w:tr>
    </w:tbl>
    <w:p w:rsidR="00497B23" w:rsidRDefault="00497B23" w:rsidP="00497B23">
      <w:pPr>
        <w:pStyle w:val="NormalWeb"/>
        <w:rPr>
          <w:sz w:val="22"/>
          <w:szCs w:val="22"/>
        </w:rPr>
      </w:pPr>
      <w:r>
        <w:rPr>
          <w:sz w:val="22"/>
          <w:szCs w:val="22"/>
        </w:rPr>
        <w:t>No information was provided on any ongoing training to ICANN staff at any level in enhancing multi-lingual skills.</w:t>
      </w:r>
    </w:p>
    <w:p w:rsidR="000C2EDB" w:rsidRPr="0004061C" w:rsidRDefault="000C2EDB" w:rsidP="00903525">
      <w:pPr>
        <w:pStyle w:val="Listeafsnit"/>
        <w:ind w:left="0"/>
        <w:rPr>
          <w:rFonts w:ascii="Times New Roman" w:hAnsi="Times New Roman" w:cs="Times New Roman"/>
        </w:rPr>
      </w:pPr>
    </w:p>
    <w:p w:rsidR="000733B2" w:rsidRDefault="0003003F" w:rsidP="00903525">
      <w:pPr>
        <w:pStyle w:val="Listeafsnit"/>
        <w:widowControl w:val="0"/>
        <w:numPr>
          <w:ilvl w:val="0"/>
          <w:numId w:val="1"/>
        </w:numPr>
        <w:autoSpaceDE w:val="0"/>
        <w:autoSpaceDN w:val="0"/>
        <w:adjustRightInd w:val="0"/>
        <w:spacing w:after="240"/>
        <w:ind w:left="360"/>
        <w:rPr>
          <w:rFonts w:ascii="Times New Roman" w:hAnsi="Times New Roman" w:cs="Times New Roman"/>
        </w:rPr>
      </w:pPr>
      <w:r w:rsidRPr="0004061C">
        <w:rPr>
          <w:rFonts w:ascii="Times New Roman" w:hAnsi="Times New Roman" w:cs="Times New Roman"/>
        </w:rPr>
        <w:t>Summary of c</w:t>
      </w:r>
      <w:r w:rsidR="000733B2" w:rsidRPr="0004061C">
        <w:rPr>
          <w:rFonts w:ascii="Times New Roman" w:hAnsi="Times New Roman" w:cs="Times New Roman"/>
        </w:rPr>
        <w:t>ommunity input on implementation, including effectiveness</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1232"/>
        <w:gridCol w:w="2035"/>
        <w:gridCol w:w="2024"/>
        <w:gridCol w:w="2000"/>
        <w:gridCol w:w="1928"/>
      </w:tblGrid>
      <w:tr w:rsidR="00497B23" w:rsidRPr="001A625C" w:rsidTr="00CE4517">
        <w:tc>
          <w:tcPr>
            <w:tcW w:w="1401" w:type="dxa"/>
          </w:tcPr>
          <w:p w:rsidR="00497B23" w:rsidRPr="001A625C" w:rsidRDefault="00497B23" w:rsidP="00CE4517">
            <w:pPr>
              <w:rPr>
                <w:lang w:val="en-GB"/>
              </w:rPr>
            </w:pPr>
            <w:r w:rsidRPr="001A625C">
              <w:rPr>
                <w:lang w:val="en-GB"/>
              </w:rPr>
              <w:t>Document</w:t>
            </w:r>
          </w:p>
        </w:tc>
        <w:tc>
          <w:tcPr>
            <w:tcW w:w="1232" w:type="dxa"/>
          </w:tcPr>
          <w:p w:rsidR="00497B23" w:rsidRPr="001A625C" w:rsidRDefault="00497B23" w:rsidP="00CE4517">
            <w:pPr>
              <w:rPr>
                <w:lang w:val="en-GB"/>
              </w:rPr>
            </w:pPr>
            <w:r w:rsidRPr="001A625C">
              <w:rPr>
                <w:lang w:val="en-GB"/>
              </w:rPr>
              <w:t>Section (Part)</w:t>
            </w:r>
          </w:p>
        </w:tc>
        <w:tc>
          <w:tcPr>
            <w:tcW w:w="2035" w:type="dxa"/>
          </w:tcPr>
          <w:p w:rsidR="00497B23" w:rsidRPr="001A625C" w:rsidRDefault="00497B23" w:rsidP="00CE4517">
            <w:pPr>
              <w:rPr>
                <w:lang w:val="en-GB"/>
              </w:rPr>
            </w:pPr>
            <w:r w:rsidRPr="001A625C">
              <w:rPr>
                <w:lang w:val="en-GB"/>
              </w:rPr>
              <w:t>Wording</w:t>
            </w:r>
          </w:p>
        </w:tc>
        <w:tc>
          <w:tcPr>
            <w:tcW w:w="2024" w:type="dxa"/>
          </w:tcPr>
          <w:p w:rsidR="00497B23" w:rsidRPr="001A625C" w:rsidRDefault="00497B23" w:rsidP="00CE4517">
            <w:pPr>
              <w:rPr>
                <w:lang w:val="en-GB"/>
              </w:rPr>
            </w:pPr>
            <w:r w:rsidRPr="001A625C">
              <w:rPr>
                <w:lang w:val="en-GB"/>
              </w:rPr>
              <w:t>Actual translation</w:t>
            </w:r>
          </w:p>
        </w:tc>
        <w:tc>
          <w:tcPr>
            <w:tcW w:w="2000" w:type="dxa"/>
          </w:tcPr>
          <w:p w:rsidR="00497B23" w:rsidRPr="001A625C" w:rsidRDefault="00497B23" w:rsidP="00CE4517">
            <w:pPr>
              <w:rPr>
                <w:lang w:val="en-GB"/>
              </w:rPr>
            </w:pPr>
            <w:r w:rsidRPr="001A625C">
              <w:rPr>
                <w:lang w:val="en-GB"/>
              </w:rPr>
              <w:t>What it can mean</w:t>
            </w:r>
          </w:p>
        </w:tc>
        <w:tc>
          <w:tcPr>
            <w:tcW w:w="1928" w:type="dxa"/>
          </w:tcPr>
          <w:p w:rsidR="00497B23" w:rsidRPr="001A625C" w:rsidRDefault="00497B23" w:rsidP="00CE4517">
            <w:pPr>
              <w:rPr>
                <w:lang w:val="en-GB"/>
              </w:rPr>
            </w:pPr>
            <w:r w:rsidRPr="001A625C">
              <w:rPr>
                <w:lang w:val="en-GB"/>
              </w:rPr>
              <w:t>Correct translation</w:t>
            </w:r>
          </w:p>
        </w:tc>
      </w:tr>
      <w:tr w:rsidR="00497B23" w:rsidRPr="001A625C" w:rsidTr="00CE4517">
        <w:tc>
          <w:tcPr>
            <w:tcW w:w="1401" w:type="dxa"/>
          </w:tcPr>
          <w:p w:rsidR="00497B23" w:rsidRPr="001A625C" w:rsidRDefault="00497B23" w:rsidP="00CE4517">
            <w:pPr>
              <w:rPr>
                <w:lang w:val="en-GB"/>
              </w:rPr>
            </w:pPr>
            <w:r w:rsidRPr="001A625C">
              <w:rPr>
                <w:i/>
                <w:lang w:val="en-GB"/>
              </w:rPr>
              <w:t>A Next Generation Registration Directory Service</w:t>
            </w:r>
            <w:r w:rsidRPr="001A625C">
              <w:rPr>
                <w:lang w:val="en-GB"/>
              </w:rPr>
              <w:t xml:space="preserve"> (2013)</w:t>
            </w:r>
          </w:p>
        </w:tc>
        <w:tc>
          <w:tcPr>
            <w:tcW w:w="1232" w:type="dxa"/>
          </w:tcPr>
          <w:p w:rsidR="00497B23" w:rsidRPr="001A625C" w:rsidRDefault="00497B23" w:rsidP="00CE4517">
            <w:pPr>
              <w:rPr>
                <w:lang w:val="en-GB"/>
              </w:rPr>
            </w:pPr>
            <w:r w:rsidRPr="001A625C">
              <w:rPr>
                <w:lang w:val="en-GB"/>
              </w:rPr>
              <w:t xml:space="preserve">Status of this </w:t>
            </w:r>
            <w:r w:rsidRPr="001A625C">
              <w:rPr>
                <w:b/>
                <w:lang w:val="en-GB"/>
              </w:rPr>
              <w:t>document</w:t>
            </w:r>
          </w:p>
        </w:tc>
        <w:tc>
          <w:tcPr>
            <w:tcW w:w="2035" w:type="dxa"/>
          </w:tcPr>
          <w:p w:rsidR="00497B23" w:rsidRPr="001A625C" w:rsidRDefault="00497B23" w:rsidP="00CE4517">
            <w:pPr>
              <w:rPr>
                <w:b/>
                <w:lang w:val="en-GB"/>
              </w:rPr>
            </w:pPr>
            <w:r w:rsidRPr="001A625C">
              <w:rPr>
                <w:b/>
                <w:lang w:val="en-GB"/>
              </w:rPr>
              <w:t xml:space="preserve">This </w:t>
            </w:r>
            <w:r w:rsidRPr="001A625C">
              <w:rPr>
                <w:b/>
                <w:color w:val="FF0000"/>
                <w:lang w:val="en-GB"/>
              </w:rPr>
              <w:t>is</w:t>
            </w:r>
            <w:r w:rsidRPr="001A625C">
              <w:rPr>
                <w:b/>
                <w:lang w:val="en-GB"/>
              </w:rPr>
              <w:t xml:space="preserve"> an </w:t>
            </w:r>
            <w:r w:rsidRPr="001A625C">
              <w:rPr>
                <w:b/>
                <w:color w:val="FF0000"/>
                <w:lang w:val="en-GB"/>
              </w:rPr>
              <w:t>initial</w:t>
            </w:r>
            <w:r w:rsidRPr="001A625C">
              <w:rPr>
                <w:b/>
                <w:lang w:val="en-GB"/>
              </w:rPr>
              <w:t xml:space="preserve"> report from the Expert Working Group on </w:t>
            </w:r>
            <w:proofErr w:type="spellStart"/>
            <w:r w:rsidRPr="001A625C">
              <w:rPr>
                <w:b/>
                <w:lang w:val="en-GB"/>
              </w:rPr>
              <w:t>gTLD</w:t>
            </w:r>
            <w:proofErr w:type="spellEnd"/>
            <w:r w:rsidRPr="001A625C">
              <w:rPr>
                <w:b/>
                <w:lang w:val="en-GB"/>
              </w:rPr>
              <w:t xml:space="preserve"> Directory Services (EWG) providing </w:t>
            </w:r>
            <w:r w:rsidRPr="001A625C">
              <w:rPr>
                <w:b/>
                <w:color w:val="FF0000"/>
                <w:lang w:val="en-GB"/>
              </w:rPr>
              <w:t xml:space="preserve">draft </w:t>
            </w:r>
            <w:r w:rsidRPr="001A625C">
              <w:rPr>
                <w:b/>
                <w:lang w:val="en-GB"/>
              </w:rPr>
              <w:t xml:space="preserve">recommendations for a </w:t>
            </w:r>
            <w:r w:rsidRPr="001A625C">
              <w:rPr>
                <w:b/>
                <w:color w:val="FF0000"/>
                <w:lang w:val="en-GB"/>
              </w:rPr>
              <w:t>next generation</w:t>
            </w:r>
            <w:r w:rsidRPr="001A625C">
              <w:rPr>
                <w:b/>
                <w:lang w:val="en-GB"/>
              </w:rPr>
              <w:t xml:space="preserve"> </w:t>
            </w:r>
            <w:proofErr w:type="spellStart"/>
            <w:r w:rsidRPr="001A625C">
              <w:rPr>
                <w:b/>
                <w:lang w:val="en-GB"/>
              </w:rPr>
              <w:t>gTLD</w:t>
            </w:r>
            <w:proofErr w:type="spellEnd"/>
            <w:r w:rsidRPr="001A625C">
              <w:rPr>
                <w:b/>
                <w:lang w:val="en-GB"/>
              </w:rPr>
              <w:t xml:space="preserve"> </w:t>
            </w:r>
            <w:r w:rsidRPr="001A625C">
              <w:rPr>
                <w:b/>
                <w:color w:val="FF0000"/>
                <w:lang w:val="en-GB"/>
              </w:rPr>
              <w:t xml:space="preserve">Registration Directory Service </w:t>
            </w:r>
            <w:r w:rsidRPr="001A625C">
              <w:rPr>
                <w:b/>
                <w:lang w:val="en-GB"/>
              </w:rPr>
              <w:t>(the “RDS”) to replace the current WHOIS system</w:t>
            </w:r>
          </w:p>
        </w:tc>
        <w:tc>
          <w:tcPr>
            <w:tcW w:w="2024" w:type="dxa"/>
          </w:tcPr>
          <w:p w:rsidR="00497B23" w:rsidRPr="001A625C" w:rsidRDefault="00497B23" w:rsidP="00CE4517">
            <w:pPr>
              <w:rPr>
                <w:lang w:val="ru-RU"/>
              </w:rPr>
            </w:pPr>
            <w:r w:rsidRPr="001A625C">
              <w:rPr>
                <w:lang w:val="ru-RU"/>
              </w:rPr>
              <w:t xml:space="preserve">Настоящий документ </w:t>
            </w:r>
            <w:r w:rsidRPr="001A625C">
              <w:rPr>
                <w:b/>
                <w:i/>
                <w:color w:val="FF0000"/>
                <w:lang w:val="ru-RU"/>
              </w:rPr>
              <w:t>представляет собой</w:t>
            </w:r>
            <w:r w:rsidRPr="001A625C">
              <w:rPr>
                <w:color w:val="FF0000"/>
                <w:lang w:val="ru-RU"/>
              </w:rPr>
              <w:t xml:space="preserve"> </w:t>
            </w:r>
            <w:r w:rsidRPr="001A625C">
              <w:rPr>
                <w:lang w:val="ru-RU"/>
              </w:rPr>
              <w:t xml:space="preserve">отчёт экспертной рабочей группы (ЭРГ) с рекомендациями по замене существующей системы </w:t>
            </w:r>
            <w:r w:rsidRPr="001A625C">
              <w:rPr>
                <w:lang w:val="en-GB"/>
              </w:rPr>
              <w:t>WHOIS</w:t>
            </w:r>
            <w:r w:rsidRPr="001A625C">
              <w:rPr>
                <w:lang w:val="ru-RU"/>
              </w:rPr>
              <w:t xml:space="preserve"> на </w:t>
            </w:r>
            <w:r w:rsidRPr="001A625C">
              <w:rPr>
                <w:b/>
                <w:i/>
                <w:color w:val="FF0000"/>
                <w:lang w:val="ru-RU"/>
              </w:rPr>
              <w:t>службу каталогов регистрации рДВУ («СКР») следующего поколения</w:t>
            </w:r>
          </w:p>
        </w:tc>
        <w:tc>
          <w:tcPr>
            <w:tcW w:w="2000" w:type="dxa"/>
          </w:tcPr>
          <w:p w:rsidR="00497B23" w:rsidRPr="001A625C" w:rsidRDefault="00497B23" w:rsidP="00CE4517">
            <w:pPr>
              <w:rPr>
                <w:lang w:val="en-GB"/>
              </w:rPr>
            </w:pPr>
            <w:r w:rsidRPr="001A625C">
              <w:rPr>
                <w:lang w:val="en-GB"/>
              </w:rPr>
              <w:t>This is a [</w:t>
            </w:r>
            <w:r w:rsidRPr="001A625C">
              <w:rPr>
                <w:i/>
                <w:color w:val="FF0000"/>
                <w:lang w:val="en-GB"/>
              </w:rPr>
              <w:t>initial</w:t>
            </w:r>
            <w:r w:rsidRPr="001A625C">
              <w:rPr>
                <w:color w:val="FF0000"/>
                <w:lang w:val="en-GB"/>
              </w:rPr>
              <w:t xml:space="preserve"> -missing</w:t>
            </w:r>
            <w:r w:rsidRPr="001A625C">
              <w:rPr>
                <w:lang w:val="en-GB"/>
              </w:rPr>
              <w:t>] report of the Expert Working Group on [</w:t>
            </w:r>
            <w:r w:rsidRPr="001A625C">
              <w:rPr>
                <w:i/>
                <w:color w:val="FF0000"/>
                <w:lang w:val="en-GB"/>
              </w:rPr>
              <w:t>draft</w:t>
            </w:r>
            <w:r w:rsidRPr="001A625C">
              <w:rPr>
                <w:color w:val="FF0000"/>
                <w:lang w:val="en-GB"/>
              </w:rPr>
              <w:t xml:space="preserve"> - missing</w:t>
            </w:r>
            <w:r w:rsidRPr="001A625C">
              <w:rPr>
                <w:lang w:val="en-GB"/>
              </w:rPr>
              <w:t xml:space="preserve">] recommendations to replace the existing WHOIS system with </w:t>
            </w:r>
            <w:r w:rsidRPr="001A625C">
              <w:rPr>
                <w:i/>
                <w:color w:val="FF0000"/>
                <w:lang w:val="en-GB"/>
              </w:rPr>
              <w:t>the office (service) of the catalogues of registration</w:t>
            </w:r>
            <w:r w:rsidRPr="001A625C">
              <w:rPr>
                <w:color w:val="FF0000"/>
                <w:lang w:val="en-GB"/>
              </w:rPr>
              <w:t xml:space="preserve"> </w:t>
            </w:r>
            <w:r w:rsidRPr="001A625C">
              <w:rPr>
                <w:lang w:val="en-GB"/>
              </w:rPr>
              <w:t xml:space="preserve">of the </w:t>
            </w:r>
            <w:r w:rsidRPr="001A625C">
              <w:rPr>
                <w:i/>
                <w:color w:val="FF0000"/>
                <w:lang w:val="en-GB"/>
              </w:rPr>
              <w:t>generic</w:t>
            </w:r>
            <w:r w:rsidRPr="001A625C">
              <w:rPr>
                <w:lang w:val="en-GB"/>
              </w:rPr>
              <w:t xml:space="preserve"> Domains of the Top Level (</w:t>
            </w:r>
            <w:r w:rsidRPr="001A625C">
              <w:rPr>
                <w:color w:val="FF0000"/>
                <w:lang w:val="en-GB"/>
              </w:rPr>
              <w:t>abbreviation never used in Russian</w:t>
            </w:r>
            <w:r w:rsidRPr="001A625C">
              <w:rPr>
                <w:lang w:val="en-GB"/>
              </w:rPr>
              <w:t xml:space="preserve">) of the </w:t>
            </w:r>
            <w:r w:rsidRPr="001A625C">
              <w:rPr>
                <w:i/>
                <w:color w:val="FF0000"/>
                <w:lang w:val="en-GB"/>
              </w:rPr>
              <w:t xml:space="preserve">following </w:t>
            </w:r>
            <w:r w:rsidRPr="001A625C">
              <w:rPr>
                <w:lang w:val="en-GB"/>
              </w:rPr>
              <w:t xml:space="preserve">generation </w:t>
            </w:r>
          </w:p>
        </w:tc>
        <w:tc>
          <w:tcPr>
            <w:tcW w:w="1928" w:type="dxa"/>
          </w:tcPr>
          <w:p w:rsidR="00497B23" w:rsidRPr="001A625C" w:rsidRDefault="00497B23" w:rsidP="00CE4517">
            <w:pPr>
              <w:rPr>
                <w:b/>
                <w:lang w:val="ru-RU"/>
              </w:rPr>
            </w:pPr>
            <w:r w:rsidRPr="001A625C">
              <w:rPr>
                <w:b/>
                <w:lang w:val="ru-RU"/>
              </w:rPr>
              <w:t xml:space="preserve">Настоящий документ </w:t>
            </w:r>
            <w:r w:rsidRPr="001A625C">
              <w:rPr>
                <w:b/>
                <w:color w:val="FF0000"/>
                <w:lang w:val="ru-RU"/>
              </w:rPr>
              <w:t>является</w:t>
            </w:r>
            <w:r w:rsidRPr="001A625C">
              <w:rPr>
                <w:b/>
                <w:lang w:val="ru-RU"/>
              </w:rPr>
              <w:t xml:space="preserve"> </w:t>
            </w:r>
            <w:r w:rsidRPr="001A625C">
              <w:rPr>
                <w:b/>
                <w:color w:val="FF0000"/>
                <w:lang w:val="ru-RU"/>
              </w:rPr>
              <w:t xml:space="preserve">предварительным </w:t>
            </w:r>
            <w:r w:rsidRPr="001A625C">
              <w:rPr>
                <w:b/>
                <w:lang w:val="ru-RU"/>
              </w:rPr>
              <w:t xml:space="preserve">отчётом Экспертной рабочей группы (ЭРГ) с рекомендациями по замене системы </w:t>
            </w:r>
            <w:r w:rsidRPr="001A625C">
              <w:rPr>
                <w:b/>
                <w:lang w:val="en-GB"/>
              </w:rPr>
              <w:t>WHOIS</w:t>
            </w:r>
            <w:r w:rsidRPr="001A625C">
              <w:rPr>
                <w:b/>
                <w:lang w:val="ru-RU"/>
              </w:rPr>
              <w:t xml:space="preserve"> </w:t>
            </w:r>
            <w:r w:rsidRPr="001A625C">
              <w:rPr>
                <w:b/>
                <w:color w:val="FF0000"/>
                <w:lang w:val="ru-RU"/>
              </w:rPr>
              <w:t xml:space="preserve">справочным сервисом нового поколения </w:t>
            </w:r>
            <w:r w:rsidRPr="001A625C">
              <w:rPr>
                <w:b/>
                <w:lang w:val="ru-RU"/>
              </w:rPr>
              <w:t xml:space="preserve">(«ССНП») по </w:t>
            </w:r>
            <w:r w:rsidRPr="001A625C">
              <w:rPr>
                <w:b/>
                <w:color w:val="FF0000"/>
                <w:lang w:val="ru-RU"/>
              </w:rPr>
              <w:t>регистрационным данным доменов общего пользования</w:t>
            </w:r>
          </w:p>
        </w:tc>
      </w:tr>
      <w:tr w:rsidR="00497B23" w:rsidRPr="001A625C" w:rsidTr="00CE4517">
        <w:tc>
          <w:tcPr>
            <w:tcW w:w="1401" w:type="dxa"/>
          </w:tcPr>
          <w:p w:rsidR="00497B23" w:rsidRPr="001A625C" w:rsidRDefault="00497B23" w:rsidP="00CE4517">
            <w:pPr>
              <w:rPr>
                <w:lang w:val="en-GB"/>
              </w:rPr>
            </w:pPr>
            <w:r w:rsidRPr="001A625C">
              <w:rPr>
                <w:i/>
                <w:lang w:val="en-GB"/>
              </w:rPr>
              <w:t>WHOIS Policy Review Team Final Report</w:t>
            </w:r>
            <w:r w:rsidRPr="001A625C">
              <w:rPr>
                <w:lang w:val="en-GB"/>
              </w:rPr>
              <w:t xml:space="preserve"> (2012)</w:t>
            </w:r>
          </w:p>
        </w:tc>
        <w:tc>
          <w:tcPr>
            <w:tcW w:w="1232" w:type="dxa"/>
          </w:tcPr>
          <w:p w:rsidR="00497B23" w:rsidRPr="001A625C" w:rsidRDefault="00497B23" w:rsidP="00CE4517">
            <w:pPr>
              <w:rPr>
                <w:lang w:val="en-GB"/>
              </w:rPr>
            </w:pPr>
            <w:r w:rsidRPr="001A625C">
              <w:rPr>
                <w:lang w:val="en-GB"/>
              </w:rPr>
              <w:t>Title</w:t>
            </w:r>
          </w:p>
        </w:tc>
        <w:tc>
          <w:tcPr>
            <w:tcW w:w="2035" w:type="dxa"/>
          </w:tcPr>
          <w:p w:rsidR="00497B23" w:rsidRPr="001A625C" w:rsidRDefault="00497B23" w:rsidP="00CE4517">
            <w:pPr>
              <w:rPr>
                <w:b/>
                <w:lang w:val="en-GB"/>
              </w:rPr>
            </w:pPr>
            <w:r w:rsidRPr="001A625C">
              <w:rPr>
                <w:b/>
                <w:lang w:val="en-GB"/>
              </w:rPr>
              <w:t xml:space="preserve">WHOIS Policy </w:t>
            </w:r>
            <w:r w:rsidRPr="001A625C">
              <w:rPr>
                <w:b/>
                <w:color w:val="FF0000"/>
                <w:lang w:val="en-GB"/>
              </w:rPr>
              <w:t xml:space="preserve">Review </w:t>
            </w:r>
            <w:r w:rsidRPr="001A625C">
              <w:rPr>
                <w:b/>
                <w:lang w:val="en-GB"/>
              </w:rPr>
              <w:t>Team // Final Report</w:t>
            </w:r>
          </w:p>
        </w:tc>
        <w:tc>
          <w:tcPr>
            <w:tcW w:w="2024" w:type="dxa"/>
          </w:tcPr>
          <w:p w:rsidR="00497B23" w:rsidRPr="001A625C" w:rsidRDefault="00497B23" w:rsidP="00CE4517">
            <w:pPr>
              <w:rPr>
                <w:lang w:val="ru-RU"/>
              </w:rPr>
            </w:pPr>
            <w:r w:rsidRPr="001A625C">
              <w:rPr>
                <w:lang w:val="ru-RU"/>
              </w:rPr>
              <w:t xml:space="preserve">Группа </w:t>
            </w:r>
            <w:r w:rsidRPr="001A625C">
              <w:rPr>
                <w:b/>
                <w:i/>
                <w:color w:val="FF0000"/>
                <w:lang w:val="ru-RU"/>
              </w:rPr>
              <w:t>проверки</w:t>
            </w:r>
            <w:r w:rsidRPr="001A625C">
              <w:rPr>
                <w:b/>
                <w:lang w:val="ru-RU"/>
              </w:rPr>
              <w:t xml:space="preserve"> </w:t>
            </w:r>
            <w:r w:rsidRPr="001A625C">
              <w:rPr>
                <w:lang w:val="ru-RU"/>
              </w:rPr>
              <w:t xml:space="preserve">политики </w:t>
            </w:r>
            <w:r w:rsidRPr="001A625C">
              <w:rPr>
                <w:lang w:val="en-GB"/>
              </w:rPr>
              <w:t>WHOIS</w:t>
            </w:r>
            <w:r w:rsidRPr="001A625C">
              <w:rPr>
                <w:lang w:val="ru-RU"/>
              </w:rPr>
              <w:t xml:space="preserve"> // Итоговый отчёт</w:t>
            </w:r>
          </w:p>
        </w:tc>
        <w:tc>
          <w:tcPr>
            <w:tcW w:w="2000" w:type="dxa"/>
          </w:tcPr>
          <w:p w:rsidR="00497B23" w:rsidRPr="001A625C" w:rsidRDefault="00497B23" w:rsidP="00CE4517">
            <w:pPr>
              <w:rPr>
                <w:lang w:val="en-GB"/>
              </w:rPr>
            </w:pPr>
            <w:r w:rsidRPr="001A625C">
              <w:rPr>
                <w:lang w:val="en-GB"/>
              </w:rPr>
              <w:t xml:space="preserve">The Team on </w:t>
            </w:r>
            <w:r w:rsidRPr="001A625C">
              <w:rPr>
                <w:i/>
                <w:color w:val="FF0000"/>
                <w:lang w:val="en-GB"/>
              </w:rPr>
              <w:t>Checking</w:t>
            </w:r>
            <w:r w:rsidRPr="001A625C">
              <w:rPr>
                <w:lang w:val="en-GB"/>
              </w:rPr>
              <w:t xml:space="preserve"> WHOIS Policy // Final Report</w:t>
            </w:r>
          </w:p>
        </w:tc>
        <w:tc>
          <w:tcPr>
            <w:tcW w:w="1928" w:type="dxa"/>
          </w:tcPr>
          <w:p w:rsidR="00497B23" w:rsidRPr="001A625C" w:rsidRDefault="00497B23" w:rsidP="00CE4517">
            <w:pPr>
              <w:rPr>
                <w:b/>
                <w:lang w:val="ru-RU"/>
              </w:rPr>
            </w:pPr>
            <w:r w:rsidRPr="001A625C">
              <w:rPr>
                <w:b/>
                <w:lang w:val="ru-RU"/>
              </w:rPr>
              <w:t xml:space="preserve">Группа по </w:t>
            </w:r>
            <w:r w:rsidRPr="001A625C">
              <w:rPr>
                <w:b/>
                <w:color w:val="FF0000"/>
                <w:lang w:val="ru-RU"/>
              </w:rPr>
              <w:t>обзору</w:t>
            </w:r>
            <w:r w:rsidRPr="001A625C">
              <w:rPr>
                <w:b/>
                <w:lang w:val="ru-RU"/>
              </w:rPr>
              <w:t xml:space="preserve"> политики </w:t>
            </w:r>
            <w:r w:rsidRPr="001A625C">
              <w:rPr>
                <w:b/>
                <w:lang w:val="en-GB"/>
              </w:rPr>
              <w:t>WHOIS</w:t>
            </w:r>
            <w:r w:rsidRPr="001A625C">
              <w:rPr>
                <w:b/>
                <w:lang w:val="ru-RU"/>
              </w:rPr>
              <w:t xml:space="preserve"> // Итоговый отчёт</w:t>
            </w:r>
          </w:p>
        </w:tc>
      </w:tr>
      <w:tr w:rsidR="00497B23" w:rsidRPr="001A625C" w:rsidTr="00CE4517">
        <w:tc>
          <w:tcPr>
            <w:tcW w:w="1401" w:type="dxa"/>
          </w:tcPr>
          <w:p w:rsidR="00497B23" w:rsidRPr="001A625C" w:rsidRDefault="00497B23" w:rsidP="00CE4517">
            <w:pPr>
              <w:rPr>
                <w:lang w:val="en-GB"/>
              </w:rPr>
            </w:pPr>
            <w:r w:rsidRPr="001A625C">
              <w:rPr>
                <w:lang w:val="en-GB"/>
              </w:rPr>
              <w:lastRenderedPageBreak/>
              <w:t>(</w:t>
            </w:r>
            <w:r w:rsidRPr="001A625C">
              <w:rPr>
                <w:i/>
                <w:lang w:val="en-GB"/>
              </w:rPr>
              <w:t>multiple documents</w:t>
            </w:r>
            <w:r w:rsidRPr="001A625C">
              <w:rPr>
                <w:lang w:val="en-GB"/>
              </w:rPr>
              <w:t>)</w:t>
            </w:r>
          </w:p>
        </w:tc>
        <w:tc>
          <w:tcPr>
            <w:tcW w:w="1232" w:type="dxa"/>
          </w:tcPr>
          <w:p w:rsidR="00497B23" w:rsidRPr="001A625C" w:rsidRDefault="00497B23" w:rsidP="00CE4517">
            <w:pPr>
              <w:rPr>
                <w:lang w:val="ru-RU"/>
              </w:rPr>
            </w:pPr>
          </w:p>
        </w:tc>
        <w:tc>
          <w:tcPr>
            <w:tcW w:w="2035" w:type="dxa"/>
          </w:tcPr>
          <w:p w:rsidR="00497B23" w:rsidRPr="001A625C" w:rsidRDefault="00D636FF" w:rsidP="00CE4517">
            <w:pPr>
              <w:rPr>
                <w:b/>
                <w:color w:val="FF0000"/>
                <w:lang w:val="en-GB"/>
              </w:rPr>
            </w:pPr>
            <w:r w:rsidRPr="001A625C">
              <w:rPr>
                <w:b/>
                <w:color w:val="FF0000"/>
                <w:lang w:val="en-GB"/>
              </w:rPr>
              <w:t>R</w:t>
            </w:r>
            <w:r w:rsidR="00497B23" w:rsidRPr="001A625C">
              <w:rPr>
                <w:b/>
                <w:color w:val="FF0000"/>
                <w:lang w:val="en-GB"/>
              </w:rPr>
              <w:t>egistry</w:t>
            </w:r>
          </w:p>
        </w:tc>
        <w:tc>
          <w:tcPr>
            <w:tcW w:w="2024" w:type="dxa"/>
          </w:tcPr>
          <w:p w:rsidR="00497B23" w:rsidRPr="001A625C" w:rsidRDefault="001847C1" w:rsidP="00CE4517">
            <w:pPr>
              <w:rPr>
                <w:b/>
                <w:i/>
                <w:color w:val="FF0000"/>
                <w:lang w:val="ru-RU"/>
              </w:rPr>
            </w:pPr>
            <w:r w:rsidRPr="001A625C">
              <w:rPr>
                <w:b/>
                <w:i/>
                <w:color w:val="FF0000"/>
                <w:lang w:val="ru-RU"/>
              </w:rPr>
              <w:t>Р</w:t>
            </w:r>
            <w:r w:rsidR="00497B23" w:rsidRPr="001A625C">
              <w:rPr>
                <w:b/>
                <w:i/>
                <w:color w:val="FF0000"/>
                <w:lang w:val="ru-RU"/>
              </w:rPr>
              <w:t>еестр</w:t>
            </w:r>
          </w:p>
        </w:tc>
        <w:tc>
          <w:tcPr>
            <w:tcW w:w="2000" w:type="dxa"/>
          </w:tcPr>
          <w:p w:rsidR="00497B23" w:rsidRPr="001A625C" w:rsidRDefault="00497B23" w:rsidP="00CE4517">
            <w:pPr>
              <w:rPr>
                <w:color w:val="FF0000"/>
                <w:lang w:val="en-GB"/>
              </w:rPr>
            </w:pPr>
            <w:r w:rsidRPr="001A625C">
              <w:rPr>
                <w:color w:val="FF0000"/>
                <w:lang w:val="en-GB"/>
              </w:rPr>
              <w:t>register (list)</w:t>
            </w:r>
          </w:p>
        </w:tc>
        <w:tc>
          <w:tcPr>
            <w:tcW w:w="1928" w:type="dxa"/>
          </w:tcPr>
          <w:p w:rsidR="00497B23" w:rsidRPr="001A625C" w:rsidRDefault="00497B23" w:rsidP="00CE4517">
            <w:pPr>
              <w:rPr>
                <w:b/>
                <w:color w:val="FF0000"/>
                <w:lang w:val="ru-RU"/>
              </w:rPr>
            </w:pPr>
            <w:r w:rsidRPr="001A625C">
              <w:rPr>
                <w:b/>
                <w:color w:val="FF0000"/>
                <w:lang w:val="ru-RU"/>
              </w:rPr>
              <w:t>регистратура</w:t>
            </w:r>
          </w:p>
        </w:tc>
      </w:tr>
      <w:tr w:rsidR="00497B23" w:rsidRPr="001A625C" w:rsidTr="00CE4517">
        <w:tc>
          <w:tcPr>
            <w:tcW w:w="1401" w:type="dxa"/>
          </w:tcPr>
          <w:p w:rsidR="00497B23" w:rsidRPr="001A625C" w:rsidRDefault="00497B23" w:rsidP="00CE4517">
            <w:pPr>
              <w:rPr>
                <w:lang w:val="ru-RU"/>
              </w:rPr>
            </w:pPr>
            <w:r w:rsidRPr="001A625C">
              <w:rPr>
                <w:lang w:val="en-GB"/>
              </w:rPr>
              <w:t>(</w:t>
            </w:r>
            <w:r w:rsidRPr="001A625C">
              <w:rPr>
                <w:i/>
                <w:lang w:val="en-GB"/>
              </w:rPr>
              <w:t>multiple documents</w:t>
            </w:r>
            <w:r w:rsidRPr="001A625C">
              <w:rPr>
                <w:lang w:val="en-GB"/>
              </w:rPr>
              <w:t>)</w:t>
            </w:r>
          </w:p>
        </w:tc>
        <w:tc>
          <w:tcPr>
            <w:tcW w:w="1232" w:type="dxa"/>
          </w:tcPr>
          <w:p w:rsidR="00497B23" w:rsidRPr="001A625C" w:rsidRDefault="00497B23" w:rsidP="00CE4517">
            <w:pPr>
              <w:rPr>
                <w:lang w:val="ru-RU"/>
              </w:rPr>
            </w:pPr>
          </w:p>
        </w:tc>
        <w:tc>
          <w:tcPr>
            <w:tcW w:w="2035" w:type="dxa"/>
          </w:tcPr>
          <w:p w:rsidR="00497B23" w:rsidRPr="001A625C" w:rsidRDefault="00497B23" w:rsidP="00CE4517">
            <w:pPr>
              <w:rPr>
                <w:b/>
                <w:color w:val="FF0000"/>
                <w:lang w:val="en-GB"/>
              </w:rPr>
            </w:pPr>
            <w:r w:rsidRPr="001A625C">
              <w:rPr>
                <w:b/>
                <w:color w:val="FF0000"/>
                <w:lang w:val="en-GB"/>
              </w:rPr>
              <w:t>registrant</w:t>
            </w:r>
          </w:p>
        </w:tc>
        <w:tc>
          <w:tcPr>
            <w:tcW w:w="2024" w:type="dxa"/>
          </w:tcPr>
          <w:p w:rsidR="00497B23" w:rsidRPr="001A625C" w:rsidRDefault="00497B23" w:rsidP="00CE4517">
            <w:pPr>
              <w:rPr>
                <w:b/>
                <w:i/>
                <w:color w:val="FF0000"/>
                <w:lang w:val="ru-RU"/>
              </w:rPr>
            </w:pPr>
            <w:r w:rsidRPr="001A625C">
              <w:rPr>
                <w:b/>
                <w:i/>
                <w:color w:val="FF0000"/>
                <w:lang w:val="ru-RU"/>
              </w:rPr>
              <w:t>владелец  регистрации</w:t>
            </w:r>
          </w:p>
        </w:tc>
        <w:tc>
          <w:tcPr>
            <w:tcW w:w="2000" w:type="dxa"/>
          </w:tcPr>
          <w:p w:rsidR="00497B23" w:rsidRPr="001A625C" w:rsidRDefault="00497B23" w:rsidP="00CE4517">
            <w:pPr>
              <w:rPr>
                <w:color w:val="FF0000"/>
                <w:lang w:val="en-GB"/>
              </w:rPr>
            </w:pPr>
            <w:r w:rsidRPr="001A625C">
              <w:rPr>
                <w:color w:val="FF0000"/>
                <w:lang w:val="en-GB"/>
              </w:rPr>
              <w:t>owner of registration</w:t>
            </w:r>
          </w:p>
        </w:tc>
        <w:tc>
          <w:tcPr>
            <w:tcW w:w="1928" w:type="dxa"/>
          </w:tcPr>
          <w:p w:rsidR="00497B23" w:rsidRPr="001A625C" w:rsidRDefault="00497B23" w:rsidP="00CE4517">
            <w:pPr>
              <w:rPr>
                <w:b/>
                <w:color w:val="FF0000"/>
                <w:lang w:val="ru-RU"/>
              </w:rPr>
            </w:pPr>
            <w:r w:rsidRPr="001A625C">
              <w:rPr>
                <w:b/>
                <w:color w:val="FF0000"/>
                <w:lang w:val="ru-RU"/>
              </w:rPr>
              <w:t>администратор домена</w:t>
            </w:r>
          </w:p>
        </w:tc>
      </w:tr>
      <w:tr w:rsidR="00497B23" w:rsidRPr="001A625C" w:rsidTr="00CE4517">
        <w:tc>
          <w:tcPr>
            <w:tcW w:w="1401" w:type="dxa"/>
          </w:tcPr>
          <w:p w:rsidR="00497B23" w:rsidRPr="001A625C" w:rsidRDefault="00497B23" w:rsidP="00CE4517">
            <w:pPr>
              <w:rPr>
                <w:lang w:val="en-GB"/>
              </w:rPr>
            </w:pPr>
            <w:r w:rsidRPr="001A625C">
              <w:rPr>
                <w:lang w:val="en-GB"/>
              </w:rPr>
              <w:t>(</w:t>
            </w:r>
            <w:r w:rsidRPr="001A625C">
              <w:rPr>
                <w:i/>
                <w:lang w:val="en-GB"/>
              </w:rPr>
              <w:t>multiple documents</w:t>
            </w:r>
            <w:r w:rsidRPr="001A625C">
              <w:rPr>
                <w:lang w:val="en-GB"/>
              </w:rPr>
              <w:t>)</w:t>
            </w:r>
          </w:p>
        </w:tc>
        <w:tc>
          <w:tcPr>
            <w:tcW w:w="1232" w:type="dxa"/>
          </w:tcPr>
          <w:p w:rsidR="00497B23" w:rsidRPr="001A625C" w:rsidRDefault="00497B23" w:rsidP="00CE4517">
            <w:pPr>
              <w:rPr>
                <w:lang w:val="ru-RU"/>
              </w:rPr>
            </w:pPr>
          </w:p>
        </w:tc>
        <w:tc>
          <w:tcPr>
            <w:tcW w:w="2035" w:type="dxa"/>
          </w:tcPr>
          <w:p w:rsidR="00497B23" w:rsidRPr="001A625C" w:rsidRDefault="00497B23" w:rsidP="00CE4517">
            <w:pPr>
              <w:rPr>
                <w:b/>
                <w:lang w:val="en-GB"/>
              </w:rPr>
            </w:pPr>
            <w:r w:rsidRPr="001A625C">
              <w:rPr>
                <w:b/>
                <w:color w:val="FF0000"/>
                <w:lang w:val="en-GB"/>
              </w:rPr>
              <w:t>generic</w:t>
            </w:r>
            <w:r w:rsidRPr="001A625C">
              <w:rPr>
                <w:b/>
                <w:lang w:val="en-GB"/>
              </w:rPr>
              <w:t xml:space="preserve"> domain names</w:t>
            </w:r>
          </w:p>
        </w:tc>
        <w:tc>
          <w:tcPr>
            <w:tcW w:w="2024" w:type="dxa"/>
          </w:tcPr>
          <w:p w:rsidR="00497B23" w:rsidRPr="001A625C" w:rsidRDefault="00497B23" w:rsidP="00CE4517">
            <w:pPr>
              <w:rPr>
                <w:lang w:val="ru-RU"/>
              </w:rPr>
            </w:pPr>
            <w:r w:rsidRPr="001A625C">
              <w:rPr>
                <w:b/>
                <w:i/>
                <w:color w:val="FF0000"/>
                <w:lang w:val="ru-RU"/>
              </w:rPr>
              <w:t>родовые</w:t>
            </w:r>
            <w:r w:rsidRPr="001A625C">
              <w:rPr>
                <w:lang w:val="ru-RU"/>
              </w:rPr>
              <w:t xml:space="preserve"> домены</w:t>
            </w:r>
          </w:p>
        </w:tc>
        <w:tc>
          <w:tcPr>
            <w:tcW w:w="2000" w:type="dxa"/>
          </w:tcPr>
          <w:p w:rsidR="00497B23" w:rsidRPr="001A625C" w:rsidRDefault="00497B23" w:rsidP="00CE4517">
            <w:pPr>
              <w:rPr>
                <w:color w:val="FF0000"/>
                <w:lang w:val="en-GB"/>
              </w:rPr>
            </w:pPr>
            <w:r w:rsidRPr="001A625C">
              <w:rPr>
                <w:color w:val="FF0000"/>
                <w:lang w:val="en-GB"/>
              </w:rPr>
              <w:t xml:space="preserve">ancestral, tribal domains </w:t>
            </w:r>
          </w:p>
        </w:tc>
        <w:tc>
          <w:tcPr>
            <w:tcW w:w="1928" w:type="dxa"/>
          </w:tcPr>
          <w:p w:rsidR="00497B23" w:rsidRPr="001A625C" w:rsidRDefault="00497B23" w:rsidP="00CE4517">
            <w:pPr>
              <w:rPr>
                <w:b/>
                <w:color w:val="FF0000"/>
                <w:lang w:val="ru-RU"/>
              </w:rPr>
            </w:pPr>
            <w:r w:rsidRPr="001A625C">
              <w:rPr>
                <w:b/>
                <w:color w:val="FF0000"/>
                <w:lang w:val="ru-RU"/>
              </w:rPr>
              <w:t>домены общего пользования</w:t>
            </w:r>
          </w:p>
        </w:tc>
      </w:tr>
    </w:tbl>
    <w:p w:rsidR="00497B23" w:rsidRDefault="00497B23" w:rsidP="00497B23">
      <w:pPr>
        <w:pStyle w:val="Listeafsnit"/>
        <w:widowControl w:val="0"/>
        <w:autoSpaceDE w:val="0"/>
        <w:autoSpaceDN w:val="0"/>
        <w:adjustRightInd w:val="0"/>
        <w:spacing w:after="240"/>
        <w:ind w:left="360"/>
        <w:rPr>
          <w:rFonts w:ascii="Times New Roman" w:hAnsi="Times New Roman"/>
        </w:rPr>
      </w:pPr>
    </w:p>
    <w:p w:rsidR="00497B23" w:rsidRDefault="00497B23" w:rsidP="00497B23">
      <w:pPr>
        <w:pStyle w:val="Listeafsnit"/>
        <w:widowControl w:val="0"/>
        <w:numPr>
          <w:ilvl w:val="0"/>
          <w:numId w:val="1"/>
        </w:numPr>
        <w:autoSpaceDE w:val="0"/>
        <w:autoSpaceDN w:val="0"/>
        <w:adjustRightInd w:val="0"/>
        <w:spacing w:after="240"/>
        <w:ind w:left="360"/>
        <w:rPr>
          <w:rFonts w:ascii="Times New Roman" w:hAnsi="Times New Roman"/>
        </w:rPr>
      </w:pPr>
      <w:r>
        <w:rPr>
          <w:rFonts w:ascii="Times New Roman" w:hAnsi="Times New Roman"/>
        </w:rPr>
        <w:t>Summary of other relevant research</w:t>
      </w:r>
    </w:p>
    <w:p w:rsidR="00497B23" w:rsidRPr="00A20A04" w:rsidRDefault="00497B23" w:rsidP="00497B23">
      <w:pPr>
        <w:pStyle w:val="Listeafsnit"/>
        <w:widowControl w:val="0"/>
        <w:autoSpaceDE w:val="0"/>
        <w:autoSpaceDN w:val="0"/>
        <w:adjustRightInd w:val="0"/>
        <w:spacing w:after="240"/>
        <w:ind w:left="360"/>
        <w:rPr>
          <w:rFonts w:ascii="Times New Roman" w:hAnsi="Times New Roman"/>
        </w:rPr>
      </w:pPr>
      <w:r>
        <w:rPr>
          <w:rFonts w:ascii="Times New Roman" w:hAnsi="Times New Roman"/>
        </w:rPr>
        <w:t>We have not gathered any other relevant material as yet</w:t>
      </w:r>
    </w:p>
    <w:p w:rsidR="007A7D18" w:rsidRPr="0004061C" w:rsidRDefault="007A7D18" w:rsidP="00903525">
      <w:pPr>
        <w:pStyle w:val="Listeafsnit"/>
        <w:ind w:left="0"/>
        <w:rPr>
          <w:rFonts w:ascii="Times New Roman" w:hAnsi="Times New Roman" w:cs="Times New Roman"/>
        </w:rPr>
      </w:pPr>
    </w:p>
    <w:p w:rsidR="007A7D18" w:rsidRPr="0004061C" w:rsidRDefault="00A20A04" w:rsidP="00903525">
      <w:pPr>
        <w:pStyle w:val="Listeafsnit"/>
        <w:widowControl w:val="0"/>
        <w:numPr>
          <w:ilvl w:val="0"/>
          <w:numId w:val="1"/>
        </w:numPr>
        <w:autoSpaceDE w:val="0"/>
        <w:autoSpaceDN w:val="0"/>
        <w:adjustRightInd w:val="0"/>
        <w:spacing w:after="240"/>
        <w:ind w:left="360"/>
        <w:rPr>
          <w:rFonts w:ascii="Times New Roman" w:hAnsi="Times New Roman" w:cs="Times New Roman"/>
        </w:rPr>
      </w:pPr>
      <w:r w:rsidRPr="0004061C">
        <w:rPr>
          <w:rFonts w:ascii="Times New Roman" w:hAnsi="Times New Roman" w:cs="Times New Roman"/>
        </w:rPr>
        <w:t>Summary of o</w:t>
      </w:r>
      <w:r w:rsidR="00D71250" w:rsidRPr="0004061C">
        <w:rPr>
          <w:rFonts w:ascii="Times New Roman" w:hAnsi="Times New Roman" w:cs="Times New Roman"/>
        </w:rPr>
        <w:t xml:space="preserve">ther relevant </w:t>
      </w:r>
      <w:r w:rsidR="00092A52" w:rsidRPr="0004061C">
        <w:rPr>
          <w:rFonts w:ascii="Times New Roman" w:hAnsi="Times New Roman" w:cs="Times New Roman"/>
        </w:rPr>
        <w:t>information</w:t>
      </w:r>
    </w:p>
    <w:p w:rsidR="000733B2" w:rsidRPr="0004061C" w:rsidRDefault="000733B2" w:rsidP="00903525">
      <w:pPr>
        <w:pStyle w:val="Listeafsnit"/>
        <w:ind w:left="0"/>
        <w:rPr>
          <w:rFonts w:ascii="Times New Roman" w:hAnsi="Times New Roman" w:cs="Times New Roman"/>
        </w:rPr>
      </w:pPr>
    </w:p>
    <w:p w:rsidR="008D060B" w:rsidRPr="008D060B" w:rsidRDefault="0003003F" w:rsidP="008D060B">
      <w:pPr>
        <w:pStyle w:val="Listeafsnit"/>
        <w:widowControl w:val="0"/>
        <w:numPr>
          <w:ilvl w:val="0"/>
          <w:numId w:val="1"/>
        </w:numPr>
        <w:autoSpaceDE w:val="0"/>
        <w:autoSpaceDN w:val="0"/>
        <w:adjustRightInd w:val="0"/>
        <w:spacing w:after="240"/>
        <w:rPr>
          <w:rFonts w:ascii="Times New Roman" w:hAnsi="Times New Roman" w:cs="Times New Roman"/>
          <w:b/>
        </w:rPr>
      </w:pPr>
      <w:r w:rsidRPr="008D060B">
        <w:rPr>
          <w:rFonts w:ascii="Times New Roman" w:hAnsi="Times New Roman" w:cs="Times New Roman"/>
        </w:rPr>
        <w:t>ATRT2 a</w:t>
      </w:r>
      <w:r w:rsidR="000733B2" w:rsidRPr="008D060B">
        <w:rPr>
          <w:rFonts w:ascii="Times New Roman" w:hAnsi="Times New Roman" w:cs="Times New Roman"/>
        </w:rPr>
        <w:t>nalysis of recommendation implementation</w:t>
      </w:r>
      <w:r w:rsidR="000C2EDB" w:rsidRPr="008D060B">
        <w:rPr>
          <w:rFonts w:ascii="Times New Roman" w:hAnsi="Times New Roman" w:cs="Times New Roman"/>
        </w:rPr>
        <w:t xml:space="preserve"> (e.g. complete, incomplete or ongoing)</w:t>
      </w:r>
    </w:p>
    <w:p w:rsidR="008D060B" w:rsidRPr="008D060B" w:rsidRDefault="008D060B" w:rsidP="008D060B">
      <w:pPr>
        <w:pStyle w:val="Listeafsnit"/>
        <w:rPr>
          <w:rFonts w:ascii="Times New Roman" w:hAnsi="Times New Roman" w:cs="Times New Roman"/>
          <w:b/>
        </w:rPr>
      </w:pPr>
    </w:p>
    <w:p w:rsidR="008D060B" w:rsidRDefault="008D060B" w:rsidP="00497B23">
      <w:pPr>
        <w:rPr>
          <w:rFonts w:ascii="Times New Roman" w:hAnsi="Times New Roman"/>
          <w:b/>
        </w:rPr>
      </w:pPr>
    </w:p>
    <w:p w:rsidR="008D060B" w:rsidRDefault="008D060B" w:rsidP="00497B23">
      <w:pPr>
        <w:rPr>
          <w:rFonts w:ascii="Times New Roman" w:hAnsi="Times New Roman"/>
          <w:b/>
        </w:rPr>
      </w:pPr>
    </w:p>
    <w:p w:rsidR="003F5C71" w:rsidRPr="003F5C71" w:rsidRDefault="003F5C71" w:rsidP="00497B23">
      <w:pPr>
        <w:rPr>
          <w:rFonts w:ascii="Times New Roman" w:hAnsi="Times New Roman"/>
          <w:b/>
        </w:rPr>
      </w:pPr>
      <w:r>
        <w:rPr>
          <w:rFonts w:ascii="Times New Roman" w:hAnsi="Times New Roman"/>
          <w:b/>
        </w:rPr>
        <w:t>Recommendation 19</w:t>
      </w:r>
      <w:bookmarkStart w:id="0" w:name="_GoBack"/>
      <w:bookmarkEnd w:id="0"/>
    </w:p>
    <w:p w:rsidR="00497B23" w:rsidRDefault="00497B23" w:rsidP="00497B23">
      <w:pPr>
        <w:rPr>
          <w:rFonts w:ascii="Times New Roman" w:hAnsi="Times New Roman"/>
        </w:rPr>
      </w:pPr>
      <w:r w:rsidRPr="00BF0C81">
        <w:rPr>
          <w:rFonts w:ascii="Times New Roman" w:hAnsi="Times New Roman"/>
        </w:rPr>
        <w:t xml:space="preserve">The implementation of the language policy is </w:t>
      </w:r>
      <w:r>
        <w:rPr>
          <w:rFonts w:ascii="Times New Roman" w:hAnsi="Times New Roman"/>
        </w:rPr>
        <w:t>unsuccessful</w:t>
      </w:r>
      <w:r w:rsidRPr="00BF0C81">
        <w:rPr>
          <w:rFonts w:ascii="Times New Roman" w:hAnsi="Times New Roman"/>
        </w:rPr>
        <w:t xml:space="preserve"> because</w:t>
      </w:r>
      <w:r>
        <w:rPr>
          <w:rFonts w:ascii="Times New Roman" w:hAnsi="Times New Roman"/>
        </w:rPr>
        <w:t>;</w:t>
      </w:r>
      <w:r w:rsidR="00EC777C">
        <w:rPr>
          <w:rFonts w:ascii="Times New Roman" w:hAnsi="Times New Roman"/>
        </w:rPr>
        <w:br/>
      </w:r>
    </w:p>
    <w:p w:rsidR="008D060B" w:rsidRPr="008D060B" w:rsidRDefault="008D060B" w:rsidP="008D060B">
      <w:pPr>
        <w:pStyle w:val="Listeafsnit"/>
        <w:widowControl w:val="0"/>
        <w:numPr>
          <w:ilvl w:val="0"/>
          <w:numId w:val="3"/>
        </w:numPr>
        <w:autoSpaceDE w:val="0"/>
        <w:autoSpaceDN w:val="0"/>
        <w:adjustRightInd w:val="0"/>
        <w:spacing w:after="240"/>
        <w:rPr>
          <w:rFonts w:ascii="Times New Roman" w:hAnsi="Times New Roman"/>
        </w:rPr>
      </w:pPr>
      <w:r w:rsidRPr="008D060B">
        <w:rPr>
          <w:rFonts w:ascii="Times New Roman" w:hAnsi="Times New Roman"/>
        </w:rPr>
        <w:t>The level to which translation is applied in the public participation process represents partial translation</w:t>
      </w:r>
      <w:r>
        <w:rPr>
          <w:rFonts w:ascii="Times New Roman" w:hAnsi="Times New Roman"/>
        </w:rPr>
        <w:t xml:space="preserve"> because</w:t>
      </w:r>
      <w:r w:rsidRPr="008D060B">
        <w:rPr>
          <w:rFonts w:ascii="Times New Roman" w:hAnsi="Times New Roman"/>
        </w:rPr>
        <w:t xml:space="preserve"> </w:t>
      </w:r>
      <w:r>
        <w:rPr>
          <w:rFonts w:ascii="Times New Roman" w:hAnsi="Times New Roman"/>
        </w:rPr>
        <w:t>t</w:t>
      </w:r>
      <w:r w:rsidRPr="008D060B">
        <w:rPr>
          <w:rFonts w:ascii="Times New Roman" w:hAnsi="Times New Roman"/>
        </w:rPr>
        <w:t xml:space="preserve">he quality of translations </w:t>
      </w:r>
      <w:r>
        <w:rPr>
          <w:rFonts w:ascii="Times New Roman" w:hAnsi="Times New Roman"/>
        </w:rPr>
        <w:t>is</w:t>
      </w:r>
      <w:r w:rsidRPr="008D060B">
        <w:rPr>
          <w:rFonts w:ascii="Times New Roman" w:hAnsi="Times New Roman"/>
        </w:rPr>
        <w:t xml:space="preserve"> poor.</w:t>
      </w:r>
    </w:p>
    <w:p w:rsidR="008D060B" w:rsidRPr="00B765E1" w:rsidRDefault="008D060B" w:rsidP="008D060B">
      <w:pPr>
        <w:pStyle w:val="Listeafsnit"/>
        <w:widowControl w:val="0"/>
        <w:numPr>
          <w:ilvl w:val="0"/>
          <w:numId w:val="3"/>
        </w:numPr>
        <w:autoSpaceDE w:val="0"/>
        <w:autoSpaceDN w:val="0"/>
        <w:adjustRightInd w:val="0"/>
        <w:spacing w:after="240"/>
        <w:rPr>
          <w:rFonts w:ascii="Times New Roman" w:hAnsi="Times New Roman"/>
        </w:rPr>
      </w:pPr>
      <w:r w:rsidRPr="00B765E1">
        <w:rPr>
          <w:rFonts w:ascii="Times New Roman" w:hAnsi="Times New Roman"/>
        </w:rPr>
        <w:t>The ability to encourage public participation is limited to the availability of the full translation function.</w:t>
      </w:r>
    </w:p>
    <w:p w:rsidR="00497B23" w:rsidRDefault="00497B23" w:rsidP="00497B23">
      <w:pPr>
        <w:pStyle w:val="Listeafsnit"/>
        <w:numPr>
          <w:ilvl w:val="0"/>
          <w:numId w:val="3"/>
        </w:numPr>
        <w:rPr>
          <w:rFonts w:ascii="Times New Roman" w:hAnsi="Times New Roman"/>
        </w:rPr>
      </w:pPr>
      <w:r>
        <w:rPr>
          <w:rFonts w:ascii="Times New Roman" w:hAnsi="Times New Roman"/>
        </w:rPr>
        <w:t>The inability for participants to participate in the public comments process in their preferred language especially for the languages that ICANN claims to have established translation services. Community members receive material in their languages but cannot comment in the same language since the comments are expected back in English.</w:t>
      </w:r>
    </w:p>
    <w:p w:rsidR="003F5C71" w:rsidRPr="008D060B" w:rsidRDefault="008D060B" w:rsidP="008D060B">
      <w:pPr>
        <w:pStyle w:val="Listeafsnit"/>
        <w:widowControl w:val="0"/>
        <w:numPr>
          <w:ilvl w:val="0"/>
          <w:numId w:val="3"/>
        </w:numPr>
        <w:autoSpaceDE w:val="0"/>
        <w:autoSpaceDN w:val="0"/>
        <w:adjustRightInd w:val="0"/>
        <w:spacing w:after="240"/>
        <w:rPr>
          <w:rFonts w:ascii="Times New Roman" w:hAnsi="Times New Roman"/>
        </w:rPr>
      </w:pPr>
      <w:r w:rsidRPr="00B765E1">
        <w:rPr>
          <w:rFonts w:ascii="Times New Roman" w:hAnsi="Times New Roman"/>
        </w:rPr>
        <w:t>The timeliness of the translations to adhere to established policy has an impact on the ability for various ICANN language communities to effectively participate in the public comment periods.</w:t>
      </w:r>
      <w:r>
        <w:rPr>
          <w:rFonts w:ascii="Times New Roman" w:hAnsi="Times New Roman"/>
        </w:rPr>
        <w:t xml:space="preserve"> </w:t>
      </w:r>
      <w:r w:rsidR="00497B23" w:rsidRPr="008D060B">
        <w:rPr>
          <w:rFonts w:ascii="Times New Roman" w:hAnsi="Times New Roman"/>
        </w:rPr>
        <w:t xml:space="preserve">The translations of documents going out for public comments are delayed therefore </w:t>
      </w:r>
      <w:r w:rsidR="00EC777C" w:rsidRPr="008D060B">
        <w:rPr>
          <w:rFonts w:ascii="Times New Roman" w:hAnsi="Times New Roman"/>
        </w:rPr>
        <w:t xml:space="preserve">there is </w:t>
      </w:r>
      <w:r w:rsidR="00497B23" w:rsidRPr="008D060B">
        <w:rPr>
          <w:rFonts w:ascii="Times New Roman" w:hAnsi="Times New Roman"/>
        </w:rPr>
        <w:t xml:space="preserve">not </w:t>
      </w:r>
      <w:r w:rsidR="00EC777C" w:rsidRPr="008D060B">
        <w:rPr>
          <w:rFonts w:ascii="Times New Roman" w:hAnsi="Times New Roman"/>
        </w:rPr>
        <w:t xml:space="preserve">a </w:t>
      </w:r>
      <w:r w:rsidR="00497B23" w:rsidRPr="008D060B">
        <w:rPr>
          <w:rFonts w:ascii="Times New Roman" w:hAnsi="Times New Roman"/>
        </w:rPr>
        <w:t xml:space="preserve">uniform </w:t>
      </w:r>
      <w:r w:rsidR="00EC777C" w:rsidRPr="008D060B">
        <w:rPr>
          <w:rFonts w:ascii="Times New Roman" w:hAnsi="Times New Roman"/>
        </w:rPr>
        <w:t xml:space="preserve">respond-time </w:t>
      </w:r>
      <w:r w:rsidR="00497B23" w:rsidRPr="008D060B">
        <w:rPr>
          <w:rFonts w:ascii="Times New Roman" w:hAnsi="Times New Roman"/>
        </w:rPr>
        <w:t xml:space="preserve">for all language communities </w:t>
      </w:r>
      <w:r w:rsidR="00EC777C" w:rsidRPr="008D060B">
        <w:rPr>
          <w:rFonts w:ascii="Times New Roman" w:hAnsi="Times New Roman"/>
        </w:rPr>
        <w:t>which gives a</w:t>
      </w:r>
      <w:r w:rsidR="00497B23" w:rsidRPr="008D060B">
        <w:rPr>
          <w:rFonts w:ascii="Times New Roman" w:hAnsi="Times New Roman"/>
        </w:rPr>
        <w:t xml:space="preserve"> comments process</w:t>
      </w:r>
      <w:r w:rsidR="00EC777C" w:rsidRPr="008D060B">
        <w:rPr>
          <w:rFonts w:ascii="Times New Roman" w:hAnsi="Times New Roman"/>
        </w:rPr>
        <w:t xml:space="preserve"> that is not completely equal to the respondents</w:t>
      </w:r>
      <w:r w:rsidR="00497B23" w:rsidRPr="008D060B">
        <w:rPr>
          <w:rFonts w:ascii="Times New Roman" w:hAnsi="Times New Roman"/>
        </w:rPr>
        <w:t xml:space="preserve">. </w:t>
      </w:r>
    </w:p>
    <w:p w:rsidR="003F5C71" w:rsidRDefault="003F5C71" w:rsidP="003F5C71">
      <w:pPr>
        <w:rPr>
          <w:rFonts w:ascii="Times New Roman" w:hAnsi="Times New Roman"/>
        </w:rPr>
      </w:pPr>
    </w:p>
    <w:p w:rsidR="003F5C71" w:rsidRDefault="003F5C71" w:rsidP="003F5C71">
      <w:pPr>
        <w:rPr>
          <w:rFonts w:ascii="Times New Roman" w:hAnsi="Times New Roman"/>
          <w:b/>
        </w:rPr>
      </w:pPr>
      <w:r>
        <w:rPr>
          <w:rFonts w:ascii="Times New Roman" w:hAnsi="Times New Roman"/>
          <w:b/>
        </w:rPr>
        <w:t>Recommendation 22</w:t>
      </w:r>
    </w:p>
    <w:p w:rsidR="008D060B" w:rsidRDefault="003F5C71" w:rsidP="003F5C71">
      <w:pPr>
        <w:rPr>
          <w:sz w:val="23"/>
          <w:szCs w:val="23"/>
        </w:rPr>
      </w:pPr>
      <w:r>
        <w:rPr>
          <w:rFonts w:ascii="Times New Roman" w:hAnsi="Times New Roman"/>
        </w:rPr>
        <w:t xml:space="preserve">The implementation of </w:t>
      </w:r>
      <w:r w:rsidR="008F7328">
        <w:rPr>
          <w:rFonts w:ascii="Times New Roman" w:hAnsi="Times New Roman"/>
        </w:rPr>
        <w:t xml:space="preserve">recommendation 22 </w:t>
      </w:r>
      <w:r w:rsidR="00E16176">
        <w:rPr>
          <w:rFonts w:ascii="Times New Roman" w:hAnsi="Times New Roman"/>
        </w:rPr>
        <w:t>that states:</w:t>
      </w:r>
      <w:r w:rsidR="008F7328">
        <w:rPr>
          <w:rFonts w:ascii="Times New Roman" w:hAnsi="Times New Roman"/>
        </w:rPr>
        <w:t xml:space="preserve"> </w:t>
      </w:r>
      <w:r w:rsidR="00E16176">
        <w:rPr>
          <w:sz w:val="23"/>
          <w:szCs w:val="23"/>
        </w:rPr>
        <w:t>that ICANN’s senior staffing arrangements are appropriately multi-lingual, delivering optimal levels of transparency and accountability to the community seems implemented successfully regarding the number of staff that is multi-lingual</w:t>
      </w:r>
      <w:r w:rsidR="00EC777C">
        <w:rPr>
          <w:sz w:val="23"/>
          <w:szCs w:val="23"/>
        </w:rPr>
        <w:t xml:space="preserve"> with</w:t>
      </w:r>
      <w:r w:rsidR="00E16176">
        <w:rPr>
          <w:sz w:val="23"/>
          <w:szCs w:val="23"/>
        </w:rPr>
        <w:t xml:space="preserve"> </w:t>
      </w:r>
      <w:r w:rsidR="00EC777C">
        <w:rPr>
          <w:sz w:val="23"/>
          <w:szCs w:val="23"/>
        </w:rPr>
        <w:t xml:space="preserve">more than 75% being multi-lingual. </w:t>
      </w:r>
    </w:p>
    <w:p w:rsidR="008D060B" w:rsidRDefault="008D060B" w:rsidP="003F5C71">
      <w:pPr>
        <w:rPr>
          <w:sz w:val="23"/>
          <w:szCs w:val="23"/>
        </w:rPr>
      </w:pPr>
    </w:p>
    <w:p w:rsidR="003F5C71" w:rsidRDefault="008D060B" w:rsidP="008D060B">
      <w:pPr>
        <w:widowControl w:val="0"/>
        <w:autoSpaceDE w:val="0"/>
        <w:autoSpaceDN w:val="0"/>
        <w:adjustRightInd w:val="0"/>
        <w:spacing w:after="240"/>
        <w:rPr>
          <w:sz w:val="23"/>
          <w:szCs w:val="23"/>
        </w:rPr>
      </w:pPr>
      <w:r w:rsidRPr="008D060B">
        <w:rPr>
          <w:rFonts w:ascii="Times New Roman" w:hAnsi="Times New Roman"/>
        </w:rPr>
        <w:t>The level of multilingual ability amongst ICANN senior staff represents ICANNs ability to ensure community participation at all levels of the organization</w:t>
      </w:r>
      <w:r>
        <w:rPr>
          <w:rFonts w:ascii="Times New Roman" w:hAnsi="Times New Roman"/>
        </w:rPr>
        <w:t xml:space="preserve">. </w:t>
      </w:r>
      <w:r w:rsidR="00EC777C">
        <w:rPr>
          <w:sz w:val="23"/>
          <w:szCs w:val="23"/>
        </w:rPr>
        <w:t xml:space="preserve">The question is if </w:t>
      </w:r>
      <w:r w:rsidR="00EC777C">
        <w:rPr>
          <w:sz w:val="23"/>
          <w:szCs w:val="23"/>
        </w:rPr>
        <w:lastRenderedPageBreak/>
        <w:t xml:space="preserve">these skills are used in the communication with the community so that the staff delivers optimal level of transparency and accountability. </w:t>
      </w:r>
      <w:proofErr w:type="gramStart"/>
      <w:r w:rsidR="00B765E1">
        <w:rPr>
          <w:sz w:val="23"/>
          <w:szCs w:val="23"/>
        </w:rPr>
        <w:t>Do the staff</w:t>
      </w:r>
      <w:proofErr w:type="gramEnd"/>
      <w:r w:rsidR="00B765E1">
        <w:rPr>
          <w:sz w:val="23"/>
          <w:szCs w:val="23"/>
        </w:rPr>
        <w:t xml:space="preserve"> use their language skills when talking and writing with the non-English speaking community?</w:t>
      </w:r>
    </w:p>
    <w:p w:rsidR="00B765E1" w:rsidRPr="003F5C71" w:rsidRDefault="00B765E1" w:rsidP="003F5C71">
      <w:pPr>
        <w:rPr>
          <w:rFonts w:ascii="Times New Roman" w:hAnsi="Times New Roman"/>
        </w:rPr>
      </w:pPr>
    </w:p>
    <w:p w:rsidR="00B23149" w:rsidRDefault="00B27BCC" w:rsidP="00903525">
      <w:pPr>
        <w:pStyle w:val="Listeafsnit"/>
        <w:widowControl w:val="0"/>
        <w:numPr>
          <w:ilvl w:val="0"/>
          <w:numId w:val="1"/>
        </w:numPr>
        <w:autoSpaceDE w:val="0"/>
        <w:autoSpaceDN w:val="0"/>
        <w:adjustRightInd w:val="0"/>
        <w:spacing w:after="240"/>
        <w:ind w:left="360"/>
        <w:rPr>
          <w:rFonts w:ascii="Times New Roman" w:hAnsi="Times New Roman" w:cs="Times New Roman"/>
        </w:rPr>
      </w:pPr>
      <w:r w:rsidRPr="0004061C">
        <w:rPr>
          <w:rFonts w:ascii="Times New Roman" w:hAnsi="Times New Roman" w:cs="Times New Roman"/>
        </w:rPr>
        <w:t xml:space="preserve">ATRT2 </w:t>
      </w:r>
      <w:r w:rsidR="0003003F" w:rsidRPr="0004061C">
        <w:rPr>
          <w:rFonts w:ascii="Times New Roman" w:hAnsi="Times New Roman" w:cs="Times New Roman"/>
        </w:rPr>
        <w:t xml:space="preserve">assessment of recommendation </w:t>
      </w:r>
      <w:proofErr w:type="gramStart"/>
      <w:r w:rsidR="003976F9" w:rsidRPr="0004061C">
        <w:rPr>
          <w:rFonts w:ascii="Times New Roman" w:hAnsi="Times New Roman" w:cs="Times New Roman"/>
        </w:rPr>
        <w:t xml:space="preserve">effectiveness </w:t>
      </w:r>
      <w:r w:rsidR="0045613A" w:rsidRPr="0004061C">
        <w:rPr>
          <w:rFonts w:ascii="Times New Roman" w:hAnsi="Times New Roman" w:cs="Times New Roman"/>
        </w:rPr>
        <w:t xml:space="preserve"> [</w:t>
      </w:r>
      <w:proofErr w:type="gramEnd"/>
      <w:r w:rsidR="0045613A" w:rsidRPr="0004061C">
        <w:rPr>
          <w:rFonts w:ascii="Times New Roman" w:hAnsi="Times New Roman" w:cs="Times New Roman"/>
        </w:rPr>
        <w:t>I</w:t>
      </w:r>
      <w:r w:rsidR="003976F9" w:rsidRPr="0004061C">
        <w:rPr>
          <w:rFonts w:ascii="Times New Roman" w:hAnsi="Times New Roman" w:cs="Times New Roman"/>
        </w:rPr>
        <w:t xml:space="preserve">ncludes rationale </w:t>
      </w:r>
      <w:r w:rsidR="0045613A" w:rsidRPr="0004061C">
        <w:rPr>
          <w:rFonts w:ascii="Times New Roman" w:hAnsi="Times New Roman" w:cs="Times New Roman"/>
        </w:rPr>
        <w:t>for</w:t>
      </w:r>
      <w:r w:rsidR="003976F9" w:rsidRPr="0004061C">
        <w:rPr>
          <w:rFonts w:ascii="Times New Roman" w:hAnsi="Times New Roman" w:cs="Times New Roman"/>
        </w:rPr>
        <w:t xml:space="preserve"> the recommendation</w:t>
      </w:r>
      <w:r w:rsidR="0045613A" w:rsidRPr="0004061C">
        <w:rPr>
          <w:rFonts w:ascii="Times New Roman" w:hAnsi="Times New Roman" w:cs="Times New Roman"/>
        </w:rPr>
        <w:t>.]</w:t>
      </w:r>
    </w:p>
    <w:p w:rsidR="00E16176" w:rsidRDefault="00E16176" w:rsidP="00E16176">
      <w:pPr>
        <w:widowControl w:val="0"/>
        <w:autoSpaceDE w:val="0"/>
        <w:autoSpaceDN w:val="0"/>
        <w:adjustRightInd w:val="0"/>
        <w:spacing w:after="240"/>
        <w:rPr>
          <w:rFonts w:ascii="Times New Roman" w:hAnsi="Times New Roman"/>
          <w:b/>
        </w:rPr>
      </w:pPr>
    </w:p>
    <w:p w:rsidR="00E16176" w:rsidRPr="00690CF7" w:rsidRDefault="00E16176" w:rsidP="00E16176">
      <w:pPr>
        <w:widowControl w:val="0"/>
        <w:autoSpaceDE w:val="0"/>
        <w:autoSpaceDN w:val="0"/>
        <w:adjustRightInd w:val="0"/>
        <w:spacing w:after="240"/>
        <w:rPr>
          <w:rFonts w:ascii="Times New Roman" w:hAnsi="Times New Roman"/>
          <w:b/>
        </w:rPr>
      </w:pPr>
      <w:r w:rsidRPr="00690CF7">
        <w:rPr>
          <w:rFonts w:ascii="Times New Roman" w:hAnsi="Times New Roman"/>
          <w:b/>
        </w:rPr>
        <w:t>Draft recommendation</w:t>
      </w:r>
    </w:p>
    <w:p w:rsidR="00E16176" w:rsidRDefault="00B765E1" w:rsidP="00E16176">
      <w:pPr>
        <w:pStyle w:val="Listeafsnit"/>
        <w:numPr>
          <w:ilvl w:val="0"/>
          <w:numId w:val="4"/>
        </w:numPr>
        <w:rPr>
          <w:rFonts w:ascii="Times New Roman" w:hAnsi="Times New Roman"/>
        </w:rPr>
      </w:pPr>
      <w:r w:rsidRPr="00B765E1">
        <w:rPr>
          <w:rFonts w:ascii="Times New Roman" w:hAnsi="Times New Roman"/>
          <w:b/>
        </w:rPr>
        <w:t xml:space="preserve">Regarding </w:t>
      </w:r>
      <w:r w:rsidR="00EC777C" w:rsidRPr="00B765E1">
        <w:rPr>
          <w:rFonts w:ascii="Times New Roman" w:hAnsi="Times New Roman"/>
          <w:b/>
        </w:rPr>
        <w:t>Recommendation 19</w:t>
      </w:r>
      <w:r w:rsidR="00EC777C">
        <w:rPr>
          <w:rFonts w:ascii="Times New Roman" w:hAnsi="Times New Roman"/>
        </w:rPr>
        <w:t xml:space="preserve"> </w:t>
      </w:r>
      <w:r w:rsidR="00EC777C">
        <w:rPr>
          <w:rFonts w:ascii="Times New Roman" w:hAnsi="Times New Roman"/>
        </w:rPr>
        <w:br/>
      </w:r>
      <w:r w:rsidR="00E16176" w:rsidRPr="00816F76">
        <w:rPr>
          <w:rFonts w:ascii="Times New Roman" w:hAnsi="Times New Roman"/>
        </w:rPr>
        <w:t xml:space="preserve">ICANN should review capacity of the language service department </w:t>
      </w:r>
      <w:proofErr w:type="spellStart"/>
      <w:r w:rsidR="00E16176" w:rsidRPr="00816F76">
        <w:rPr>
          <w:rFonts w:ascii="Times New Roman" w:hAnsi="Times New Roman"/>
        </w:rPr>
        <w:t>vs</w:t>
      </w:r>
      <w:proofErr w:type="spellEnd"/>
      <w:r w:rsidR="00E16176" w:rsidRPr="00816F76">
        <w:rPr>
          <w:rFonts w:ascii="Times New Roman" w:hAnsi="Times New Roman"/>
        </w:rPr>
        <w:t xml:space="preserve"> community need for the service and make relevant adjustments</w:t>
      </w:r>
      <w:r w:rsidR="00E16176">
        <w:rPr>
          <w:rFonts w:ascii="Times New Roman" w:hAnsi="Times New Roman"/>
        </w:rPr>
        <w:t>. The Language service is important to what ICANN does and its plans for the future based on the outreach program already in place.</w:t>
      </w:r>
      <w:r w:rsidR="00EC777C">
        <w:rPr>
          <w:rFonts w:ascii="Times New Roman" w:hAnsi="Times New Roman"/>
        </w:rPr>
        <w:br/>
      </w:r>
    </w:p>
    <w:p w:rsidR="00EC777C" w:rsidRPr="00816F76" w:rsidRDefault="00B765E1" w:rsidP="00E16176">
      <w:pPr>
        <w:pStyle w:val="Listeafsnit"/>
        <w:numPr>
          <w:ilvl w:val="0"/>
          <w:numId w:val="4"/>
        </w:numPr>
        <w:rPr>
          <w:rFonts w:ascii="Times New Roman" w:hAnsi="Times New Roman"/>
        </w:rPr>
      </w:pPr>
      <w:r w:rsidRPr="00B765E1">
        <w:rPr>
          <w:rFonts w:ascii="Times New Roman" w:hAnsi="Times New Roman"/>
          <w:b/>
        </w:rPr>
        <w:t>Regarding Recommendation 22</w:t>
      </w:r>
      <w:r>
        <w:rPr>
          <w:rFonts w:ascii="Times New Roman" w:hAnsi="Times New Roman"/>
        </w:rPr>
        <w:t xml:space="preserve"> </w:t>
      </w:r>
      <w:r>
        <w:rPr>
          <w:rFonts w:ascii="Times New Roman" w:hAnsi="Times New Roman"/>
        </w:rPr>
        <w:br/>
      </w:r>
      <w:r w:rsidR="00EC777C">
        <w:rPr>
          <w:rFonts w:ascii="Times New Roman" w:hAnsi="Times New Roman"/>
        </w:rPr>
        <w:t xml:space="preserve">The level of multi-lingual staff is very good at the moment but is </w:t>
      </w:r>
      <w:r>
        <w:rPr>
          <w:rFonts w:ascii="Times New Roman" w:hAnsi="Times New Roman"/>
        </w:rPr>
        <w:t>there</w:t>
      </w:r>
      <w:r w:rsidR="00EC777C">
        <w:rPr>
          <w:rFonts w:ascii="Times New Roman" w:hAnsi="Times New Roman"/>
        </w:rPr>
        <w:t xml:space="preserve"> a written policy </w:t>
      </w:r>
      <w:r>
        <w:rPr>
          <w:rFonts w:ascii="Times New Roman" w:hAnsi="Times New Roman"/>
        </w:rPr>
        <w:t>about the need for language skills for</w:t>
      </w:r>
      <w:r w:rsidR="00EC777C">
        <w:rPr>
          <w:rFonts w:ascii="Times New Roman" w:hAnsi="Times New Roman"/>
        </w:rPr>
        <w:t xml:space="preserve"> senior staff? And if hiring people without language skills the employee will be taken language courses?</w:t>
      </w:r>
    </w:p>
    <w:p w:rsidR="00E16176" w:rsidRPr="00E16176" w:rsidRDefault="00E16176" w:rsidP="00E16176">
      <w:pPr>
        <w:widowControl w:val="0"/>
        <w:autoSpaceDE w:val="0"/>
        <w:autoSpaceDN w:val="0"/>
        <w:adjustRightInd w:val="0"/>
        <w:spacing w:after="240"/>
        <w:rPr>
          <w:rFonts w:ascii="Times New Roman" w:hAnsi="Times New Roman" w:cs="Times New Roman"/>
        </w:rPr>
      </w:pPr>
    </w:p>
    <w:p w:rsidR="000733B2" w:rsidRPr="0004061C" w:rsidRDefault="000733B2" w:rsidP="00B23149">
      <w:pPr>
        <w:rPr>
          <w:rFonts w:ascii="Times New Roman" w:hAnsi="Times New Roman" w:cs="Times New Roman"/>
          <w:b/>
        </w:rPr>
      </w:pPr>
      <w:r w:rsidRPr="0004061C">
        <w:rPr>
          <w:rFonts w:ascii="Times New Roman" w:hAnsi="Times New Roman" w:cs="Times New Roman"/>
          <w:b/>
        </w:rPr>
        <w:t>B.</w:t>
      </w:r>
      <w:r w:rsidRPr="0004061C">
        <w:rPr>
          <w:rFonts w:ascii="Times New Roman" w:hAnsi="Times New Roman" w:cs="Times New Roman"/>
          <w:b/>
        </w:rPr>
        <w:tab/>
      </w:r>
      <w:r w:rsidR="0003003F" w:rsidRPr="0004061C">
        <w:rPr>
          <w:rFonts w:ascii="Times New Roman" w:hAnsi="Times New Roman" w:cs="Times New Roman"/>
          <w:b/>
        </w:rPr>
        <w:t>Proposed n</w:t>
      </w:r>
      <w:r w:rsidRPr="0004061C">
        <w:rPr>
          <w:rFonts w:ascii="Times New Roman" w:hAnsi="Times New Roman" w:cs="Times New Roman"/>
          <w:b/>
        </w:rPr>
        <w:t>ew recommendations</w:t>
      </w:r>
    </w:p>
    <w:p w:rsidR="0003003F" w:rsidRPr="0004061C" w:rsidRDefault="0003003F" w:rsidP="00B23149">
      <w:pPr>
        <w:rPr>
          <w:rFonts w:ascii="Times New Roman" w:hAnsi="Times New Roman" w:cs="Times New Roman"/>
        </w:rPr>
      </w:pPr>
    </w:p>
    <w:p w:rsidR="0003003F" w:rsidRPr="0004061C" w:rsidRDefault="0003003F" w:rsidP="00903525">
      <w:pPr>
        <w:pStyle w:val="Listeafsnit"/>
        <w:widowControl w:val="0"/>
        <w:numPr>
          <w:ilvl w:val="0"/>
          <w:numId w:val="1"/>
        </w:numPr>
        <w:autoSpaceDE w:val="0"/>
        <w:autoSpaceDN w:val="0"/>
        <w:adjustRightInd w:val="0"/>
        <w:spacing w:after="240"/>
        <w:ind w:left="360"/>
        <w:rPr>
          <w:rFonts w:ascii="Times New Roman" w:hAnsi="Times New Roman" w:cs="Times New Roman"/>
        </w:rPr>
      </w:pPr>
      <w:r w:rsidRPr="0004061C">
        <w:rPr>
          <w:rFonts w:ascii="Times New Roman" w:hAnsi="Times New Roman" w:cs="Times New Roman"/>
        </w:rPr>
        <w:t xml:space="preserve">Hypothesis of problem </w:t>
      </w:r>
    </w:p>
    <w:p w:rsidR="0003003F" w:rsidRPr="0004061C" w:rsidRDefault="0003003F" w:rsidP="00903525">
      <w:pPr>
        <w:pStyle w:val="Listeafsnit"/>
        <w:widowControl w:val="0"/>
        <w:autoSpaceDE w:val="0"/>
        <w:autoSpaceDN w:val="0"/>
        <w:adjustRightInd w:val="0"/>
        <w:spacing w:after="240"/>
        <w:ind w:left="360"/>
        <w:rPr>
          <w:rFonts w:ascii="Times New Roman" w:hAnsi="Times New Roman" w:cs="Times New Roman"/>
        </w:rPr>
      </w:pPr>
    </w:p>
    <w:p w:rsidR="00D71250" w:rsidRPr="0004061C" w:rsidRDefault="000733B2" w:rsidP="00903525">
      <w:pPr>
        <w:pStyle w:val="Listeafsnit"/>
        <w:widowControl w:val="0"/>
        <w:numPr>
          <w:ilvl w:val="0"/>
          <w:numId w:val="1"/>
        </w:numPr>
        <w:autoSpaceDE w:val="0"/>
        <w:autoSpaceDN w:val="0"/>
        <w:adjustRightInd w:val="0"/>
        <w:spacing w:after="240"/>
        <w:ind w:left="360"/>
        <w:rPr>
          <w:rFonts w:ascii="Times New Roman" w:hAnsi="Times New Roman" w:cs="Times New Roman"/>
        </w:rPr>
      </w:pPr>
      <w:r w:rsidRPr="0004061C">
        <w:rPr>
          <w:rFonts w:ascii="Times New Roman" w:hAnsi="Times New Roman" w:cs="Times New Roman"/>
        </w:rPr>
        <w:t xml:space="preserve">Background research undertaken </w:t>
      </w:r>
    </w:p>
    <w:p w:rsidR="00D71250" w:rsidRPr="0004061C" w:rsidRDefault="00D71250" w:rsidP="00903525">
      <w:pPr>
        <w:pStyle w:val="Listeafsnit"/>
        <w:ind w:left="0"/>
        <w:rPr>
          <w:rFonts w:ascii="Times New Roman" w:hAnsi="Times New Roman" w:cs="Times New Roman"/>
        </w:rPr>
      </w:pPr>
    </w:p>
    <w:p w:rsidR="00D71250" w:rsidRPr="0004061C" w:rsidRDefault="00D71250" w:rsidP="00903525">
      <w:pPr>
        <w:pStyle w:val="Listeafsnit"/>
        <w:widowControl w:val="0"/>
        <w:numPr>
          <w:ilvl w:val="1"/>
          <w:numId w:val="1"/>
        </w:numPr>
        <w:autoSpaceDE w:val="0"/>
        <w:autoSpaceDN w:val="0"/>
        <w:adjustRightInd w:val="0"/>
        <w:spacing w:after="240"/>
        <w:ind w:left="1080"/>
        <w:rPr>
          <w:rFonts w:ascii="Times New Roman" w:hAnsi="Times New Roman" w:cs="Times New Roman"/>
        </w:rPr>
      </w:pPr>
      <w:r w:rsidRPr="0004061C">
        <w:rPr>
          <w:rFonts w:ascii="Times New Roman" w:hAnsi="Times New Roman" w:cs="Times New Roman"/>
        </w:rPr>
        <w:t xml:space="preserve">Summary </w:t>
      </w:r>
      <w:r w:rsidR="007A7D18" w:rsidRPr="0004061C">
        <w:rPr>
          <w:rFonts w:ascii="Times New Roman" w:hAnsi="Times New Roman" w:cs="Times New Roman"/>
        </w:rPr>
        <w:t xml:space="preserve">of ICANN </w:t>
      </w:r>
      <w:r w:rsidR="0003003F" w:rsidRPr="0004061C">
        <w:rPr>
          <w:rFonts w:ascii="Times New Roman" w:hAnsi="Times New Roman" w:cs="Times New Roman"/>
        </w:rPr>
        <w:t xml:space="preserve">input </w:t>
      </w:r>
    </w:p>
    <w:p w:rsidR="000733B2" w:rsidRPr="0004061C" w:rsidRDefault="00D71250" w:rsidP="00903525">
      <w:pPr>
        <w:pStyle w:val="Listeafsnit"/>
        <w:widowControl w:val="0"/>
        <w:numPr>
          <w:ilvl w:val="1"/>
          <w:numId w:val="1"/>
        </w:numPr>
        <w:autoSpaceDE w:val="0"/>
        <w:autoSpaceDN w:val="0"/>
        <w:adjustRightInd w:val="0"/>
        <w:spacing w:after="240"/>
        <w:ind w:left="1080"/>
        <w:rPr>
          <w:rFonts w:ascii="Times New Roman" w:hAnsi="Times New Roman" w:cs="Times New Roman"/>
        </w:rPr>
      </w:pPr>
      <w:r w:rsidRPr="0004061C">
        <w:rPr>
          <w:rFonts w:ascii="Times New Roman" w:hAnsi="Times New Roman" w:cs="Times New Roman"/>
        </w:rPr>
        <w:t xml:space="preserve">Summary of </w:t>
      </w:r>
      <w:r w:rsidR="0003003F" w:rsidRPr="0004061C">
        <w:rPr>
          <w:rFonts w:ascii="Times New Roman" w:hAnsi="Times New Roman" w:cs="Times New Roman"/>
        </w:rPr>
        <w:t xml:space="preserve">community input </w:t>
      </w:r>
    </w:p>
    <w:p w:rsidR="00D71250" w:rsidRPr="0004061C" w:rsidRDefault="00D71250" w:rsidP="00903525">
      <w:pPr>
        <w:pStyle w:val="Listeafsnit"/>
        <w:widowControl w:val="0"/>
        <w:numPr>
          <w:ilvl w:val="1"/>
          <w:numId w:val="1"/>
        </w:numPr>
        <w:autoSpaceDE w:val="0"/>
        <w:autoSpaceDN w:val="0"/>
        <w:adjustRightInd w:val="0"/>
        <w:spacing w:after="240"/>
        <w:ind w:left="1080"/>
        <w:rPr>
          <w:rFonts w:ascii="Times New Roman" w:hAnsi="Times New Roman" w:cs="Times New Roman"/>
        </w:rPr>
      </w:pPr>
      <w:r w:rsidRPr="0004061C">
        <w:rPr>
          <w:rFonts w:ascii="Times New Roman" w:hAnsi="Times New Roman" w:cs="Times New Roman"/>
        </w:rPr>
        <w:t>Summary of other relevant research</w:t>
      </w:r>
    </w:p>
    <w:p w:rsidR="0003003F" w:rsidRPr="0004061C" w:rsidRDefault="0003003F" w:rsidP="00903525">
      <w:pPr>
        <w:pStyle w:val="Listeafsnit"/>
        <w:widowControl w:val="0"/>
        <w:autoSpaceDE w:val="0"/>
        <w:autoSpaceDN w:val="0"/>
        <w:adjustRightInd w:val="0"/>
        <w:spacing w:after="240"/>
        <w:ind w:left="360"/>
        <w:rPr>
          <w:rFonts w:ascii="Times New Roman" w:hAnsi="Times New Roman" w:cs="Times New Roman"/>
        </w:rPr>
      </w:pPr>
    </w:p>
    <w:p w:rsidR="000733B2" w:rsidRPr="0004061C" w:rsidRDefault="000733B2" w:rsidP="00367043">
      <w:pPr>
        <w:pStyle w:val="Listeafsnit"/>
        <w:widowControl w:val="0"/>
        <w:numPr>
          <w:ilvl w:val="0"/>
          <w:numId w:val="1"/>
        </w:numPr>
        <w:autoSpaceDE w:val="0"/>
        <w:autoSpaceDN w:val="0"/>
        <w:adjustRightInd w:val="0"/>
        <w:spacing w:after="240"/>
        <w:ind w:left="360"/>
        <w:rPr>
          <w:rFonts w:ascii="Times New Roman" w:hAnsi="Times New Roman" w:cs="Times New Roman"/>
        </w:rPr>
      </w:pPr>
      <w:r w:rsidRPr="0004061C">
        <w:rPr>
          <w:rFonts w:ascii="Times New Roman" w:hAnsi="Times New Roman" w:cs="Times New Roman"/>
        </w:rPr>
        <w:t xml:space="preserve">Relevant </w:t>
      </w:r>
      <w:r w:rsidR="0003003F" w:rsidRPr="0004061C">
        <w:rPr>
          <w:rFonts w:ascii="Times New Roman" w:hAnsi="Times New Roman" w:cs="Times New Roman"/>
        </w:rPr>
        <w:t xml:space="preserve">ICANN </w:t>
      </w:r>
      <w:r w:rsidRPr="0004061C">
        <w:rPr>
          <w:rFonts w:ascii="Times New Roman" w:hAnsi="Times New Roman" w:cs="Times New Roman"/>
        </w:rPr>
        <w:t>bylaws</w:t>
      </w:r>
      <w:r w:rsidR="00367043" w:rsidRPr="0004061C">
        <w:rPr>
          <w:rFonts w:ascii="Times New Roman" w:hAnsi="Times New Roman" w:cs="Times New Roman"/>
        </w:rPr>
        <w:t>/</w:t>
      </w:r>
      <w:r w:rsidRPr="0004061C">
        <w:rPr>
          <w:rFonts w:ascii="Times New Roman" w:hAnsi="Times New Roman" w:cs="Times New Roman"/>
        </w:rPr>
        <w:t>published policies</w:t>
      </w:r>
      <w:r w:rsidR="00367043" w:rsidRPr="0004061C">
        <w:rPr>
          <w:rFonts w:ascii="Times New Roman" w:hAnsi="Times New Roman" w:cs="Times New Roman"/>
        </w:rPr>
        <w:t>/</w:t>
      </w:r>
      <w:r w:rsidRPr="0004061C">
        <w:rPr>
          <w:rFonts w:ascii="Times New Roman" w:hAnsi="Times New Roman" w:cs="Times New Roman"/>
        </w:rPr>
        <w:t>published procedures</w:t>
      </w:r>
    </w:p>
    <w:p w:rsidR="0003003F" w:rsidRPr="0004061C" w:rsidRDefault="0003003F" w:rsidP="00903525">
      <w:pPr>
        <w:pStyle w:val="Listeafsnit"/>
        <w:ind w:left="0"/>
        <w:rPr>
          <w:rFonts w:ascii="Times New Roman" w:hAnsi="Times New Roman" w:cs="Times New Roman"/>
        </w:rPr>
      </w:pPr>
    </w:p>
    <w:p w:rsidR="0003003F" w:rsidRPr="0004061C" w:rsidRDefault="0003003F" w:rsidP="00903525">
      <w:pPr>
        <w:pStyle w:val="Listeafsnit"/>
        <w:widowControl w:val="0"/>
        <w:numPr>
          <w:ilvl w:val="0"/>
          <w:numId w:val="1"/>
        </w:numPr>
        <w:autoSpaceDE w:val="0"/>
        <w:autoSpaceDN w:val="0"/>
        <w:adjustRightInd w:val="0"/>
        <w:spacing w:after="240"/>
        <w:ind w:left="360"/>
        <w:rPr>
          <w:rFonts w:ascii="Times New Roman" w:hAnsi="Times New Roman" w:cs="Times New Roman"/>
        </w:rPr>
      </w:pPr>
      <w:r w:rsidRPr="0004061C">
        <w:rPr>
          <w:rFonts w:ascii="Times New Roman" w:hAnsi="Times New Roman" w:cs="Times New Roman"/>
        </w:rPr>
        <w:t>ATRT2 analysis</w:t>
      </w:r>
      <w:r w:rsidR="00BC7196" w:rsidRPr="0004061C">
        <w:rPr>
          <w:rFonts w:ascii="Times New Roman" w:hAnsi="Times New Roman" w:cs="Times New Roman"/>
        </w:rPr>
        <w:t xml:space="preserve"> &amp; rationale </w:t>
      </w:r>
    </w:p>
    <w:p w:rsidR="0003003F" w:rsidRPr="0004061C" w:rsidRDefault="0003003F" w:rsidP="00903525">
      <w:pPr>
        <w:pStyle w:val="Listeafsnit"/>
        <w:ind w:left="0"/>
        <w:rPr>
          <w:rFonts w:ascii="Times New Roman" w:hAnsi="Times New Roman" w:cs="Times New Roman"/>
        </w:rPr>
      </w:pPr>
    </w:p>
    <w:p w:rsidR="0003003F" w:rsidRPr="0004061C" w:rsidRDefault="0003003F" w:rsidP="00903525">
      <w:pPr>
        <w:pStyle w:val="Listeafsnit"/>
        <w:widowControl w:val="0"/>
        <w:numPr>
          <w:ilvl w:val="0"/>
          <w:numId w:val="1"/>
        </w:numPr>
        <w:autoSpaceDE w:val="0"/>
        <w:autoSpaceDN w:val="0"/>
        <w:adjustRightInd w:val="0"/>
        <w:spacing w:after="240"/>
        <w:ind w:left="360"/>
        <w:rPr>
          <w:rFonts w:ascii="Times New Roman" w:hAnsi="Times New Roman" w:cs="Times New Roman"/>
        </w:rPr>
      </w:pPr>
      <w:r w:rsidRPr="0004061C">
        <w:rPr>
          <w:rFonts w:ascii="Times New Roman" w:hAnsi="Times New Roman" w:cs="Times New Roman"/>
        </w:rPr>
        <w:t>Draft recommendation</w:t>
      </w:r>
      <w:r w:rsidR="00770F43" w:rsidRPr="0004061C">
        <w:rPr>
          <w:rFonts w:ascii="Times New Roman" w:hAnsi="Times New Roman" w:cs="Times New Roman"/>
        </w:rPr>
        <w:t xml:space="preserve"> </w:t>
      </w:r>
    </w:p>
    <w:p w:rsidR="0003003F" w:rsidRPr="0004061C" w:rsidRDefault="0003003F" w:rsidP="00903525">
      <w:pPr>
        <w:pStyle w:val="Listeafsnit"/>
        <w:ind w:left="360"/>
        <w:rPr>
          <w:rFonts w:ascii="Times New Roman" w:hAnsi="Times New Roman" w:cs="Times New Roman"/>
        </w:rPr>
      </w:pPr>
    </w:p>
    <w:p w:rsidR="000733B2" w:rsidRPr="0004061C" w:rsidRDefault="000733B2" w:rsidP="00903525">
      <w:pPr>
        <w:pStyle w:val="Listeafsnit"/>
        <w:numPr>
          <w:ilvl w:val="0"/>
          <w:numId w:val="1"/>
        </w:numPr>
        <w:ind w:left="360"/>
        <w:rPr>
          <w:rFonts w:ascii="Times New Roman" w:hAnsi="Times New Roman" w:cs="Times New Roman"/>
        </w:rPr>
      </w:pPr>
      <w:r w:rsidRPr="0004061C">
        <w:rPr>
          <w:rFonts w:ascii="Times New Roman" w:hAnsi="Times New Roman" w:cs="Times New Roman"/>
        </w:rPr>
        <w:t>Public Comment on Draft Recommendations</w:t>
      </w:r>
      <w:r w:rsidR="00B34C30" w:rsidRPr="0004061C">
        <w:rPr>
          <w:rFonts w:ascii="Times New Roman" w:hAnsi="Times New Roman" w:cs="Times New Roman"/>
        </w:rPr>
        <w:t xml:space="preserve"> (to be completed later)</w:t>
      </w:r>
    </w:p>
    <w:p w:rsidR="0003003F" w:rsidRPr="0004061C" w:rsidRDefault="0003003F" w:rsidP="00903525">
      <w:pPr>
        <w:pStyle w:val="Listeafsnit"/>
        <w:ind w:left="0"/>
        <w:rPr>
          <w:rFonts w:ascii="Times New Roman" w:hAnsi="Times New Roman" w:cs="Times New Roman"/>
        </w:rPr>
      </w:pPr>
    </w:p>
    <w:p w:rsidR="0003003F" w:rsidRPr="0004061C" w:rsidRDefault="0003003F" w:rsidP="00903525">
      <w:pPr>
        <w:pStyle w:val="Listeafsnit"/>
        <w:numPr>
          <w:ilvl w:val="0"/>
          <w:numId w:val="1"/>
        </w:numPr>
        <w:ind w:left="360"/>
        <w:rPr>
          <w:rFonts w:ascii="Times New Roman" w:hAnsi="Times New Roman" w:cs="Times New Roman"/>
        </w:rPr>
      </w:pPr>
      <w:r w:rsidRPr="0004061C">
        <w:rPr>
          <w:rFonts w:ascii="Times New Roman" w:hAnsi="Times New Roman" w:cs="Times New Roman"/>
        </w:rPr>
        <w:t>Final recommendation</w:t>
      </w:r>
      <w:r w:rsidR="00903525" w:rsidRPr="0004061C">
        <w:rPr>
          <w:rFonts w:ascii="Times New Roman" w:hAnsi="Times New Roman" w:cs="Times New Roman"/>
        </w:rPr>
        <w:t xml:space="preserve"> (to be completed later)</w:t>
      </w:r>
    </w:p>
    <w:p w:rsidR="00B23149" w:rsidRPr="0004061C" w:rsidRDefault="00B23149" w:rsidP="00B23149">
      <w:pPr>
        <w:widowControl w:val="0"/>
        <w:autoSpaceDE w:val="0"/>
        <w:autoSpaceDN w:val="0"/>
        <w:adjustRightInd w:val="0"/>
        <w:spacing w:after="240"/>
        <w:rPr>
          <w:rFonts w:ascii="Times" w:hAnsi="Times" w:cs="Times"/>
        </w:rPr>
      </w:pPr>
    </w:p>
    <w:p w:rsidR="00B23149" w:rsidRPr="00B23149" w:rsidRDefault="0045613A" w:rsidP="00E30C67">
      <w:pPr>
        <w:widowControl w:val="0"/>
        <w:autoSpaceDE w:val="0"/>
        <w:autoSpaceDN w:val="0"/>
        <w:adjustRightInd w:val="0"/>
        <w:spacing w:after="240"/>
        <w:rPr>
          <w:rFonts w:ascii="Times" w:hAnsi="Times" w:cs="Times"/>
        </w:rPr>
      </w:pPr>
      <w:r w:rsidRPr="0004061C">
        <w:rPr>
          <w:rFonts w:ascii="Times" w:hAnsi="Times" w:cs="Times"/>
        </w:rPr>
        <w:t>Note: L</w:t>
      </w:r>
      <w:r w:rsidR="00E30C67" w:rsidRPr="0004061C">
        <w:rPr>
          <w:rFonts w:ascii="Times" w:hAnsi="Times" w:cs="Times"/>
        </w:rPr>
        <w:t>inks</w:t>
      </w:r>
      <w:r w:rsidRPr="0004061C">
        <w:rPr>
          <w:rFonts w:ascii="Times" w:hAnsi="Times" w:cs="Times"/>
        </w:rPr>
        <w:t xml:space="preserve"> to relevant documents can be included, provided the link refers to </w:t>
      </w:r>
      <w:r w:rsidR="00E30C67" w:rsidRPr="0004061C">
        <w:rPr>
          <w:rFonts w:ascii="Times" w:hAnsi="Times" w:cs="Times"/>
        </w:rPr>
        <w:t xml:space="preserve">a specific section of a given document.  Alternatively, </w:t>
      </w:r>
      <w:r w:rsidRPr="0004061C">
        <w:rPr>
          <w:rFonts w:ascii="Times" w:hAnsi="Times" w:cs="Times"/>
        </w:rPr>
        <w:t xml:space="preserve"> relevant section of other documents may be </w:t>
      </w:r>
      <w:r w:rsidRPr="0004061C">
        <w:rPr>
          <w:rFonts w:ascii="Times" w:hAnsi="Times" w:cs="Times"/>
        </w:rPr>
        <w:lastRenderedPageBreak/>
        <w:t>copies and pasted.</w:t>
      </w:r>
    </w:p>
    <w:sectPr w:rsidR="00B23149" w:rsidRPr="00B23149" w:rsidSect="00AD2E1F">
      <w:headerReference w:type="even" r:id="rId16"/>
      <w:headerReference w:type="default" r:id="rId17"/>
      <w:footerReference w:type="default" r:id="rId18"/>
      <w:head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F49" w:rsidRDefault="00A80F49" w:rsidP="00BB4844">
      <w:r>
        <w:separator/>
      </w:r>
    </w:p>
  </w:endnote>
  <w:endnote w:type="continuationSeparator" w:id="0">
    <w:p w:rsidR="00A80F49" w:rsidRDefault="00A80F49" w:rsidP="00BB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215541"/>
      <w:docPartObj>
        <w:docPartGallery w:val="Page Numbers (Bottom of Page)"/>
        <w:docPartUnique/>
      </w:docPartObj>
    </w:sdtPr>
    <w:sdtEndPr>
      <w:rPr>
        <w:noProof/>
      </w:rPr>
    </w:sdtEndPr>
    <w:sdtContent>
      <w:p w:rsidR="00CA16CC" w:rsidRDefault="00CA16CC">
        <w:pPr>
          <w:pStyle w:val="Sidefod"/>
          <w:jc w:val="right"/>
        </w:pPr>
        <w:r>
          <w:fldChar w:fldCharType="begin"/>
        </w:r>
        <w:r>
          <w:instrText xml:space="preserve"> PAGE   \* MERGEFORMAT </w:instrText>
        </w:r>
        <w:r>
          <w:fldChar w:fldCharType="separate"/>
        </w:r>
        <w:r w:rsidR="008D060B">
          <w:rPr>
            <w:noProof/>
          </w:rPr>
          <w:t>4</w:t>
        </w:r>
        <w:r>
          <w:rPr>
            <w:noProof/>
          </w:rPr>
          <w:fldChar w:fldCharType="end"/>
        </w:r>
      </w:p>
    </w:sdtContent>
  </w:sdt>
  <w:p w:rsidR="00CA16CC" w:rsidRDefault="00CA16CC">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F49" w:rsidRDefault="00A80F49" w:rsidP="00BB4844">
      <w:r>
        <w:separator/>
      </w:r>
    </w:p>
  </w:footnote>
  <w:footnote w:type="continuationSeparator" w:id="0">
    <w:p w:rsidR="00A80F49" w:rsidRDefault="00A80F49" w:rsidP="00BB4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6CC" w:rsidRDefault="00A80F49">
    <w:pPr>
      <w:pStyle w:val="Sidehoved"/>
    </w:pPr>
    <w:r>
      <w:rPr>
        <w:noProof/>
      </w:rPr>
      <w:pict w14:anchorId="2B75F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81958" o:spid="_x0000_s2051"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6CC" w:rsidRDefault="00A80F49">
    <w:pPr>
      <w:pStyle w:val="Sidehoved"/>
    </w:pPr>
    <w:r>
      <w:rPr>
        <w:noProof/>
      </w:rPr>
      <w:pict w14:anchorId="66C948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81959" o:spid="_x0000_s2052" type="#_x0000_t136" style="position:absolute;margin-left:0;margin-top:0;width:435.05pt;height:174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6CC" w:rsidRDefault="00A80F49">
    <w:pPr>
      <w:pStyle w:val="Sidehoved"/>
    </w:pPr>
    <w:r>
      <w:rPr>
        <w:noProof/>
      </w:rPr>
      <w:pict w14:anchorId="52E08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81957" o:spid="_x0000_s2050"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63971"/>
    <w:multiLevelType w:val="multilevel"/>
    <w:tmpl w:val="C266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DE52B1"/>
    <w:multiLevelType w:val="hybridMultilevel"/>
    <w:tmpl w:val="B448B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4D4FEC"/>
    <w:multiLevelType w:val="hybridMultilevel"/>
    <w:tmpl w:val="CE2CFDAC"/>
    <w:lvl w:ilvl="0" w:tplc="0406000F">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23941A75"/>
    <w:multiLevelType w:val="hybridMultilevel"/>
    <w:tmpl w:val="EE7EF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A1735F"/>
    <w:multiLevelType w:val="hybridMultilevel"/>
    <w:tmpl w:val="6F101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260067"/>
    <w:multiLevelType w:val="hybridMultilevel"/>
    <w:tmpl w:val="D3A873C2"/>
    <w:lvl w:ilvl="0" w:tplc="BEFC4570">
      <w:start w:val="1"/>
      <w:numFmt w:val="upp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57C03485"/>
    <w:multiLevelType w:val="hybridMultilevel"/>
    <w:tmpl w:val="28BE7EC8"/>
    <w:lvl w:ilvl="0" w:tplc="516879B2">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149"/>
    <w:rsid w:val="00023F96"/>
    <w:rsid w:val="0003003F"/>
    <w:rsid w:val="0004061C"/>
    <w:rsid w:val="000733B2"/>
    <w:rsid w:val="00092A52"/>
    <w:rsid w:val="000C069E"/>
    <w:rsid w:val="000C2EDB"/>
    <w:rsid w:val="000C6FB6"/>
    <w:rsid w:val="00181D23"/>
    <w:rsid w:val="001847C1"/>
    <w:rsid w:val="001D2EB8"/>
    <w:rsid w:val="001F62F0"/>
    <w:rsid w:val="00367043"/>
    <w:rsid w:val="00371A84"/>
    <w:rsid w:val="003976F9"/>
    <w:rsid w:val="003F5C71"/>
    <w:rsid w:val="00420AF9"/>
    <w:rsid w:val="00445A85"/>
    <w:rsid w:val="0045187B"/>
    <w:rsid w:val="0045613A"/>
    <w:rsid w:val="00497B23"/>
    <w:rsid w:val="00515C7D"/>
    <w:rsid w:val="00675705"/>
    <w:rsid w:val="006803D6"/>
    <w:rsid w:val="006C0BE3"/>
    <w:rsid w:val="00734B04"/>
    <w:rsid w:val="007633B4"/>
    <w:rsid w:val="00770F43"/>
    <w:rsid w:val="007A7D18"/>
    <w:rsid w:val="008536D4"/>
    <w:rsid w:val="008D060B"/>
    <w:rsid w:val="008F7328"/>
    <w:rsid w:val="00903525"/>
    <w:rsid w:val="0094300E"/>
    <w:rsid w:val="00A20A04"/>
    <w:rsid w:val="00A80F49"/>
    <w:rsid w:val="00AB7658"/>
    <w:rsid w:val="00AD2E1F"/>
    <w:rsid w:val="00AE2DA9"/>
    <w:rsid w:val="00B23149"/>
    <w:rsid w:val="00B27BCC"/>
    <w:rsid w:val="00B34C30"/>
    <w:rsid w:val="00B765E1"/>
    <w:rsid w:val="00BB4844"/>
    <w:rsid w:val="00BC6E18"/>
    <w:rsid w:val="00BC7196"/>
    <w:rsid w:val="00C50852"/>
    <w:rsid w:val="00CA16CC"/>
    <w:rsid w:val="00D636FF"/>
    <w:rsid w:val="00D71250"/>
    <w:rsid w:val="00E0305D"/>
    <w:rsid w:val="00E047F9"/>
    <w:rsid w:val="00E16176"/>
    <w:rsid w:val="00E30C67"/>
    <w:rsid w:val="00E52A92"/>
    <w:rsid w:val="00E549A2"/>
    <w:rsid w:val="00EC777C"/>
    <w:rsid w:val="00FC4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3">
    <w:name w:val="heading 3"/>
    <w:basedOn w:val="Normal"/>
    <w:next w:val="Normal"/>
    <w:link w:val="Overskrift3Tegn"/>
    <w:uiPriority w:val="9"/>
    <w:unhideWhenUsed/>
    <w:qFormat/>
    <w:rsid w:val="00497B23"/>
    <w:pPr>
      <w:keepNext/>
      <w:keepLines/>
      <w:spacing w:before="200" w:line="276" w:lineRule="auto"/>
      <w:outlineLvl w:val="2"/>
    </w:pPr>
    <w:rPr>
      <w:rFonts w:ascii="Cambria" w:eastAsia="Times New Roman" w:hAnsi="Cambria" w:cs="Times New Roman"/>
      <w:b/>
      <w:bCs/>
      <w:color w:val="4F81BD"/>
      <w:sz w:val="22"/>
      <w:szCs w:val="22"/>
    </w:rPr>
  </w:style>
  <w:style w:type="paragraph" w:styleId="Overskrift4">
    <w:name w:val="heading 4"/>
    <w:basedOn w:val="Normal"/>
    <w:next w:val="Normal"/>
    <w:link w:val="Overskrift4Tegn"/>
    <w:uiPriority w:val="9"/>
    <w:semiHidden/>
    <w:unhideWhenUsed/>
    <w:qFormat/>
    <w:rsid w:val="00497B23"/>
    <w:pPr>
      <w:keepNext/>
      <w:keepLines/>
      <w:spacing w:before="200" w:line="276" w:lineRule="auto"/>
      <w:outlineLvl w:val="3"/>
    </w:pPr>
    <w:rPr>
      <w:rFonts w:ascii="Cambria" w:eastAsia="Times New Roman" w:hAnsi="Cambria" w:cs="Times New Roman"/>
      <w:b/>
      <w:bCs/>
      <w:i/>
      <w:iCs/>
      <w:color w:val="4F81BD"/>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23149"/>
    <w:pPr>
      <w:ind w:left="720"/>
      <w:contextualSpacing/>
    </w:pPr>
  </w:style>
  <w:style w:type="paragraph" w:styleId="Markeringsbobletekst">
    <w:name w:val="Balloon Text"/>
    <w:basedOn w:val="Normal"/>
    <w:link w:val="MarkeringsbobletekstTegn"/>
    <w:uiPriority w:val="99"/>
    <w:semiHidden/>
    <w:unhideWhenUsed/>
    <w:rsid w:val="003976F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976F9"/>
    <w:rPr>
      <w:rFonts w:ascii="Tahoma" w:hAnsi="Tahoma" w:cs="Tahoma"/>
      <w:sz w:val="16"/>
      <w:szCs w:val="16"/>
    </w:rPr>
  </w:style>
  <w:style w:type="paragraph" w:styleId="Sidehoved">
    <w:name w:val="header"/>
    <w:basedOn w:val="Normal"/>
    <w:link w:val="SidehovedTegn"/>
    <w:uiPriority w:val="99"/>
    <w:unhideWhenUsed/>
    <w:rsid w:val="00BB4844"/>
    <w:pPr>
      <w:tabs>
        <w:tab w:val="center" w:pos="4680"/>
        <w:tab w:val="right" w:pos="9360"/>
      </w:tabs>
    </w:pPr>
  </w:style>
  <w:style w:type="character" w:customStyle="1" w:styleId="SidehovedTegn">
    <w:name w:val="Sidehoved Tegn"/>
    <w:basedOn w:val="Standardskrifttypeiafsnit"/>
    <w:link w:val="Sidehoved"/>
    <w:uiPriority w:val="99"/>
    <w:rsid w:val="00BB4844"/>
  </w:style>
  <w:style w:type="paragraph" w:styleId="Sidefod">
    <w:name w:val="footer"/>
    <w:basedOn w:val="Normal"/>
    <w:link w:val="SidefodTegn"/>
    <w:uiPriority w:val="99"/>
    <w:unhideWhenUsed/>
    <w:rsid w:val="00BB4844"/>
    <w:pPr>
      <w:tabs>
        <w:tab w:val="center" w:pos="4680"/>
        <w:tab w:val="right" w:pos="9360"/>
      </w:tabs>
    </w:pPr>
  </w:style>
  <w:style w:type="character" w:customStyle="1" w:styleId="SidefodTegn">
    <w:name w:val="Sidefod Tegn"/>
    <w:basedOn w:val="Standardskrifttypeiafsnit"/>
    <w:link w:val="Sidefod"/>
    <w:uiPriority w:val="99"/>
    <w:rsid w:val="00BB4844"/>
  </w:style>
  <w:style w:type="character" w:customStyle="1" w:styleId="Overskrift3Tegn">
    <w:name w:val="Overskrift 3 Tegn"/>
    <w:basedOn w:val="Standardskrifttypeiafsnit"/>
    <w:link w:val="Overskrift3"/>
    <w:uiPriority w:val="9"/>
    <w:rsid w:val="00497B23"/>
    <w:rPr>
      <w:rFonts w:ascii="Cambria" w:eastAsia="Times New Roman" w:hAnsi="Cambria" w:cs="Times New Roman"/>
      <w:b/>
      <w:bCs/>
      <w:color w:val="4F81BD"/>
      <w:sz w:val="22"/>
      <w:szCs w:val="22"/>
    </w:rPr>
  </w:style>
  <w:style w:type="character" w:customStyle="1" w:styleId="Overskrift4Tegn">
    <w:name w:val="Overskrift 4 Tegn"/>
    <w:basedOn w:val="Standardskrifttypeiafsnit"/>
    <w:link w:val="Overskrift4"/>
    <w:uiPriority w:val="9"/>
    <w:semiHidden/>
    <w:rsid w:val="00497B23"/>
    <w:rPr>
      <w:rFonts w:ascii="Cambria" w:eastAsia="Times New Roman" w:hAnsi="Cambria" w:cs="Times New Roman"/>
      <w:b/>
      <w:bCs/>
      <w:i/>
      <w:iCs/>
      <w:color w:val="4F81BD"/>
      <w:sz w:val="22"/>
      <w:szCs w:val="22"/>
    </w:rPr>
  </w:style>
  <w:style w:type="character" w:styleId="Strk">
    <w:name w:val="Strong"/>
    <w:basedOn w:val="Standardskrifttypeiafsnit"/>
    <w:uiPriority w:val="22"/>
    <w:qFormat/>
    <w:rsid w:val="00497B23"/>
    <w:rPr>
      <w:b/>
      <w:bCs/>
    </w:rPr>
  </w:style>
  <w:style w:type="character" w:styleId="Hyperlink">
    <w:name w:val="Hyperlink"/>
    <w:basedOn w:val="Standardskrifttypeiafsnit"/>
    <w:uiPriority w:val="99"/>
    <w:semiHidden/>
    <w:unhideWhenUsed/>
    <w:rsid w:val="00497B23"/>
    <w:rPr>
      <w:color w:val="0000FF"/>
      <w:u w:val="single"/>
    </w:rPr>
  </w:style>
  <w:style w:type="paragraph" w:styleId="NormalWeb">
    <w:name w:val="Normal (Web)"/>
    <w:basedOn w:val="Normal"/>
    <w:uiPriority w:val="99"/>
    <w:unhideWhenUsed/>
    <w:rsid w:val="00497B23"/>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3">
    <w:name w:val="heading 3"/>
    <w:basedOn w:val="Normal"/>
    <w:next w:val="Normal"/>
    <w:link w:val="Overskrift3Tegn"/>
    <w:uiPriority w:val="9"/>
    <w:unhideWhenUsed/>
    <w:qFormat/>
    <w:rsid w:val="00497B23"/>
    <w:pPr>
      <w:keepNext/>
      <w:keepLines/>
      <w:spacing w:before="200" w:line="276" w:lineRule="auto"/>
      <w:outlineLvl w:val="2"/>
    </w:pPr>
    <w:rPr>
      <w:rFonts w:ascii="Cambria" w:eastAsia="Times New Roman" w:hAnsi="Cambria" w:cs="Times New Roman"/>
      <w:b/>
      <w:bCs/>
      <w:color w:val="4F81BD"/>
      <w:sz w:val="22"/>
      <w:szCs w:val="22"/>
    </w:rPr>
  </w:style>
  <w:style w:type="paragraph" w:styleId="Overskrift4">
    <w:name w:val="heading 4"/>
    <w:basedOn w:val="Normal"/>
    <w:next w:val="Normal"/>
    <w:link w:val="Overskrift4Tegn"/>
    <w:uiPriority w:val="9"/>
    <w:semiHidden/>
    <w:unhideWhenUsed/>
    <w:qFormat/>
    <w:rsid w:val="00497B23"/>
    <w:pPr>
      <w:keepNext/>
      <w:keepLines/>
      <w:spacing w:before="200" w:line="276" w:lineRule="auto"/>
      <w:outlineLvl w:val="3"/>
    </w:pPr>
    <w:rPr>
      <w:rFonts w:ascii="Cambria" w:eastAsia="Times New Roman" w:hAnsi="Cambria" w:cs="Times New Roman"/>
      <w:b/>
      <w:bCs/>
      <w:i/>
      <w:iCs/>
      <w:color w:val="4F81BD"/>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23149"/>
    <w:pPr>
      <w:ind w:left="720"/>
      <w:contextualSpacing/>
    </w:pPr>
  </w:style>
  <w:style w:type="paragraph" w:styleId="Markeringsbobletekst">
    <w:name w:val="Balloon Text"/>
    <w:basedOn w:val="Normal"/>
    <w:link w:val="MarkeringsbobletekstTegn"/>
    <w:uiPriority w:val="99"/>
    <w:semiHidden/>
    <w:unhideWhenUsed/>
    <w:rsid w:val="003976F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976F9"/>
    <w:rPr>
      <w:rFonts w:ascii="Tahoma" w:hAnsi="Tahoma" w:cs="Tahoma"/>
      <w:sz w:val="16"/>
      <w:szCs w:val="16"/>
    </w:rPr>
  </w:style>
  <w:style w:type="paragraph" w:styleId="Sidehoved">
    <w:name w:val="header"/>
    <w:basedOn w:val="Normal"/>
    <w:link w:val="SidehovedTegn"/>
    <w:uiPriority w:val="99"/>
    <w:unhideWhenUsed/>
    <w:rsid w:val="00BB4844"/>
    <w:pPr>
      <w:tabs>
        <w:tab w:val="center" w:pos="4680"/>
        <w:tab w:val="right" w:pos="9360"/>
      </w:tabs>
    </w:pPr>
  </w:style>
  <w:style w:type="character" w:customStyle="1" w:styleId="SidehovedTegn">
    <w:name w:val="Sidehoved Tegn"/>
    <w:basedOn w:val="Standardskrifttypeiafsnit"/>
    <w:link w:val="Sidehoved"/>
    <w:uiPriority w:val="99"/>
    <w:rsid w:val="00BB4844"/>
  </w:style>
  <w:style w:type="paragraph" w:styleId="Sidefod">
    <w:name w:val="footer"/>
    <w:basedOn w:val="Normal"/>
    <w:link w:val="SidefodTegn"/>
    <w:uiPriority w:val="99"/>
    <w:unhideWhenUsed/>
    <w:rsid w:val="00BB4844"/>
    <w:pPr>
      <w:tabs>
        <w:tab w:val="center" w:pos="4680"/>
        <w:tab w:val="right" w:pos="9360"/>
      </w:tabs>
    </w:pPr>
  </w:style>
  <w:style w:type="character" w:customStyle="1" w:styleId="SidefodTegn">
    <w:name w:val="Sidefod Tegn"/>
    <w:basedOn w:val="Standardskrifttypeiafsnit"/>
    <w:link w:val="Sidefod"/>
    <w:uiPriority w:val="99"/>
    <w:rsid w:val="00BB4844"/>
  </w:style>
  <w:style w:type="character" w:customStyle="1" w:styleId="Overskrift3Tegn">
    <w:name w:val="Overskrift 3 Tegn"/>
    <w:basedOn w:val="Standardskrifttypeiafsnit"/>
    <w:link w:val="Overskrift3"/>
    <w:uiPriority w:val="9"/>
    <w:rsid w:val="00497B23"/>
    <w:rPr>
      <w:rFonts w:ascii="Cambria" w:eastAsia="Times New Roman" w:hAnsi="Cambria" w:cs="Times New Roman"/>
      <w:b/>
      <w:bCs/>
      <w:color w:val="4F81BD"/>
      <w:sz w:val="22"/>
      <w:szCs w:val="22"/>
    </w:rPr>
  </w:style>
  <w:style w:type="character" w:customStyle="1" w:styleId="Overskrift4Tegn">
    <w:name w:val="Overskrift 4 Tegn"/>
    <w:basedOn w:val="Standardskrifttypeiafsnit"/>
    <w:link w:val="Overskrift4"/>
    <w:uiPriority w:val="9"/>
    <w:semiHidden/>
    <w:rsid w:val="00497B23"/>
    <w:rPr>
      <w:rFonts w:ascii="Cambria" w:eastAsia="Times New Roman" w:hAnsi="Cambria" w:cs="Times New Roman"/>
      <w:b/>
      <w:bCs/>
      <w:i/>
      <w:iCs/>
      <w:color w:val="4F81BD"/>
      <w:sz w:val="22"/>
      <w:szCs w:val="22"/>
    </w:rPr>
  </w:style>
  <w:style w:type="character" w:styleId="Strk">
    <w:name w:val="Strong"/>
    <w:basedOn w:val="Standardskrifttypeiafsnit"/>
    <w:uiPriority w:val="22"/>
    <w:qFormat/>
    <w:rsid w:val="00497B23"/>
    <w:rPr>
      <w:b/>
      <w:bCs/>
    </w:rPr>
  </w:style>
  <w:style w:type="character" w:styleId="Hyperlink">
    <w:name w:val="Hyperlink"/>
    <w:basedOn w:val="Standardskrifttypeiafsnit"/>
    <w:uiPriority w:val="99"/>
    <w:semiHidden/>
    <w:unhideWhenUsed/>
    <w:rsid w:val="00497B23"/>
    <w:rPr>
      <w:color w:val="0000FF"/>
      <w:u w:val="single"/>
    </w:rPr>
  </w:style>
  <w:style w:type="paragraph" w:styleId="NormalWeb">
    <w:name w:val="Normal (Web)"/>
    <w:basedOn w:val="Normal"/>
    <w:uiPriority w:val="99"/>
    <w:unhideWhenUsed/>
    <w:rsid w:val="00497B2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cann.adobeconnect.com/p5fcx7t8u9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icann.adobeconnect.com/p17n8q2y2qq/"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munity.icann.org/download/attachments/41890059/20130620_ATRT2_ID795926.pdf?version=1&amp;modificationDate=1372186140000" TargetMode="External"/><Relationship Id="rId5" Type="http://schemas.openxmlformats.org/officeDocument/2006/relationships/settings" Target="settings.xml"/><Relationship Id="rId15" Type="http://schemas.openxmlformats.org/officeDocument/2006/relationships/hyperlink" Target="https://community.icann.org/download/attachments/41884187/DAY2.pdf?version=1&amp;modificationDate=1377345148000" TargetMode="External"/><Relationship Id="rId10" Type="http://schemas.openxmlformats.org/officeDocument/2006/relationships/hyperlink" Target="http://audio.icann.org/atrt2-20130620-en.mp3"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icann.org/en/groups/board/documents/resolutions-18oct12-en.htm" TargetMode="External"/><Relationship Id="rId14" Type="http://schemas.openxmlformats.org/officeDocument/2006/relationships/hyperlink" Target="https://community.icann.org/download/attachments/41884187/chat+transcript+-+day+2.pdf?version=1&amp;modificationDate=1376620716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C2687-D7AA-4464-B6AF-8F33738FC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1455</Words>
  <Characters>8879</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PIR</Company>
  <LinksUpToDate>false</LinksUpToDate>
  <CharactersWithSpaces>10314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Cute</dc:creator>
  <cp:lastModifiedBy>Lise Katrine Fuhr</cp:lastModifiedBy>
  <cp:revision>10</cp:revision>
  <dcterms:created xsi:type="dcterms:W3CDTF">2013-09-19T07:47:00Z</dcterms:created>
  <dcterms:modified xsi:type="dcterms:W3CDTF">2013-09-19T08:59:00Z</dcterms:modified>
</cp:coreProperties>
</file>