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Given the current issue of whistleblowing at ICANN.  And given the difficulty even this group might have at delving into it in a fully open and neutral manner, perhaps bring in an outside expert to act as a Special Investigator into the ICANN Whistleblower program and employee morale might be a good use of an outside expert.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The ICANN Whistleblower program is known as the Hotline program.  All of the information on this program, except for a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memo</w:t>
        </w:r>
      </w:hyperlink>
      <w:r w:rsidRPr="00000000" w:rsidR="00000000" w:rsidDel="00000000">
        <w:rPr>
          <w:rtl w:val="0"/>
        </w:rPr>
        <w:t xml:space="preserve"> seems to be only available on ICANN internal web pages.  While the ICANN Board Audit committee seems to have responsibility for reviewing reports of a financial nature, it is unclear what mechanisms are being used for any other reports that might be received by this hotline.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Some of the information that an Outside Expert could research includes: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Produce a synthesis report on the ICANN hotline process and how it operates as a whistleblower mechanism.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Do all employees know about hotline. E.g. are there signs up in the cafeteria encouraging employees to use the hotline? 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Do employees think that it is an effective mechanism? Why or why not?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Do employees feel safe using this mechanism? Why or why not?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Have any hotline reporting employees been discovered and disciplined (or had coincidental bad performance reviews)?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Other issues that the Outside Expert could research include: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How many hotline issue are recorded each year?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What are the categories of employee concern?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How have these been handled, specifically?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What dispositions?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Have any resulted in management changes or the creation of new internal policies? </w:t>
      </w:r>
    </w:p>
    <w:sectPr>
      <w:headerReference r:id="rId6" w:type="default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/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6"/><Relationship Target="http://www.google.co.uk/url?sa=t&amp;rct=j&amp;q=&amp;esrc=s&amp;source=web&amp;cd=1&amp;cad=rja&amp;ved=0CDQQFjAA&amp;url=http%3A%2F%2Fwww.icann.org%2Fen%2Fabout%2Ftransparency%2Fdidp-response-20111027-1-supporting-document-28nov11-en.pdf&amp;ei=GuSYUYTFFYqy0QWOnIHYBw&amp;usg=AFQjCNGje1tzUqnqWiMDDVkbc6BuXucTiQ&amp;bvm=bv.46751780,d.d2k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 expert - ICANN whistleblower function.docx</dc:title>
</cp:coreProperties>
</file>