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EE38F" w14:textId="26126440" w:rsidR="00587F68" w:rsidRPr="001D1A8A" w:rsidRDefault="008E463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Updated</w:t>
      </w:r>
      <w:r w:rsidR="00E425F8" w:rsidRPr="001D1A8A">
        <w:rPr>
          <w:rFonts w:asciiTheme="majorHAnsi" w:hAnsiTheme="majorHAnsi"/>
          <w:b/>
          <w:sz w:val="20"/>
          <w:szCs w:val="20"/>
        </w:rPr>
        <w:t xml:space="preserve"> </w:t>
      </w:r>
      <w:r w:rsidR="00F14C4B" w:rsidRPr="001D1A8A">
        <w:rPr>
          <w:rFonts w:asciiTheme="majorHAnsi" w:hAnsiTheme="majorHAnsi"/>
          <w:b/>
          <w:sz w:val="20"/>
          <w:szCs w:val="20"/>
        </w:rPr>
        <w:t>Scorecard on GAC Beijing Advice</w:t>
      </w:r>
      <w:r w:rsidR="00A7638A" w:rsidRPr="001D1A8A">
        <w:rPr>
          <w:rFonts w:asciiTheme="majorHAnsi" w:hAnsiTheme="majorHAnsi"/>
          <w:sz w:val="20"/>
          <w:szCs w:val="20"/>
        </w:rPr>
        <w:tab/>
      </w:r>
      <w:r w:rsidR="00A7638A" w:rsidRPr="001D1A8A">
        <w:rPr>
          <w:rFonts w:asciiTheme="majorHAnsi" w:hAnsiTheme="majorHAnsi"/>
          <w:sz w:val="20"/>
          <w:szCs w:val="20"/>
        </w:rPr>
        <w:tab/>
      </w:r>
      <w:r w:rsidR="00A7638A" w:rsidRPr="001D1A8A">
        <w:rPr>
          <w:rFonts w:asciiTheme="majorHAnsi" w:hAnsiTheme="majorHAnsi"/>
          <w:sz w:val="20"/>
          <w:szCs w:val="20"/>
        </w:rPr>
        <w:tab/>
      </w:r>
      <w:r w:rsidR="00A7638A" w:rsidRPr="001D1A8A">
        <w:rPr>
          <w:rFonts w:asciiTheme="majorHAnsi" w:hAnsiTheme="majorHAnsi"/>
          <w:sz w:val="20"/>
          <w:szCs w:val="20"/>
        </w:rPr>
        <w:tab/>
        <w:t>P</w:t>
      </w:r>
      <w:r>
        <w:rPr>
          <w:rFonts w:asciiTheme="majorHAnsi" w:hAnsiTheme="majorHAnsi"/>
          <w:sz w:val="20"/>
          <w:szCs w:val="20"/>
        </w:rPr>
        <w:t>repared by Steve DelBianco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4</w:t>
      </w:r>
      <w:r w:rsidR="00A7638A" w:rsidRPr="001D1A8A">
        <w:rPr>
          <w:rFonts w:asciiTheme="majorHAnsi" w:hAnsiTheme="majorHAnsi"/>
          <w:sz w:val="20"/>
          <w:szCs w:val="20"/>
        </w:rPr>
        <w:t>-Ju</w:t>
      </w:r>
      <w:r>
        <w:rPr>
          <w:rFonts w:asciiTheme="majorHAnsi" w:hAnsiTheme="majorHAnsi"/>
          <w:sz w:val="20"/>
          <w:szCs w:val="20"/>
        </w:rPr>
        <w:t>l</w:t>
      </w:r>
      <w:r w:rsidR="00A7638A" w:rsidRPr="001D1A8A">
        <w:rPr>
          <w:rFonts w:asciiTheme="majorHAnsi" w:hAnsiTheme="majorHAnsi"/>
          <w:sz w:val="20"/>
          <w:szCs w:val="20"/>
        </w:rPr>
        <w:t>-2013</w:t>
      </w:r>
    </w:p>
    <w:p w14:paraId="2C5C9A3A" w14:textId="77777777" w:rsidR="00F14C4B" w:rsidRPr="001D1A8A" w:rsidRDefault="00F14C4B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3338" w:type="dxa"/>
        <w:tblLayout w:type="fixed"/>
        <w:tblLook w:val="04A0" w:firstRow="1" w:lastRow="0" w:firstColumn="1" w:lastColumn="0" w:noHBand="0" w:noVBand="1"/>
      </w:tblPr>
      <w:tblGrid>
        <w:gridCol w:w="5238"/>
        <w:gridCol w:w="3690"/>
        <w:gridCol w:w="4410"/>
      </w:tblGrid>
      <w:tr w:rsidR="00E425F8" w:rsidRPr="001D1A8A" w14:paraId="3477AB6A" w14:textId="77777777" w:rsidTr="00114165">
        <w:trPr>
          <w:tblHeader/>
        </w:trPr>
        <w:tc>
          <w:tcPr>
            <w:tcW w:w="5238" w:type="dxa"/>
          </w:tcPr>
          <w:p w14:paraId="77955C2A" w14:textId="0333CA25" w:rsidR="00E425F8" w:rsidRPr="001D1A8A" w:rsidRDefault="00E425F8" w:rsidP="00E425F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GAC Advice</w:t>
            </w:r>
            <w:r w:rsidR="001D1A8A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hyperlink r:id="rId7" w:history="1">
              <w:r w:rsidR="001D1A8A" w:rsidRPr="001D1A8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link</w:t>
              </w:r>
            </w:hyperlink>
            <w:r w:rsidR="001D1A8A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7FDA0D5" w14:textId="1508BE92" w:rsidR="00E425F8" w:rsidRPr="001D1A8A" w:rsidRDefault="00E425F8" w:rsidP="00E425F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BC position</w:t>
            </w:r>
            <w:r w:rsidR="00F348A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180FE2AC" w14:textId="77777777" w:rsidR="00E425F8" w:rsidRPr="001D1A8A" w:rsidRDefault="00E425F8" w:rsidP="00A763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Response from ICANN Board/New gTLD Program Committee (NGPC)</w:t>
            </w:r>
          </w:p>
        </w:tc>
      </w:tr>
      <w:tr w:rsidR="00A7638A" w:rsidRPr="001D1A8A" w14:paraId="36E926C6" w14:textId="77777777" w:rsidTr="00114165">
        <w:tc>
          <w:tcPr>
            <w:tcW w:w="5238" w:type="dxa"/>
          </w:tcPr>
          <w:p w14:paraId="6DF7CD8F" w14:textId="77777777" w:rsidR="00F14C4B" w:rsidRPr="001D1A8A" w:rsidRDefault="00E425F8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1. New gTLDs:</w:t>
            </w:r>
          </w:p>
        </w:tc>
        <w:tc>
          <w:tcPr>
            <w:tcW w:w="3690" w:type="dxa"/>
            <w:shd w:val="clear" w:color="auto" w:fill="E6E6E6"/>
          </w:tcPr>
          <w:p w14:paraId="5695CECC" w14:textId="77777777" w:rsidR="00F14C4B" w:rsidRPr="001D1A8A" w:rsidRDefault="00F14C4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E6E6E6"/>
          </w:tcPr>
          <w:p w14:paraId="4C2B5F05" w14:textId="77777777" w:rsidR="00F14C4B" w:rsidRPr="001D1A8A" w:rsidRDefault="00F14C4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803BF" w:rsidRPr="001D1A8A" w14:paraId="37EDE81B" w14:textId="77777777" w:rsidTr="00114165">
        <w:tc>
          <w:tcPr>
            <w:tcW w:w="5238" w:type="dxa"/>
          </w:tcPr>
          <w:p w14:paraId="22F73885" w14:textId="6DEE7878" w:rsidR="00C803BF" w:rsidRPr="001D1A8A" w:rsidRDefault="00C803BF" w:rsidP="00C803BF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 xml:space="preserve">a. GAC consensus objections to 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  <w:r w:rsidRPr="001D1A8A">
              <w:rPr>
                <w:rFonts w:asciiTheme="majorHAnsi" w:hAnsiTheme="majorHAnsi"/>
                <w:sz w:val="20"/>
                <w:szCs w:val="20"/>
              </w:rPr>
              <w:t xml:space="preserve">africa </w:t>
            </w:r>
            <w:r>
              <w:rPr>
                <w:rFonts w:asciiTheme="majorHAnsi" w:hAnsiTheme="majorHAnsi"/>
                <w:sz w:val="20"/>
                <w:szCs w:val="20"/>
              </w:rPr>
              <w:t>and .</w:t>
            </w:r>
            <w:r w:rsidRPr="001D1A8A">
              <w:rPr>
                <w:rFonts w:asciiTheme="majorHAnsi" w:hAnsiTheme="majorHAnsi"/>
                <w:sz w:val="20"/>
                <w:szCs w:val="20"/>
              </w:rPr>
              <w:t xml:space="preserve">gcc 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14013F2" w14:textId="77777777" w:rsidR="00C803BF" w:rsidRPr="001D1A8A" w:rsidRDefault="00C803BF" w:rsidP="00C803B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1249E549" w14:textId="601D2F53" w:rsidR="00C803BF" w:rsidRPr="001D1A8A" w:rsidRDefault="0083525D" w:rsidP="00835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4-Jun </w:t>
            </w:r>
            <w:r w:rsidR="00C803BF">
              <w:rPr>
                <w:rFonts w:asciiTheme="majorHAnsi" w:hAnsiTheme="majorHAnsi"/>
                <w:sz w:val="20"/>
                <w:szCs w:val="20"/>
              </w:rPr>
              <w:t xml:space="preserve">NGPC </w:t>
            </w:r>
            <w:r>
              <w:rPr>
                <w:rFonts w:asciiTheme="majorHAnsi" w:hAnsiTheme="majorHAnsi"/>
                <w:sz w:val="20"/>
                <w:szCs w:val="20"/>
              </w:rPr>
              <w:t>resolution accepted, saying</w:t>
            </w:r>
            <w:r w:rsidR="00C803B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these a</w:t>
            </w:r>
            <w:r w:rsidR="00C803BF">
              <w:rPr>
                <w:rFonts w:asciiTheme="majorHAnsi" w:hAnsiTheme="majorHAnsi"/>
                <w:sz w:val="20"/>
                <w:szCs w:val="20"/>
              </w:rPr>
              <w:t>pplications will not proceed.</w:t>
            </w:r>
            <w:r w:rsidR="000E2160">
              <w:rPr>
                <w:rFonts w:asciiTheme="majorHAnsi" w:hAnsiTheme="majorHAnsi"/>
                <w:sz w:val="20"/>
                <w:szCs w:val="20"/>
              </w:rPr>
              <w:t xml:space="preserve"> (#1 and #2)</w:t>
            </w:r>
          </w:p>
        </w:tc>
      </w:tr>
      <w:tr w:rsidR="00C803BF" w:rsidRPr="001D1A8A" w14:paraId="66FDDEAB" w14:textId="77777777" w:rsidTr="00114165">
        <w:tc>
          <w:tcPr>
            <w:tcW w:w="5238" w:type="dxa"/>
          </w:tcPr>
          <w:p w14:paraId="2981393F" w14:textId="70909870" w:rsidR="00C803BF" w:rsidRPr="001D1A8A" w:rsidRDefault="00C803BF" w:rsidP="0083525D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 xml:space="preserve">GAC </w:t>
            </w:r>
            <w:r>
              <w:rPr>
                <w:rFonts w:asciiTheme="majorHAnsi" w:hAnsiTheme="majorHAnsi"/>
                <w:sz w:val="20"/>
                <w:szCs w:val="20"/>
              </w:rPr>
              <w:t>sensitivity about</w:t>
            </w:r>
            <w:r w:rsidR="0083525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.</w:t>
            </w:r>
            <w:r w:rsidRPr="001D1A8A">
              <w:rPr>
                <w:rFonts w:asciiTheme="majorHAnsi" w:hAnsiTheme="majorHAnsi"/>
                <w:sz w:val="20"/>
                <w:szCs w:val="20"/>
              </w:rPr>
              <w:t xml:space="preserve">islam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.</w:t>
            </w:r>
            <w:r w:rsidRPr="001D1A8A">
              <w:rPr>
                <w:rFonts w:asciiTheme="majorHAnsi" w:hAnsiTheme="majorHAnsi"/>
                <w:sz w:val="20"/>
                <w:szCs w:val="20"/>
              </w:rPr>
              <w:t>halal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D7DEC05" w14:textId="77777777" w:rsidR="00C803BF" w:rsidRPr="001D1A8A" w:rsidRDefault="00C803B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42D45641" w14:textId="14E29F5B" w:rsidR="00C803BF" w:rsidRPr="001D1A8A" w:rsidRDefault="0083525D" w:rsidP="00835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4-Jun </w:t>
            </w:r>
            <w:r w:rsidR="00C803BF">
              <w:rPr>
                <w:rFonts w:asciiTheme="majorHAnsi" w:hAnsiTheme="majorHAnsi"/>
                <w:sz w:val="20"/>
                <w:szCs w:val="20"/>
              </w:rPr>
              <w:t xml:space="preserve">NGPC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resolution </w:t>
            </w:r>
            <w:r w:rsidR="004A0AB0">
              <w:rPr>
                <w:rFonts w:asciiTheme="majorHAnsi" w:hAnsiTheme="majorHAnsi"/>
                <w:sz w:val="20"/>
                <w:szCs w:val="20"/>
              </w:rPr>
              <w:t>“</w:t>
            </w:r>
            <w:r w:rsidR="00C803BF">
              <w:rPr>
                <w:rFonts w:asciiTheme="majorHAnsi" w:hAnsiTheme="majorHAnsi"/>
                <w:sz w:val="20"/>
                <w:szCs w:val="20"/>
              </w:rPr>
              <w:t>accepted</w:t>
            </w:r>
            <w:r w:rsidR="004A0AB0">
              <w:rPr>
                <w:rFonts w:asciiTheme="majorHAnsi" w:hAnsiTheme="majorHAnsi"/>
                <w:sz w:val="20"/>
                <w:szCs w:val="20"/>
              </w:rPr>
              <w:t>”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this </w:t>
            </w:r>
            <w:r w:rsidR="000E2160">
              <w:rPr>
                <w:rFonts w:asciiTheme="majorHAnsi" w:hAnsiTheme="majorHAnsi"/>
                <w:sz w:val="20"/>
                <w:szCs w:val="20"/>
              </w:rPr>
              <w:t>(#3)</w:t>
            </w:r>
            <w:r w:rsidR="004A0AB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and a</w:t>
            </w:r>
            <w:r w:rsidR="00C803BF">
              <w:rPr>
                <w:rFonts w:asciiTheme="majorHAnsi" w:hAnsiTheme="majorHAnsi"/>
                <w:sz w:val="20"/>
                <w:szCs w:val="20"/>
              </w:rPr>
              <w:t xml:space="preserve">sked GAC </w:t>
            </w:r>
            <w:r w:rsidR="00B9152D">
              <w:rPr>
                <w:rFonts w:asciiTheme="majorHAnsi" w:hAnsiTheme="majorHAnsi"/>
                <w:sz w:val="20"/>
                <w:szCs w:val="20"/>
              </w:rPr>
              <w:t>for dialogue on these TLDs</w:t>
            </w:r>
            <w:r w:rsidR="00C803B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C803BF" w:rsidRPr="001D1A8A" w14:paraId="4E38B8C9" w14:textId="77777777" w:rsidTr="00114165">
        <w:tc>
          <w:tcPr>
            <w:tcW w:w="5238" w:type="dxa"/>
          </w:tcPr>
          <w:p w14:paraId="345424E8" w14:textId="77777777" w:rsidR="00C803BF" w:rsidRPr="001D1A8A" w:rsidRDefault="00C803BF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 xml:space="preserve">b. Safeguards for </w:t>
            </w:r>
            <w:r w:rsidRPr="001D1A8A">
              <w:rPr>
                <w:rFonts w:asciiTheme="majorHAnsi" w:hAnsiTheme="majorHAnsi"/>
                <w:sz w:val="20"/>
                <w:szCs w:val="20"/>
                <w:u w:val="single"/>
              </w:rPr>
              <w:t xml:space="preserve">all </w:t>
            </w:r>
            <w:r w:rsidRPr="001D1A8A">
              <w:rPr>
                <w:rFonts w:asciiTheme="majorHAnsi" w:hAnsiTheme="majorHAnsi"/>
                <w:sz w:val="20"/>
                <w:szCs w:val="20"/>
              </w:rPr>
              <w:t>new gTLDs (Annex 1)</w:t>
            </w:r>
          </w:p>
        </w:tc>
        <w:tc>
          <w:tcPr>
            <w:tcW w:w="3690" w:type="dxa"/>
            <w:shd w:val="clear" w:color="auto" w:fill="E6E6E6"/>
          </w:tcPr>
          <w:p w14:paraId="1B18A982" w14:textId="77777777" w:rsidR="00C803BF" w:rsidRPr="001D1A8A" w:rsidRDefault="00C803B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E6E6E6"/>
          </w:tcPr>
          <w:p w14:paraId="1C2B8FCF" w14:textId="77777777" w:rsidR="00C803BF" w:rsidRPr="001D1A8A" w:rsidRDefault="00C803B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803BF" w:rsidRPr="001D1A8A" w14:paraId="00668CAB" w14:textId="77777777" w:rsidTr="00114165">
        <w:tc>
          <w:tcPr>
            <w:tcW w:w="5238" w:type="dxa"/>
          </w:tcPr>
          <w:p w14:paraId="7115E6E3" w14:textId="77777777" w:rsidR="00C803BF" w:rsidRPr="001D1A8A" w:rsidRDefault="00C803BF" w:rsidP="00E425F8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1. Registry does Whois verification checks 2x per year</w:t>
            </w:r>
          </w:p>
          <w:p w14:paraId="70477392" w14:textId="77777777" w:rsidR="00C803BF" w:rsidRPr="001D1A8A" w:rsidRDefault="00C803BF" w:rsidP="00E425F8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0299178" w14:textId="40A23AAC" w:rsidR="00C803BF" w:rsidRPr="001D1A8A" w:rsidRDefault="0083525D" w:rsidP="00835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4-Jun BC comments generally supported this, noting that registrars should verify per new RAA.</w:t>
            </w:r>
          </w:p>
        </w:tc>
        <w:tc>
          <w:tcPr>
            <w:tcW w:w="4410" w:type="dxa"/>
          </w:tcPr>
          <w:p w14:paraId="55BE4B96" w14:textId="6627B2F6" w:rsidR="00C803BF" w:rsidRPr="001D1A8A" w:rsidRDefault="00835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25-Jun NGPC resolution says ICANN will do the verification checks.</w:t>
            </w:r>
          </w:p>
        </w:tc>
      </w:tr>
      <w:tr w:rsidR="00C803BF" w:rsidRPr="001D1A8A" w14:paraId="4B2E7607" w14:textId="77777777" w:rsidTr="00114165">
        <w:tc>
          <w:tcPr>
            <w:tcW w:w="5238" w:type="dxa"/>
          </w:tcPr>
          <w:p w14:paraId="792F2F72" w14:textId="77777777" w:rsidR="00C803BF" w:rsidRPr="001D1A8A" w:rsidRDefault="00C803BF" w:rsidP="00E425F8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2. Registrant ToS should prohibit malware, botnets, phishing, piracy, TM/copyright infringement, fraud, deception, or anything contrary to applicable law.</w:t>
            </w:r>
          </w:p>
          <w:p w14:paraId="223C1284" w14:textId="77777777" w:rsidR="00C803BF" w:rsidRPr="001D1A8A" w:rsidRDefault="00C803BF" w:rsidP="00E425F8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59F1B9B" w14:textId="480B00DE" w:rsidR="00C803BF" w:rsidRPr="001D1A8A" w:rsidRDefault="00C1304F" w:rsidP="00C1304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4-Jun BC comments supported this.</w:t>
            </w:r>
          </w:p>
        </w:tc>
        <w:tc>
          <w:tcPr>
            <w:tcW w:w="4410" w:type="dxa"/>
          </w:tcPr>
          <w:p w14:paraId="73F2F859" w14:textId="32DAE6EB" w:rsidR="00C803BF" w:rsidRPr="001D1A8A" w:rsidRDefault="004F3A4F" w:rsidP="004F3A4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25-Jun NGPC resolution says new registry agreement will require distributing registrars to have this in their ToS for registrants.  This was done by adding a standard clause to the Public Interest Commitment (PIC Specification)</w:t>
            </w:r>
          </w:p>
        </w:tc>
      </w:tr>
      <w:tr w:rsidR="00C803BF" w:rsidRPr="001D1A8A" w14:paraId="4935DFD9" w14:textId="77777777" w:rsidTr="00114165">
        <w:tc>
          <w:tcPr>
            <w:tcW w:w="5238" w:type="dxa"/>
          </w:tcPr>
          <w:p w14:paraId="5072C295" w14:textId="77777777" w:rsidR="00C803BF" w:rsidRPr="001D1A8A" w:rsidRDefault="00C803BF" w:rsidP="00E425F8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3. Registry to periodically check domains in TLD for security threats (pharming, phishing, malware, botnets).  Notify registrar and suspend domain if no immediate remedy.</w:t>
            </w:r>
          </w:p>
          <w:p w14:paraId="5D9FB860" w14:textId="77777777" w:rsidR="00C803BF" w:rsidRPr="001D1A8A" w:rsidRDefault="00C803BF" w:rsidP="00E425F8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3712A71" w14:textId="23F72DA0" w:rsidR="00C803BF" w:rsidRPr="001D1A8A" w:rsidRDefault="00C1304F" w:rsidP="00C1304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4-Jun BC comments supported this, noting desire for ICANN to designate/approve security scanning methods and vendors.  BC also said ICANN should develop standard process for suspending domains.</w:t>
            </w:r>
          </w:p>
        </w:tc>
        <w:tc>
          <w:tcPr>
            <w:tcW w:w="4410" w:type="dxa"/>
          </w:tcPr>
          <w:p w14:paraId="37761CA6" w14:textId="137B85C2" w:rsidR="00C803BF" w:rsidRPr="001D1A8A" w:rsidRDefault="004F3A4F" w:rsidP="004F3A4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25-Jun NGPC resolution says new registry agreement will require periodic security checks and maintaining of records.  This was implemented with a new clause in the PIC Specification.</w:t>
            </w:r>
          </w:p>
        </w:tc>
      </w:tr>
      <w:tr w:rsidR="00C803BF" w:rsidRPr="001D1A8A" w14:paraId="49DD3D1E" w14:textId="77777777" w:rsidTr="00114165">
        <w:tc>
          <w:tcPr>
            <w:tcW w:w="5238" w:type="dxa"/>
          </w:tcPr>
          <w:p w14:paraId="32D975FA" w14:textId="77777777" w:rsidR="00C803BF" w:rsidRPr="001D1A8A" w:rsidRDefault="00C803BF" w:rsidP="00E425F8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4. Registry to maintain stats on inaccurate Whois , security threats found, and actions taken.</w:t>
            </w:r>
          </w:p>
          <w:p w14:paraId="5B8FD21C" w14:textId="77777777" w:rsidR="00C803BF" w:rsidRPr="001D1A8A" w:rsidRDefault="00C803BF" w:rsidP="00E425F8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77C514B" w14:textId="0BA6E75F" w:rsidR="00C803BF" w:rsidRPr="001D1A8A" w:rsidRDefault="00C1304F" w:rsidP="00C1304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4-Jun BC comments generally supported this, noting that registrars could be obligated per the new RAA.</w:t>
            </w:r>
          </w:p>
        </w:tc>
        <w:tc>
          <w:tcPr>
            <w:tcW w:w="4410" w:type="dxa"/>
          </w:tcPr>
          <w:p w14:paraId="37476AE9" w14:textId="26A34559" w:rsidR="00C803BF" w:rsidRPr="001D1A8A" w:rsidRDefault="004F3A4F" w:rsidP="004F3A4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25-Jun NGPC resolution says ICANN will do the verification checks and maintain stats.</w:t>
            </w:r>
          </w:p>
        </w:tc>
      </w:tr>
      <w:tr w:rsidR="00C803BF" w:rsidRPr="001D1A8A" w14:paraId="49529AA5" w14:textId="77777777" w:rsidTr="00114165">
        <w:tc>
          <w:tcPr>
            <w:tcW w:w="5238" w:type="dxa"/>
          </w:tcPr>
          <w:p w14:paraId="477E84E2" w14:textId="77777777" w:rsidR="00C803BF" w:rsidRPr="001D1A8A" w:rsidRDefault="00C803BF" w:rsidP="00E425F8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5. Registry needs mechanism to handling complaints about inaccurate Whois, security, etc.</w:t>
            </w:r>
          </w:p>
          <w:p w14:paraId="5BBCBBE6" w14:textId="77777777" w:rsidR="00C803BF" w:rsidRPr="001D1A8A" w:rsidRDefault="00C803BF" w:rsidP="00E425F8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28152AC" w14:textId="678E165A" w:rsidR="00C803BF" w:rsidRPr="001D1A8A" w:rsidRDefault="000628F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4-Jun BC comments generally supported this, noting that registrars could be obligated per the new RAA.</w:t>
            </w:r>
          </w:p>
        </w:tc>
        <w:tc>
          <w:tcPr>
            <w:tcW w:w="4410" w:type="dxa"/>
          </w:tcPr>
          <w:p w14:paraId="664D94CE" w14:textId="623FB882" w:rsidR="00C803BF" w:rsidRPr="001D1A8A" w:rsidRDefault="004F3A4F" w:rsidP="004F3A4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25-Jun NGPC resolution says the new registry agreement requires this (</w:t>
            </w:r>
            <w:r w:rsidRPr="004F3A4F">
              <w:rPr>
                <w:rFonts w:asciiTheme="majorHAnsi" w:hAnsiTheme="majorHAnsi"/>
                <w:sz w:val="20"/>
                <w:szCs w:val="20"/>
              </w:rPr>
              <w:t>“Operator shall provide to ICANN and publish on its website its accurate contact details including a valid email and mailing address as well as a primary contact for handling inquires related to malicious conduct in the TLD</w:t>
            </w:r>
            <w:r>
              <w:rPr>
                <w:rFonts w:asciiTheme="majorHAnsi" w:hAnsiTheme="majorHAnsi"/>
                <w:sz w:val="20"/>
                <w:szCs w:val="20"/>
              </w:rPr>
              <w:t>”</w:t>
            </w:r>
          </w:p>
        </w:tc>
      </w:tr>
      <w:tr w:rsidR="00C803BF" w:rsidRPr="001D1A8A" w14:paraId="1E601CED" w14:textId="77777777" w:rsidTr="00114165">
        <w:tc>
          <w:tcPr>
            <w:tcW w:w="5238" w:type="dxa"/>
          </w:tcPr>
          <w:p w14:paraId="010396CB" w14:textId="77777777" w:rsidR="00C803BF" w:rsidRPr="001D1A8A" w:rsidRDefault="00C803BF" w:rsidP="00E425F8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6. Registry must ensure immediate consequences (incl suspension) for inaccurate Whois or domain use in breach of applicable law</w:t>
            </w:r>
          </w:p>
          <w:p w14:paraId="01BC9DFA" w14:textId="77777777" w:rsidR="00C803BF" w:rsidRPr="001D1A8A" w:rsidRDefault="00C803B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292BF3A" w14:textId="77777777" w:rsidR="00C803BF" w:rsidRDefault="00C1304F" w:rsidP="00C1304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4-Jun BC comments supported this, noting that ICANN should develop standard process for suspending domains.</w:t>
            </w:r>
          </w:p>
          <w:p w14:paraId="12BEFC99" w14:textId="77777777" w:rsidR="000A4D87" w:rsidRDefault="000A4D87" w:rsidP="00C1304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C052416" w14:textId="1D6F2F9C" w:rsidR="000A4D87" w:rsidRPr="001D1A8A" w:rsidRDefault="000A4D87" w:rsidP="00C1304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Note that ICANN’s response allows—but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does not require—suspension of a domain.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7C45F0D2" w14:textId="77777777" w:rsidR="00C803BF" w:rsidRDefault="004F3A4F" w:rsidP="004F3A4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25-Jun NGPC resolution says new registry agreement PIC Spec will require distributing registrars to have this in their ToS for registrants.  </w:t>
            </w:r>
          </w:p>
          <w:p w14:paraId="56E23AB9" w14:textId="04260B78" w:rsidR="004F3A4F" w:rsidRDefault="000A4D87" w:rsidP="000A4D8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Registrars using the 2013 RAA says inaccurate whois is grounds for domain suspension. </w:t>
            </w:r>
          </w:p>
          <w:p w14:paraId="2C464209" w14:textId="236438C2" w:rsidR="000A4D87" w:rsidRPr="001D1A8A" w:rsidRDefault="000A4D87" w:rsidP="000A4D8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803BF" w:rsidRPr="001D1A8A" w14:paraId="4C45D423" w14:textId="77777777" w:rsidTr="00114165">
        <w:tc>
          <w:tcPr>
            <w:tcW w:w="5238" w:type="dxa"/>
          </w:tcPr>
          <w:p w14:paraId="684278C7" w14:textId="3FF3B9A7" w:rsidR="00C803BF" w:rsidRPr="001D1A8A" w:rsidRDefault="00C803BF" w:rsidP="00A7638A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lastRenderedPageBreak/>
              <w:t>Safeguards for Category 1 gTLDs: consumer protection, sensitive strings and regulated markets        (non-exhaustive list of TLDs in annex 1, page 9)</w:t>
            </w:r>
          </w:p>
          <w:p w14:paraId="59204B79" w14:textId="77777777" w:rsidR="00C803BF" w:rsidRPr="001D1A8A" w:rsidRDefault="00C803B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E6E6E6"/>
          </w:tcPr>
          <w:p w14:paraId="46FC5159" w14:textId="77777777" w:rsidR="00C803BF" w:rsidRPr="001D1A8A" w:rsidRDefault="00C803B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E6E6E6"/>
          </w:tcPr>
          <w:p w14:paraId="58C9AEDA" w14:textId="77777777" w:rsidR="00C803BF" w:rsidRPr="001D1A8A" w:rsidRDefault="00C803B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A2F43" w:rsidRPr="001D1A8A" w14:paraId="563445FE" w14:textId="77777777" w:rsidTr="00114165">
        <w:tc>
          <w:tcPr>
            <w:tcW w:w="5238" w:type="dxa"/>
          </w:tcPr>
          <w:p w14:paraId="2DE80E9E" w14:textId="77777777" w:rsidR="003A2F43" w:rsidRPr="001D1A8A" w:rsidRDefault="003A2F43" w:rsidP="00A7638A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 xml:space="preserve">1. Registrant ToS should require compliance with applicable laws, incl privacy, consumer protection, fair lending, organic farming, disclosures </w:t>
            </w:r>
          </w:p>
          <w:p w14:paraId="3A859D50" w14:textId="77777777" w:rsidR="003A2F43" w:rsidRPr="001D1A8A" w:rsidRDefault="003A2F43" w:rsidP="00A7638A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2F0DEB4" w14:textId="4D8A0FA7" w:rsidR="003A2F43" w:rsidRPr="001D1A8A" w:rsidRDefault="003A2F43" w:rsidP="008E27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4-Jun BC comments supported this</w:t>
            </w:r>
          </w:p>
        </w:tc>
        <w:tc>
          <w:tcPr>
            <w:tcW w:w="4410" w:type="dxa"/>
            <w:vMerge w:val="restart"/>
          </w:tcPr>
          <w:p w14:paraId="6582DDB7" w14:textId="77777777" w:rsidR="00EC54F3" w:rsidRDefault="00EC54F3" w:rsidP="003A2F4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6FDACE" w14:textId="77777777" w:rsidR="00EC54F3" w:rsidRDefault="003A2F43" w:rsidP="003A2F4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2-Jul NGPC resolution </w:t>
            </w:r>
            <w:r w:rsidRPr="003A2F43">
              <w:rPr>
                <w:rFonts w:asciiTheme="majorHAnsi" w:hAnsiTheme="majorHAnsi"/>
                <w:sz w:val="20"/>
                <w:szCs w:val="20"/>
              </w:rPr>
              <w:t xml:space="preserve">to begin a dialogue with GAC in Durban to clarify the scope of the requirements provided in the Category 1 Safeguard Advice. </w:t>
            </w:r>
          </w:p>
          <w:p w14:paraId="35F7DD87" w14:textId="196A6572" w:rsidR="003A2F43" w:rsidRPr="003A2F43" w:rsidRDefault="003A2F43" w:rsidP="003A2F4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0FA6035" w14:textId="77777777" w:rsidR="003A2F43" w:rsidRPr="003A2F43" w:rsidRDefault="003A2F43" w:rsidP="003A2F4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9C74A8" w14:textId="3B131113" w:rsidR="003A2F43" w:rsidRPr="001D1A8A" w:rsidRDefault="00EC54F3" w:rsidP="00EC54F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Also </w:t>
            </w:r>
            <w:r w:rsidR="003A2F43" w:rsidRPr="003A2F43">
              <w:rPr>
                <w:rFonts w:asciiTheme="majorHAnsi" w:hAnsiTheme="majorHAnsi"/>
                <w:sz w:val="20"/>
                <w:szCs w:val="20"/>
              </w:rPr>
              <w:t>Resolved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A2F43" w:rsidRPr="003A2F43">
              <w:rPr>
                <w:rFonts w:asciiTheme="majorHAnsi" w:hAnsiTheme="majorHAnsi"/>
                <w:sz w:val="20"/>
                <w:szCs w:val="20"/>
              </w:rPr>
              <w:t>to defer moving forward with the contracting process for applicants who have applied for TLD strings listed in the GAC's Category 1 Safeguard Advice, pending a dialogue with the GAC.</w:t>
            </w:r>
          </w:p>
        </w:tc>
      </w:tr>
      <w:tr w:rsidR="003A2F43" w:rsidRPr="001D1A8A" w14:paraId="1E500596" w14:textId="77777777" w:rsidTr="00114165">
        <w:tc>
          <w:tcPr>
            <w:tcW w:w="5238" w:type="dxa"/>
          </w:tcPr>
          <w:p w14:paraId="2E6E0FDE" w14:textId="77777777" w:rsidR="003A2F43" w:rsidRPr="001D1A8A" w:rsidRDefault="003A2F43" w:rsidP="00A7638A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2. Registry will require registrars to notify registrants of ToS at time of registration.</w:t>
            </w:r>
          </w:p>
          <w:p w14:paraId="4F639562" w14:textId="77777777" w:rsidR="003A2F43" w:rsidRPr="001D1A8A" w:rsidRDefault="003A2F43" w:rsidP="00A7638A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A66B35C" w14:textId="16D03B92" w:rsidR="003A2F43" w:rsidRPr="001D1A8A" w:rsidRDefault="003A2F43" w:rsidP="008E27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4-Jun BC comments supported this</w:t>
            </w:r>
          </w:p>
        </w:tc>
        <w:tc>
          <w:tcPr>
            <w:tcW w:w="4410" w:type="dxa"/>
            <w:vMerge/>
          </w:tcPr>
          <w:p w14:paraId="10FB9356" w14:textId="77777777" w:rsidR="003A2F43" w:rsidRPr="001D1A8A" w:rsidRDefault="003A2F43" w:rsidP="003A2F4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A2F43" w:rsidRPr="001D1A8A" w14:paraId="654B3D4E" w14:textId="77777777" w:rsidTr="00114165">
        <w:tc>
          <w:tcPr>
            <w:tcW w:w="5238" w:type="dxa"/>
          </w:tcPr>
          <w:p w14:paraId="7EF31FEF" w14:textId="77777777" w:rsidR="003A2F43" w:rsidRPr="001D1A8A" w:rsidRDefault="003A2F43" w:rsidP="00A7638A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3. Registry will require registrants collecting sensitive health or financial data have reasonable security measures as defined by applicable laws and industry standards.</w:t>
            </w:r>
          </w:p>
          <w:p w14:paraId="501D08DD" w14:textId="77777777" w:rsidR="003A2F43" w:rsidRPr="001D1A8A" w:rsidRDefault="003A2F43" w:rsidP="00A7638A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BFD09FA" w14:textId="77777777" w:rsidR="003A2F43" w:rsidRDefault="003A2F43" w:rsidP="0036378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4-Jun BC comments supported this as part of Terms of Service for registrants. </w:t>
            </w:r>
          </w:p>
          <w:p w14:paraId="04E9D5A3" w14:textId="55746D46" w:rsidR="003A2F43" w:rsidRPr="001D1A8A" w:rsidRDefault="003A2F43" w:rsidP="0036378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BC did not support requiring registries to monitor websites of registrants.</w:t>
            </w:r>
          </w:p>
        </w:tc>
        <w:tc>
          <w:tcPr>
            <w:tcW w:w="4410" w:type="dxa"/>
            <w:vMerge/>
          </w:tcPr>
          <w:p w14:paraId="19B58F68" w14:textId="087EE45E" w:rsidR="003A2F43" w:rsidRPr="001D1A8A" w:rsidRDefault="003A2F43" w:rsidP="003A2F4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A2F43" w:rsidRPr="001D1A8A" w14:paraId="10B6DECD" w14:textId="77777777" w:rsidTr="00114165">
        <w:tc>
          <w:tcPr>
            <w:tcW w:w="5238" w:type="dxa"/>
          </w:tcPr>
          <w:p w14:paraId="127BBFD7" w14:textId="77777777" w:rsidR="003A2F43" w:rsidRPr="001D1A8A" w:rsidRDefault="003A2F43" w:rsidP="00A7638A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4. Registry to establish relationship with regulators or industry self-regulatory body, plus strategy to mitigate risks of fraud &amp; illegal activities.</w:t>
            </w:r>
          </w:p>
          <w:p w14:paraId="307B612A" w14:textId="77777777" w:rsidR="003A2F43" w:rsidRPr="001D1A8A" w:rsidRDefault="003A2F43" w:rsidP="00A763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84B5BBB" w14:textId="093A25FE" w:rsidR="003A2F43" w:rsidRPr="001D1A8A" w:rsidRDefault="003A2F4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4-Jun BC comments generally supported this, suggesting industry self-regulatory best practices.</w:t>
            </w:r>
          </w:p>
        </w:tc>
        <w:tc>
          <w:tcPr>
            <w:tcW w:w="4410" w:type="dxa"/>
            <w:vMerge/>
          </w:tcPr>
          <w:p w14:paraId="4E0AD5BF" w14:textId="39A3007B" w:rsidR="003A2F43" w:rsidRPr="001D1A8A" w:rsidRDefault="003A2F43" w:rsidP="003A2F4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A2F43" w:rsidRPr="001D1A8A" w14:paraId="6CB085FE" w14:textId="77777777" w:rsidTr="00114165">
        <w:tc>
          <w:tcPr>
            <w:tcW w:w="5238" w:type="dxa"/>
          </w:tcPr>
          <w:p w14:paraId="528E0CDA" w14:textId="77777777" w:rsidR="003A2F43" w:rsidRPr="001D1A8A" w:rsidRDefault="003A2F43" w:rsidP="00A7638A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 xml:space="preserve">5. Registry will require registrants to have single point of contact for complaints and mitigation </w:t>
            </w:r>
          </w:p>
          <w:p w14:paraId="2E8FF1BF" w14:textId="77777777" w:rsidR="003A2F43" w:rsidRPr="001D1A8A" w:rsidRDefault="003A2F4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339EB1A" w14:textId="5B5BD125" w:rsidR="003A2F43" w:rsidRPr="001D1A8A" w:rsidRDefault="003A2F4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4-Jun BC comments supported this</w:t>
            </w:r>
          </w:p>
        </w:tc>
        <w:tc>
          <w:tcPr>
            <w:tcW w:w="4410" w:type="dxa"/>
            <w:vMerge/>
            <w:tcBorders>
              <w:bottom w:val="single" w:sz="4" w:space="0" w:color="auto"/>
            </w:tcBorders>
          </w:tcPr>
          <w:p w14:paraId="3FFD1F8F" w14:textId="77777777" w:rsidR="003A2F43" w:rsidRPr="001D1A8A" w:rsidRDefault="003A2F4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279D" w:rsidRPr="001D1A8A" w14:paraId="2F127039" w14:textId="77777777" w:rsidTr="00114165">
        <w:tc>
          <w:tcPr>
            <w:tcW w:w="5238" w:type="dxa"/>
          </w:tcPr>
          <w:p w14:paraId="4B114155" w14:textId="77777777" w:rsidR="008E279D" w:rsidRPr="001D1A8A" w:rsidRDefault="008E279D" w:rsidP="00A7638A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Additional Safeguards for Category 1 gTLDs in financial, gambling, professional services, environmental, health and fitness, corporate identifiers, and charity:</w:t>
            </w:r>
          </w:p>
          <w:p w14:paraId="70042E9F" w14:textId="77777777" w:rsidR="008E279D" w:rsidRPr="001D1A8A" w:rsidRDefault="008E279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E6E6E6"/>
          </w:tcPr>
          <w:p w14:paraId="6B7D744F" w14:textId="77777777" w:rsidR="008E279D" w:rsidRPr="001D1A8A" w:rsidRDefault="008E279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E6E6E6"/>
          </w:tcPr>
          <w:p w14:paraId="46E3DFED" w14:textId="77777777" w:rsidR="008E279D" w:rsidRPr="001D1A8A" w:rsidRDefault="008E279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C54F3" w:rsidRPr="001D1A8A" w14:paraId="6373ADFF" w14:textId="77777777" w:rsidTr="00114165">
        <w:tc>
          <w:tcPr>
            <w:tcW w:w="5238" w:type="dxa"/>
          </w:tcPr>
          <w:p w14:paraId="71680E79" w14:textId="77777777" w:rsidR="00EC54F3" w:rsidRPr="001D1A8A" w:rsidRDefault="00EC54F3" w:rsidP="00A7638A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6. Registry must verify and validate registrant authorization, charter, license or other credentials</w:t>
            </w:r>
          </w:p>
          <w:p w14:paraId="40003B02" w14:textId="77777777" w:rsidR="00EC54F3" w:rsidRPr="001D1A8A" w:rsidRDefault="00EC54F3" w:rsidP="00A7638A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vMerge w:val="restart"/>
          </w:tcPr>
          <w:p w14:paraId="65DC5403" w14:textId="77777777" w:rsidR="00EC54F3" w:rsidRDefault="00EC54F3" w:rsidP="008E279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08FDE31" w14:textId="77777777" w:rsidR="00EC54F3" w:rsidRDefault="00EC54F3" w:rsidP="008E279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3E489BA" w14:textId="18DC7100" w:rsidR="00EC54F3" w:rsidRPr="001D1A8A" w:rsidRDefault="00EC54F3" w:rsidP="000B66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4-Jun BC comments supported these 3 items, and suggested that affected registry operators establish Advisory Boards. </w:t>
            </w:r>
          </w:p>
        </w:tc>
        <w:tc>
          <w:tcPr>
            <w:tcW w:w="4410" w:type="dxa"/>
            <w:vMerge w:val="restart"/>
          </w:tcPr>
          <w:p w14:paraId="7310ED11" w14:textId="77777777" w:rsidR="00EC54F3" w:rsidRDefault="00EC54F3" w:rsidP="00EC54F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2-Jul NGPC resolution </w:t>
            </w:r>
            <w:r w:rsidRPr="003A2F43">
              <w:rPr>
                <w:rFonts w:asciiTheme="majorHAnsi" w:hAnsiTheme="majorHAnsi"/>
                <w:sz w:val="20"/>
                <w:szCs w:val="20"/>
              </w:rPr>
              <w:t xml:space="preserve">to begin a dialogue with GAC in Durban to clarify the scope of the requirements provided in the Category 1 Safeguard Advice. </w:t>
            </w:r>
          </w:p>
          <w:p w14:paraId="421806AD" w14:textId="77777777" w:rsidR="00EC54F3" w:rsidRPr="003A2F43" w:rsidRDefault="00EC54F3" w:rsidP="00EC54F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18481C8" w14:textId="2EC4F01E" w:rsidR="00EC54F3" w:rsidRPr="001D1A8A" w:rsidRDefault="00EC54F3" w:rsidP="00EC54F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Also </w:t>
            </w:r>
            <w:r w:rsidRPr="003A2F43">
              <w:rPr>
                <w:rFonts w:asciiTheme="majorHAnsi" w:hAnsiTheme="majorHAnsi"/>
                <w:sz w:val="20"/>
                <w:szCs w:val="20"/>
              </w:rPr>
              <w:t>Resolved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A2F43">
              <w:rPr>
                <w:rFonts w:asciiTheme="majorHAnsi" w:hAnsiTheme="majorHAnsi"/>
                <w:sz w:val="20"/>
                <w:szCs w:val="20"/>
              </w:rPr>
              <w:t>to defer moving forward with the contracting process for applicants who have applied for TLD strings listed in the GAC's Category 1 Safeguard Advice, pending a dialogue with the GAC.</w:t>
            </w:r>
          </w:p>
        </w:tc>
      </w:tr>
      <w:tr w:rsidR="00EC54F3" w:rsidRPr="001D1A8A" w14:paraId="43AB7774" w14:textId="77777777" w:rsidTr="00114165">
        <w:tc>
          <w:tcPr>
            <w:tcW w:w="5238" w:type="dxa"/>
          </w:tcPr>
          <w:p w14:paraId="67E6EF65" w14:textId="77777777" w:rsidR="00EC54F3" w:rsidRPr="001D1A8A" w:rsidRDefault="00EC54F3" w:rsidP="00A7638A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7. if in doubt about credentials, Registry should consult with national supervisory authority</w:t>
            </w:r>
          </w:p>
          <w:p w14:paraId="217AD4C7" w14:textId="77777777" w:rsidR="00EC54F3" w:rsidRPr="001D1A8A" w:rsidRDefault="00EC54F3" w:rsidP="00A7638A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14:paraId="00419D08" w14:textId="77777777" w:rsidR="00EC54F3" w:rsidRPr="001D1A8A" w:rsidRDefault="00EC54F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0" w:type="dxa"/>
            <w:vMerge/>
          </w:tcPr>
          <w:p w14:paraId="7031DB00" w14:textId="77777777" w:rsidR="00EC54F3" w:rsidRPr="001D1A8A" w:rsidRDefault="00EC54F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C54F3" w:rsidRPr="001D1A8A" w14:paraId="5BB54585" w14:textId="77777777" w:rsidTr="00114165">
        <w:tc>
          <w:tcPr>
            <w:tcW w:w="5238" w:type="dxa"/>
          </w:tcPr>
          <w:p w14:paraId="241266F2" w14:textId="77777777" w:rsidR="00EC54F3" w:rsidRPr="001D1A8A" w:rsidRDefault="00EC54F3" w:rsidP="00A7638A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8. Registry must do periodic checks on registrant validity and compliance with above requirements.</w:t>
            </w:r>
          </w:p>
          <w:p w14:paraId="71042887" w14:textId="77777777" w:rsidR="00EC54F3" w:rsidRPr="001D1A8A" w:rsidRDefault="00EC54F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vMerge/>
            <w:tcBorders>
              <w:bottom w:val="single" w:sz="4" w:space="0" w:color="auto"/>
            </w:tcBorders>
          </w:tcPr>
          <w:p w14:paraId="4793C259" w14:textId="77777777" w:rsidR="00EC54F3" w:rsidRPr="001D1A8A" w:rsidRDefault="00EC54F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bottom w:val="single" w:sz="4" w:space="0" w:color="auto"/>
            </w:tcBorders>
          </w:tcPr>
          <w:p w14:paraId="0A939B30" w14:textId="77777777" w:rsidR="00EC54F3" w:rsidRPr="001D1A8A" w:rsidRDefault="00EC54F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279D" w:rsidRPr="001D1A8A" w14:paraId="5F0C8A73" w14:textId="77777777" w:rsidTr="00114165">
        <w:tc>
          <w:tcPr>
            <w:tcW w:w="5238" w:type="dxa"/>
            <w:tcBorders>
              <w:bottom w:val="single" w:sz="4" w:space="0" w:color="auto"/>
            </w:tcBorders>
          </w:tcPr>
          <w:p w14:paraId="5438EB4A" w14:textId="77777777" w:rsidR="008E279D" w:rsidRPr="001D1A8A" w:rsidRDefault="008E279D" w:rsidP="00A7638A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Safeguards for Category 2 gTLDs: restricted registration policies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E6E6E6"/>
          </w:tcPr>
          <w:p w14:paraId="26A745E8" w14:textId="77777777" w:rsidR="008E279D" w:rsidRPr="001D1A8A" w:rsidRDefault="008E279D" w:rsidP="00A763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E6E6E6"/>
          </w:tcPr>
          <w:p w14:paraId="7A31AED1" w14:textId="77777777" w:rsidR="008E279D" w:rsidRPr="001D1A8A" w:rsidRDefault="008E279D" w:rsidP="00A763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23CC2" w:rsidRPr="001D1A8A" w14:paraId="258CD454" w14:textId="77777777" w:rsidTr="00114165">
        <w:tc>
          <w:tcPr>
            <w:tcW w:w="5238" w:type="dxa"/>
            <w:shd w:val="clear" w:color="auto" w:fill="auto"/>
          </w:tcPr>
          <w:p w14:paraId="7F2847CC" w14:textId="77777777" w:rsidR="00223CC2" w:rsidRPr="001D1A8A" w:rsidRDefault="00223CC2" w:rsidP="00A7638A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1. Strings in Category 1 may restrict registration, appropriate to risks.  Be transparent and give equal access to registrars and registrants.</w:t>
            </w:r>
          </w:p>
          <w:p w14:paraId="47575E23" w14:textId="77777777" w:rsidR="00223CC2" w:rsidRPr="001D1A8A" w:rsidRDefault="00223CC2" w:rsidP="00A763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7DC33675" w14:textId="7C4DBFE6" w:rsidR="00223CC2" w:rsidRPr="001D1A8A" w:rsidRDefault="00223CC2" w:rsidP="00A7638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4-Jun BC comments supported this</w:t>
            </w:r>
          </w:p>
        </w:tc>
        <w:tc>
          <w:tcPr>
            <w:tcW w:w="4410" w:type="dxa"/>
            <w:shd w:val="clear" w:color="auto" w:fill="auto"/>
          </w:tcPr>
          <w:p w14:paraId="6156D1CF" w14:textId="77777777" w:rsidR="00114165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25-Jun NGPC resolution says new registry agreement will require this PIC Spec: </w:t>
            </w:r>
          </w:p>
          <w:p w14:paraId="03F3FDBD" w14:textId="3FB67B01" w:rsidR="00223CC2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“</w:t>
            </w:r>
            <w:r w:rsidRPr="00114165">
              <w:rPr>
                <w:rFonts w:asciiTheme="majorHAnsi" w:hAnsiTheme="majorHAnsi" w:hint="eastAsia"/>
                <w:sz w:val="20"/>
                <w:szCs w:val="20"/>
              </w:rPr>
              <w:t>Registry Operator will operate the TLD in a transparent manner consistent with general</w:t>
            </w:r>
            <w:r>
              <w:rPr>
                <w:rFonts w:asciiTheme="majorHAnsi" w:hAnsiTheme="majorHAnsi" w:hint="eastAsia"/>
                <w:sz w:val="20"/>
                <w:szCs w:val="20"/>
              </w:rPr>
              <w:t xml:space="preserve"> principles of openness and non-</w:t>
            </w:r>
            <w:r w:rsidRPr="00114165">
              <w:rPr>
                <w:rFonts w:asciiTheme="majorHAnsi" w:hAnsiTheme="majorHAnsi" w:hint="eastAsia"/>
                <w:sz w:val="20"/>
                <w:szCs w:val="20"/>
              </w:rPr>
              <w:t>discrimination by establishing, publishing and adhering to clear registration policies.</w:t>
            </w:r>
            <w:r>
              <w:rPr>
                <w:rFonts w:asciiTheme="majorHAnsi" w:hAnsiTheme="majorHAnsi"/>
                <w:sz w:val="20"/>
                <w:szCs w:val="20"/>
              </w:rPr>
              <w:t>”</w:t>
            </w:r>
          </w:p>
          <w:p w14:paraId="596BA813" w14:textId="77777777" w:rsidR="00EC54F3" w:rsidRDefault="00EC54F3" w:rsidP="00A7638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1C2959E" w14:textId="121BD45F" w:rsidR="00EC54F3" w:rsidRDefault="00EC54F3" w:rsidP="00A7638A">
            <w:pPr>
              <w:rPr>
                <w:rFonts w:asciiTheme="majorHAnsi" w:hAnsiTheme="majorHAnsi"/>
                <w:sz w:val="20"/>
                <w:szCs w:val="20"/>
              </w:rPr>
            </w:pPr>
            <w:r w:rsidRPr="003A2F43">
              <w:rPr>
                <w:rFonts w:asciiTheme="majorHAnsi" w:hAnsiTheme="majorHAnsi"/>
                <w:sz w:val="20"/>
                <w:szCs w:val="20"/>
              </w:rPr>
              <w:t>Note: dialogue with the GAC on Category 1 will also include discussion of GAC's Category 2.1 Advice regarding "Restricted Access" since that advice applies to the strings listed under Category 1.)</w:t>
            </w:r>
          </w:p>
          <w:p w14:paraId="450D2D3A" w14:textId="7DB7819A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4165" w:rsidRPr="001D1A8A" w14:paraId="5EFE222B" w14:textId="77777777" w:rsidTr="00114165">
        <w:tc>
          <w:tcPr>
            <w:tcW w:w="5238" w:type="dxa"/>
            <w:shd w:val="clear" w:color="auto" w:fill="auto"/>
          </w:tcPr>
          <w:p w14:paraId="26BA4E38" w14:textId="77777777" w:rsidR="00114165" w:rsidRPr="001D1A8A" w:rsidRDefault="00114165" w:rsidP="00A7638A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2. Generic gTLDs may have “exclusive” registry access if it serves a public interest goal.  Non-exhaustive list of generic terms where applicant has proposed exclusive access</w:t>
            </w:r>
          </w:p>
        </w:tc>
        <w:tc>
          <w:tcPr>
            <w:tcW w:w="3690" w:type="dxa"/>
            <w:shd w:val="clear" w:color="auto" w:fill="auto"/>
          </w:tcPr>
          <w:p w14:paraId="5BBCD1C8" w14:textId="77777777" w:rsidR="00114165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4-Jun BC comments supported this, and suggested ICANN develop policies for exclusive gTLDs per Australia’s advice.   </w:t>
            </w:r>
          </w:p>
          <w:p w14:paraId="5F792DBD" w14:textId="77777777" w:rsidR="00114165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4577A8E" w14:textId="626889BE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BC also suggested ICANN develop criteria and method for Public Interest test already in the Registry Code of Conduct.</w:t>
            </w:r>
          </w:p>
        </w:tc>
        <w:tc>
          <w:tcPr>
            <w:tcW w:w="4410" w:type="dxa"/>
            <w:shd w:val="clear" w:color="auto" w:fill="auto"/>
          </w:tcPr>
          <w:p w14:paraId="39AC24C1" w14:textId="77777777" w:rsidR="00114165" w:rsidRDefault="00114165" w:rsidP="0011416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25-Jun NGPC resolution says new registry agreement will require this PIC Spec: </w:t>
            </w:r>
          </w:p>
          <w:p w14:paraId="27B88D02" w14:textId="6058C6DF" w:rsidR="00114165" w:rsidRDefault="00114165" w:rsidP="00114165">
            <w:pPr>
              <w:rPr>
                <w:rFonts w:asciiTheme="majorHAnsi" w:hAnsiTheme="majorHAnsi"/>
                <w:sz w:val="20"/>
                <w:szCs w:val="20"/>
              </w:rPr>
            </w:pPr>
            <w:r w:rsidRPr="00114165">
              <w:rPr>
                <w:rFonts w:asciiTheme="majorHAnsi" w:hAnsiTheme="majorHAnsi"/>
                <w:sz w:val="20"/>
                <w:szCs w:val="20"/>
              </w:rPr>
              <w:t>Registry Operator of a “Generic String” TLD may not impose eligibility criteria for registering names in the TLD that limit registrations exclusively to a single person or entity and/or that person’s or entity’s “Affiliates”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523D9F45" w14:textId="77777777" w:rsidR="00D146F1" w:rsidRDefault="00D146F1" w:rsidP="00D146F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765EA0" w14:textId="21140691" w:rsidR="00D146F1" w:rsidRPr="00D146F1" w:rsidRDefault="00D146F1" w:rsidP="00D146F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Also </w:t>
            </w:r>
            <w:r w:rsidRPr="00D146F1">
              <w:rPr>
                <w:rFonts w:asciiTheme="majorHAnsi" w:hAnsiTheme="majorHAnsi"/>
                <w:sz w:val="20"/>
                <w:szCs w:val="20"/>
              </w:rPr>
              <w:t>Resolved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D146F1">
              <w:rPr>
                <w:rFonts w:asciiTheme="majorHAnsi" w:hAnsiTheme="majorHAnsi"/>
                <w:sz w:val="20"/>
                <w:szCs w:val="20"/>
              </w:rPr>
              <w:t xml:space="preserve">the NGPC directs staff to </w:t>
            </w:r>
            <w:r w:rsidRPr="00D146F1">
              <w:rPr>
                <w:rFonts w:asciiTheme="majorHAnsi" w:hAnsiTheme="majorHAnsi"/>
                <w:b/>
                <w:sz w:val="20"/>
                <w:szCs w:val="20"/>
              </w:rPr>
              <w:t>defer moving forward with the contracting process</w:t>
            </w:r>
            <w:r w:rsidRPr="00D146F1">
              <w:rPr>
                <w:rFonts w:asciiTheme="majorHAnsi" w:hAnsiTheme="majorHAnsi"/>
                <w:sz w:val="20"/>
                <w:szCs w:val="20"/>
              </w:rPr>
              <w:t xml:space="preserve"> for applicants seeking to impose exclusive registry access for "generic strings" to a single person or entity and/or that person's or entity's Affiliates of the Registry Agreement), </w:t>
            </w:r>
            <w:r w:rsidRPr="00D146F1">
              <w:rPr>
                <w:rFonts w:asciiTheme="majorHAnsi" w:hAnsiTheme="majorHAnsi"/>
                <w:b/>
                <w:sz w:val="20"/>
                <w:szCs w:val="20"/>
              </w:rPr>
              <w:t>pending a dialogue with the GAC.</w:t>
            </w:r>
          </w:p>
          <w:p w14:paraId="3B058CFA" w14:textId="7547E89C" w:rsidR="00D146F1" w:rsidRPr="001D1A8A" w:rsidRDefault="00D146F1" w:rsidP="0011416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4165" w:rsidRPr="001D1A8A" w14:paraId="2368D290" w14:textId="77777777" w:rsidTr="00114165">
        <w:tc>
          <w:tcPr>
            <w:tcW w:w="5238" w:type="dxa"/>
            <w:shd w:val="clear" w:color="auto" w:fill="auto"/>
          </w:tcPr>
          <w:p w14:paraId="5671B32C" w14:textId="6E065E24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c. For further GAC consideration (.amazon  .patagonia  .date  .spa  .yun  .thai  .zulu  .wine   .vin )</w:t>
            </w:r>
          </w:p>
          <w:p w14:paraId="62F379DF" w14:textId="77777777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31974684" w14:textId="0576A95E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 xml:space="preserve">No prior BC position.  </w:t>
            </w:r>
          </w:p>
        </w:tc>
        <w:tc>
          <w:tcPr>
            <w:tcW w:w="4410" w:type="dxa"/>
            <w:shd w:val="clear" w:color="auto" w:fill="auto"/>
          </w:tcPr>
          <w:p w14:paraId="1378FC04" w14:textId="53226395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NGPC “accepted” 4-Jun.  (#4)  “</w:t>
            </w:r>
            <w:r w:rsidRPr="004A0AB0">
              <w:rPr>
                <w:rFonts w:asciiTheme="majorHAnsi" w:hAnsiTheme="majorHAnsi"/>
                <w:sz w:val="20"/>
                <w:szCs w:val="20"/>
              </w:rPr>
              <w:t>ICANN will allow evaluation and dispute resolution processes to go forward, but will not enter into registry agreements with applicants for the identified strings for now.</w:t>
            </w:r>
            <w:r>
              <w:rPr>
                <w:rFonts w:asciiTheme="majorHAnsi" w:hAnsiTheme="majorHAnsi"/>
                <w:sz w:val="20"/>
                <w:szCs w:val="20"/>
              </w:rPr>
              <w:t>”</w:t>
            </w:r>
          </w:p>
        </w:tc>
      </w:tr>
      <w:tr w:rsidR="00114165" w:rsidRPr="001D1A8A" w14:paraId="7A8E3A29" w14:textId="77777777" w:rsidTr="00114165">
        <w:tc>
          <w:tcPr>
            <w:tcW w:w="5238" w:type="dxa"/>
            <w:shd w:val="clear" w:color="auto" w:fill="auto"/>
          </w:tcPr>
          <w:p w14:paraId="07629F21" w14:textId="77777777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d. Ability for applicants to change applied-for string in order to address GAC concerns</w:t>
            </w:r>
          </w:p>
          <w:p w14:paraId="6D7F6D08" w14:textId="77777777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4C86C703" w14:textId="77777777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 xml:space="preserve">No prior BC position.  </w:t>
            </w:r>
          </w:p>
        </w:tc>
        <w:tc>
          <w:tcPr>
            <w:tcW w:w="4410" w:type="dxa"/>
            <w:shd w:val="clear" w:color="auto" w:fill="auto"/>
          </w:tcPr>
          <w:p w14:paraId="698DA8B6" w14:textId="615AB519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4165" w:rsidRPr="001D1A8A" w14:paraId="5232B14A" w14:textId="77777777" w:rsidTr="00114165">
        <w:tc>
          <w:tcPr>
            <w:tcW w:w="5238" w:type="dxa"/>
            <w:shd w:val="clear" w:color="auto" w:fill="auto"/>
          </w:tcPr>
          <w:p w14:paraId="3D5A3440" w14:textId="77777777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 xml:space="preserve">e. Opinion of impacted community should be duly taken into account </w:t>
            </w:r>
          </w:p>
          <w:p w14:paraId="489350BE" w14:textId="77777777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568D6C87" w14:textId="77777777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 xml:space="preserve">Consistent with BC support for community </w:t>
            </w:r>
            <w:r w:rsidRPr="001D1A8A">
              <w:rPr>
                <w:rFonts w:asciiTheme="majorHAnsi" w:hAnsiTheme="majorHAnsi"/>
                <w:b/>
                <w:sz w:val="20"/>
                <w:szCs w:val="20"/>
              </w:rPr>
              <w:t>priority</w:t>
            </w:r>
            <w:r w:rsidRPr="001D1A8A">
              <w:rPr>
                <w:rFonts w:asciiTheme="majorHAnsi" w:hAnsiTheme="majorHAnsi"/>
                <w:sz w:val="20"/>
                <w:szCs w:val="20"/>
              </w:rPr>
              <w:t xml:space="preserve"> for new gTLDs (2010)</w:t>
            </w:r>
          </w:p>
        </w:tc>
        <w:tc>
          <w:tcPr>
            <w:tcW w:w="4410" w:type="dxa"/>
            <w:shd w:val="clear" w:color="auto" w:fill="auto"/>
          </w:tcPr>
          <w:p w14:paraId="0A895947" w14:textId="2F3D062B" w:rsidR="00114165" w:rsidRPr="001D1A8A" w:rsidRDefault="00114165" w:rsidP="004A0AB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NGPC “accepted” 4-Jun. (#5) But … “</w:t>
            </w:r>
            <w:r w:rsidRPr="004A0AB0">
              <w:rPr>
                <w:rFonts w:asciiTheme="majorHAnsi" w:hAnsiTheme="majorHAnsi"/>
                <w:sz w:val="20"/>
                <w:szCs w:val="20"/>
              </w:rPr>
              <w:t>if a contention set is not resolved by the applicants or through a community priority evaluation then ICANN will utilize an auction as the objective method for resolving the contention.</w:t>
            </w:r>
            <w:r>
              <w:rPr>
                <w:rFonts w:asciiTheme="majorHAnsi" w:hAnsiTheme="majorHAnsi"/>
                <w:sz w:val="20"/>
                <w:szCs w:val="20"/>
              </w:rPr>
              <w:t>”</w:t>
            </w:r>
          </w:p>
        </w:tc>
      </w:tr>
      <w:tr w:rsidR="00114165" w:rsidRPr="001D1A8A" w14:paraId="0FDEBBCA" w14:textId="77777777" w:rsidTr="00114165">
        <w:tc>
          <w:tcPr>
            <w:tcW w:w="5238" w:type="dxa"/>
            <w:shd w:val="clear" w:color="auto" w:fill="auto"/>
          </w:tcPr>
          <w:p w14:paraId="7DC83C12" w14:textId="77777777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f. Reconsider contention sets for singular and plural versions of the same string.</w:t>
            </w:r>
          </w:p>
          <w:p w14:paraId="05B576BA" w14:textId="77777777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1D987E89" w14:textId="77777777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Consistent with BC consensus discussions in Beijing.</w:t>
            </w:r>
          </w:p>
          <w:p w14:paraId="7E3B13C0" w14:textId="77777777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BC Comment: clarify the rule and re-do the independent panel review.</w:t>
            </w:r>
          </w:p>
          <w:p w14:paraId="3B719F9E" w14:textId="77777777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</w:tcPr>
          <w:p w14:paraId="784E0051" w14:textId="4EB13AB3" w:rsidR="00114165" w:rsidRDefault="00114165" w:rsidP="004A0AB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4-Jun: “</w:t>
            </w:r>
            <w:r w:rsidRPr="004A0AB0">
              <w:rPr>
                <w:rFonts w:asciiTheme="majorHAnsi" w:hAnsiTheme="majorHAnsi"/>
                <w:sz w:val="20"/>
                <w:szCs w:val="20"/>
              </w:rPr>
              <w:t>NGPC accepts this advice and will consider whether to allow singular and plural versions of the same string.</w:t>
            </w:r>
            <w:r>
              <w:rPr>
                <w:rFonts w:asciiTheme="majorHAnsi" w:hAnsiTheme="majorHAnsi"/>
                <w:sz w:val="20"/>
                <w:szCs w:val="20"/>
              </w:rPr>
              <w:t>”  (#6)</w:t>
            </w:r>
          </w:p>
          <w:p w14:paraId="215EA018" w14:textId="77777777" w:rsidR="00114165" w:rsidRDefault="00114165" w:rsidP="004A0AB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1053569" w14:textId="4855170F" w:rsidR="00114165" w:rsidRPr="001D1A8A" w:rsidRDefault="008F4C31" w:rsidP="008F4C3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25-Jun NGPC Resolution:  “</w:t>
            </w:r>
            <w:r w:rsidRPr="008F4C31">
              <w:rPr>
                <w:rFonts w:asciiTheme="majorHAnsi" w:hAnsiTheme="majorHAnsi"/>
                <w:sz w:val="20"/>
                <w:szCs w:val="20"/>
              </w:rPr>
              <w:t xml:space="preserve">NGPC has determined that </w:t>
            </w:r>
            <w:r w:rsidRPr="008F4C31">
              <w:rPr>
                <w:rFonts w:asciiTheme="majorHAnsi" w:hAnsiTheme="majorHAnsi"/>
                <w:b/>
                <w:sz w:val="20"/>
                <w:szCs w:val="20"/>
              </w:rPr>
              <w:t xml:space="preserve">no changes are needed </w:t>
            </w:r>
            <w:r w:rsidRPr="008F4C31">
              <w:rPr>
                <w:rFonts w:asciiTheme="majorHAnsi" w:hAnsiTheme="majorHAnsi"/>
                <w:sz w:val="20"/>
                <w:szCs w:val="20"/>
              </w:rPr>
              <w:t>to the existing mechanisms in the Applicant Guidebook to address potential consumer confusion resulting from allowing singular and plural versions of the same string.</w:t>
            </w:r>
            <w:r>
              <w:rPr>
                <w:rFonts w:asciiTheme="majorHAnsi" w:hAnsiTheme="majorHAnsi"/>
                <w:sz w:val="20"/>
                <w:szCs w:val="20"/>
              </w:rPr>
              <w:t>”</w:t>
            </w:r>
          </w:p>
        </w:tc>
      </w:tr>
      <w:tr w:rsidR="00114165" w:rsidRPr="001D1A8A" w14:paraId="035E010D" w14:textId="77777777" w:rsidTr="00114165">
        <w:tc>
          <w:tcPr>
            <w:tcW w:w="5238" w:type="dxa"/>
            <w:shd w:val="clear" w:color="auto" w:fill="auto"/>
          </w:tcPr>
          <w:p w14:paraId="6ED6E229" w14:textId="77777777" w:rsidR="00114165" w:rsidRPr="001D1A8A" w:rsidRDefault="00114165" w:rsidP="00C90A25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g. Initial protection for intergovernmental organization names and acronyms at second level</w:t>
            </w:r>
          </w:p>
          <w:p w14:paraId="44AF3E6C" w14:textId="77777777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11FA9512" w14:textId="77777777" w:rsidR="00114165" w:rsidRPr="001D1A8A" w:rsidRDefault="00114165" w:rsidP="00C90A25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No official BC position, but generally supportive of GAC and rights protection for brands incl NGOs</w:t>
            </w:r>
          </w:p>
        </w:tc>
        <w:tc>
          <w:tcPr>
            <w:tcW w:w="4410" w:type="dxa"/>
            <w:shd w:val="clear" w:color="auto" w:fill="auto"/>
          </w:tcPr>
          <w:p w14:paraId="77F4E64D" w14:textId="789B6071" w:rsidR="00EB52B0" w:rsidRDefault="00EB52B0" w:rsidP="00EB52B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2-Jul NGPC </w:t>
            </w:r>
            <w:r w:rsidRPr="00EB52B0">
              <w:rPr>
                <w:rFonts w:asciiTheme="majorHAnsi" w:hAnsiTheme="majorHAnsi"/>
                <w:sz w:val="20"/>
                <w:szCs w:val="20"/>
              </w:rPr>
              <w:t xml:space="preserve">Resolved </w:t>
            </w:r>
            <w:r>
              <w:rPr>
                <w:rFonts w:asciiTheme="majorHAnsi" w:hAnsiTheme="majorHAnsi"/>
                <w:sz w:val="20"/>
                <w:szCs w:val="20"/>
              </w:rPr>
              <w:t>for</w:t>
            </w:r>
            <w:r w:rsidRPr="00EB52B0">
              <w:rPr>
                <w:rFonts w:asciiTheme="majorHAnsi" w:hAnsiTheme="majorHAnsi"/>
                <w:sz w:val="20"/>
                <w:szCs w:val="20"/>
              </w:rPr>
              <w:t xml:space="preserve"> initial protection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of IGOs </w:t>
            </w:r>
            <w:r w:rsidRPr="00EB52B0">
              <w:rPr>
                <w:rFonts w:asciiTheme="majorHAnsi" w:hAnsiTheme="majorHAnsi"/>
                <w:sz w:val="20"/>
                <w:szCs w:val="20"/>
              </w:rPr>
              <w:t>as presented in the New gTLD Registry Agreement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EB52B0">
              <w:rPr>
                <w:rFonts w:asciiTheme="majorHAnsi" w:hAnsiTheme="majorHAnsi"/>
                <w:sz w:val="20"/>
                <w:szCs w:val="20"/>
              </w:rPr>
              <w:t>while the GAC, NGPC, ICANN Staff and community continue to actively work through outstanding implementation issues.</w:t>
            </w:r>
          </w:p>
          <w:p w14:paraId="7BCFBACB" w14:textId="77777777" w:rsidR="00EB52B0" w:rsidRPr="00EB52B0" w:rsidRDefault="00EB52B0" w:rsidP="00EB52B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9340213" w14:textId="33F99D2C" w:rsidR="00EB52B0" w:rsidRDefault="00EB52B0" w:rsidP="00EB52B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Also </w:t>
            </w:r>
            <w:r w:rsidRPr="00EB52B0">
              <w:rPr>
                <w:rFonts w:asciiTheme="majorHAnsi" w:hAnsiTheme="majorHAnsi"/>
                <w:sz w:val="20"/>
                <w:szCs w:val="20"/>
              </w:rPr>
              <w:t>Resolved, registry operators will implement tempor</w:t>
            </w:r>
            <w:bookmarkStart w:id="0" w:name="_GoBack"/>
            <w:bookmarkEnd w:id="0"/>
            <w:r w:rsidRPr="00EB52B0">
              <w:rPr>
                <w:rFonts w:asciiTheme="majorHAnsi" w:hAnsiTheme="majorHAnsi"/>
                <w:sz w:val="20"/>
                <w:szCs w:val="20"/>
              </w:rPr>
              <w:t xml:space="preserve">ary protections for the IGO names and acronyms on the "IGO List dated 22/03/2013" </w:t>
            </w:r>
            <w:hyperlink r:id="rId8" w:history="1">
              <w:r w:rsidRPr="00EB52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Annex 1</w:t>
              </w:r>
            </w:hyperlink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B52B0">
              <w:rPr>
                <w:rFonts w:asciiTheme="majorHAnsi" w:hAnsiTheme="majorHAnsi"/>
                <w:sz w:val="20"/>
                <w:szCs w:val="20"/>
              </w:rPr>
              <w:t xml:space="preserve">until the first </w:t>
            </w:r>
            <w:r w:rsidR="00615A51">
              <w:rPr>
                <w:rFonts w:asciiTheme="majorHAnsi" w:hAnsiTheme="majorHAnsi"/>
                <w:sz w:val="20"/>
                <w:szCs w:val="20"/>
              </w:rPr>
              <w:t xml:space="preserve">NGPC </w:t>
            </w:r>
            <w:r w:rsidRPr="00EB52B0">
              <w:rPr>
                <w:rFonts w:asciiTheme="majorHAnsi" w:hAnsiTheme="majorHAnsi"/>
                <w:sz w:val="20"/>
                <w:szCs w:val="20"/>
              </w:rPr>
              <w:t xml:space="preserve">meeting </w:t>
            </w:r>
            <w:r w:rsidR="00615A51">
              <w:rPr>
                <w:rFonts w:asciiTheme="majorHAnsi" w:hAnsiTheme="majorHAnsi"/>
                <w:sz w:val="20"/>
                <w:szCs w:val="20"/>
              </w:rPr>
              <w:t xml:space="preserve">after </w:t>
            </w:r>
            <w:r w:rsidRPr="00EB52B0">
              <w:rPr>
                <w:rFonts w:asciiTheme="majorHAnsi" w:hAnsiTheme="majorHAnsi"/>
                <w:sz w:val="20"/>
                <w:szCs w:val="20"/>
              </w:rPr>
              <w:t>Durban.</w:t>
            </w:r>
          </w:p>
          <w:p w14:paraId="6DBD427A" w14:textId="77777777" w:rsidR="00EB52B0" w:rsidRPr="00EB52B0" w:rsidRDefault="00EB52B0" w:rsidP="00EB52B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03BB75" w14:textId="1170D3D4" w:rsidR="00EB52B0" w:rsidRPr="00EB52B0" w:rsidRDefault="00EB52B0" w:rsidP="00EB52B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Also </w:t>
            </w:r>
            <w:r w:rsidR="00615A51">
              <w:rPr>
                <w:rFonts w:asciiTheme="majorHAnsi" w:hAnsiTheme="majorHAnsi"/>
                <w:sz w:val="20"/>
                <w:szCs w:val="20"/>
              </w:rPr>
              <w:t xml:space="preserve">Resolved,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if </w:t>
            </w:r>
            <w:r w:rsidRPr="00EB52B0">
              <w:rPr>
                <w:rFonts w:asciiTheme="majorHAnsi" w:hAnsiTheme="majorHAnsi"/>
                <w:sz w:val="20"/>
                <w:szCs w:val="20"/>
              </w:rPr>
              <w:t>NGPC and GAC do not reach agreement on implementation issues for protecting IGO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 </w:t>
            </w:r>
            <w:r w:rsidRPr="00EB52B0">
              <w:rPr>
                <w:rFonts w:asciiTheme="majorHAnsi" w:hAnsiTheme="majorHAnsi"/>
                <w:sz w:val="20"/>
                <w:szCs w:val="20"/>
              </w:rPr>
              <w:t xml:space="preserve">by the first meeting </w:t>
            </w:r>
            <w:r>
              <w:rPr>
                <w:rFonts w:asciiTheme="majorHAnsi" w:hAnsiTheme="majorHAnsi"/>
                <w:sz w:val="20"/>
                <w:szCs w:val="20"/>
              </w:rPr>
              <w:t>after Durban,</w:t>
            </w:r>
            <w:r w:rsidRPr="00EB52B0">
              <w:rPr>
                <w:rFonts w:asciiTheme="majorHAnsi" w:hAnsiTheme="majorHAnsi"/>
                <w:sz w:val="20"/>
                <w:szCs w:val="20"/>
              </w:rPr>
              <w:t xml:space="preserve"> registry operators will be required to protect only the IGO names identified on the GAC's "IGO List dated 22/03/2013" </w:t>
            </w:r>
            <w:hyperlink r:id="rId9" w:history="1">
              <w:r w:rsidRPr="00EB52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</w:t>
              </w:r>
              <w:r w:rsidRPr="00EB52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n</w:t>
              </w:r>
              <w:r w:rsidRPr="00EB52B0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ex 1</w:t>
              </w:r>
            </w:hyperlink>
            <w:r w:rsidRPr="00EB52B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535933A" w14:textId="77777777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4165" w:rsidRPr="001D1A8A" w14:paraId="4CF99733" w14:textId="77777777" w:rsidTr="00114165">
        <w:tc>
          <w:tcPr>
            <w:tcW w:w="5238" w:type="dxa"/>
            <w:shd w:val="clear" w:color="auto" w:fill="auto"/>
          </w:tcPr>
          <w:p w14:paraId="485AEF31" w14:textId="77777777" w:rsidR="00114165" w:rsidRPr="001D1A8A" w:rsidRDefault="00114165" w:rsidP="00C90A25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2. finalize RAA and require it for registrars selling domains in new gTLDs.</w:t>
            </w:r>
          </w:p>
          <w:p w14:paraId="63970FBA" w14:textId="77777777" w:rsidR="00114165" w:rsidRPr="001D1A8A" w:rsidRDefault="00114165" w:rsidP="00C90A25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3543461C" w14:textId="77777777" w:rsidR="00114165" w:rsidRPr="001D1A8A" w:rsidRDefault="00114165" w:rsidP="00C90A25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Consistent with BC position (Jan-2012)</w:t>
            </w:r>
          </w:p>
          <w:p w14:paraId="70E57D74" w14:textId="77777777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</w:tcPr>
          <w:p w14:paraId="2F0AD0D0" w14:textId="58910672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NGPC accepted 4-Jun.  (#7)</w:t>
            </w:r>
          </w:p>
        </w:tc>
      </w:tr>
      <w:tr w:rsidR="00114165" w:rsidRPr="001D1A8A" w14:paraId="0AA7E9A6" w14:textId="77777777" w:rsidTr="00114165">
        <w:tc>
          <w:tcPr>
            <w:tcW w:w="5238" w:type="dxa"/>
            <w:shd w:val="clear" w:color="auto" w:fill="auto"/>
          </w:tcPr>
          <w:p w14:paraId="1E2A5EFD" w14:textId="77777777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3. GAC’s 2007 Whois Principles should be “duly taken into account” by Directory Services Expert Working Group.</w:t>
            </w:r>
          </w:p>
        </w:tc>
        <w:tc>
          <w:tcPr>
            <w:tcW w:w="3690" w:type="dxa"/>
            <w:shd w:val="clear" w:color="auto" w:fill="auto"/>
          </w:tcPr>
          <w:p w14:paraId="5A8AD31F" w14:textId="6A0A1D45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BC has publicly supported 2007 GAC Whois principles.</w:t>
            </w:r>
          </w:p>
        </w:tc>
        <w:tc>
          <w:tcPr>
            <w:tcW w:w="4410" w:type="dxa"/>
            <w:shd w:val="clear" w:color="auto" w:fill="auto"/>
          </w:tcPr>
          <w:p w14:paraId="1AD2237B" w14:textId="6379F3F6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NGPC accepted 4-Jun.  (#8)</w:t>
            </w:r>
          </w:p>
        </w:tc>
      </w:tr>
      <w:tr w:rsidR="00114165" w:rsidRPr="001D1A8A" w14:paraId="38F99B74" w14:textId="77777777" w:rsidTr="00114165">
        <w:tc>
          <w:tcPr>
            <w:tcW w:w="5238" w:type="dxa"/>
            <w:shd w:val="clear" w:color="auto" w:fill="auto"/>
          </w:tcPr>
          <w:p w14:paraId="66BB2F1D" w14:textId="77777777" w:rsidR="00114165" w:rsidRPr="001D1A8A" w:rsidRDefault="00114165" w:rsidP="00C90A25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4. Amend registry agreement to require permanent protection of Olympics and Red Cross</w:t>
            </w:r>
          </w:p>
          <w:p w14:paraId="360B5303" w14:textId="77777777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14:paraId="6B7C6E02" w14:textId="77777777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No official BC position, but generally supportive of GAC and rights protection for brands incl NGOs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</w:tcPr>
          <w:p w14:paraId="40747342" w14:textId="73ECEE2C" w:rsidR="00114165" w:rsidRPr="000E2160" w:rsidRDefault="00114165" w:rsidP="000E21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NGPC “accepted” 4-Jun. (#9) “</w:t>
            </w:r>
            <w:r w:rsidRPr="000E2160">
              <w:rPr>
                <w:rFonts w:asciiTheme="majorHAnsi" w:hAnsiTheme="majorHAnsi"/>
                <w:sz w:val="20"/>
                <w:szCs w:val="20"/>
              </w:rPr>
              <w:t>The proposed final version of the Registry Agreement posted for public comment on 29 April 2013 includes protection for an indefinite duration for IOC/RCRC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names. Specification 5 </w:t>
            </w:r>
            <w:r w:rsidRPr="000E2160">
              <w:rPr>
                <w:rFonts w:asciiTheme="majorHAnsi" w:hAnsiTheme="majorHAnsi"/>
                <w:sz w:val="20"/>
                <w:szCs w:val="20"/>
              </w:rPr>
              <w:t>of the Registry Agreement includes a list of names (provided by the IOC and RCRC Movement) that "shall be withheld from registration or allocated to Registry Operator at the second level within the TLD."</w:t>
            </w:r>
          </w:p>
          <w:p w14:paraId="1F952D5A" w14:textId="591CDA89" w:rsidR="00114165" w:rsidRPr="001D1A8A" w:rsidRDefault="00114165" w:rsidP="00A763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4165" w:rsidRPr="001D1A8A" w14:paraId="1F48533B" w14:textId="77777777" w:rsidTr="00114165">
        <w:tc>
          <w:tcPr>
            <w:tcW w:w="5238" w:type="dxa"/>
            <w:shd w:val="clear" w:color="auto" w:fill="auto"/>
          </w:tcPr>
          <w:p w14:paraId="5ACD8F19" w14:textId="77777777" w:rsidR="00114165" w:rsidRPr="001D1A8A" w:rsidRDefault="00114165" w:rsidP="00C90A25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5. more information on Public Interest Commitments (PIC) Specifications:</w:t>
            </w:r>
          </w:p>
          <w:p w14:paraId="2A37BAF0" w14:textId="77777777" w:rsidR="00114165" w:rsidRPr="001D1A8A" w:rsidRDefault="00114165" w:rsidP="00E155F5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E6E6E6"/>
          </w:tcPr>
          <w:p w14:paraId="370B45A8" w14:textId="77777777" w:rsidR="00114165" w:rsidRPr="001D1A8A" w:rsidRDefault="0011416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E6E6E6"/>
          </w:tcPr>
          <w:p w14:paraId="467C07E9" w14:textId="77777777" w:rsidR="00114165" w:rsidRPr="001D1A8A" w:rsidRDefault="0011416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4165" w:rsidRPr="001D1A8A" w14:paraId="1C7C2CD3" w14:textId="77777777" w:rsidTr="00114165">
        <w:tc>
          <w:tcPr>
            <w:tcW w:w="5238" w:type="dxa"/>
            <w:shd w:val="clear" w:color="auto" w:fill="auto"/>
          </w:tcPr>
          <w:p w14:paraId="75C10403" w14:textId="77777777" w:rsidR="00114165" w:rsidRPr="001D1A8A" w:rsidRDefault="00114165" w:rsidP="00E155F5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1. can 3</w:t>
            </w:r>
            <w:r w:rsidRPr="001D1A8A">
              <w:rPr>
                <w:rFonts w:asciiTheme="majorHAnsi" w:hAnsiTheme="majorHAnsi"/>
                <w:sz w:val="20"/>
                <w:szCs w:val="20"/>
                <w:vertAlign w:val="superscript"/>
              </w:rPr>
              <w:t>rd</w:t>
            </w:r>
            <w:r w:rsidRPr="001D1A8A">
              <w:rPr>
                <w:rFonts w:asciiTheme="majorHAnsi" w:hAnsiTheme="majorHAnsi"/>
                <w:sz w:val="20"/>
                <w:szCs w:val="20"/>
              </w:rPr>
              <w:t xml:space="preserve"> party or governments raise concern about PIC compliance?</w:t>
            </w:r>
          </w:p>
          <w:p w14:paraId="076F372F" w14:textId="77777777" w:rsidR="00114165" w:rsidRPr="001D1A8A" w:rsidRDefault="00114165" w:rsidP="00C90A25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50A4C3AA" w14:textId="77777777" w:rsidR="00114165" w:rsidRPr="001D1A8A" w:rsidRDefault="0011416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</w:tcPr>
          <w:p w14:paraId="5BF3366F" w14:textId="77777777" w:rsidR="00114165" w:rsidRPr="001D1A8A" w:rsidRDefault="0011416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4165" w:rsidRPr="001D1A8A" w14:paraId="13EDAC20" w14:textId="77777777" w:rsidTr="00114165">
        <w:tc>
          <w:tcPr>
            <w:tcW w:w="5238" w:type="dxa"/>
            <w:shd w:val="clear" w:color="auto" w:fill="auto"/>
          </w:tcPr>
          <w:p w14:paraId="34ADD341" w14:textId="77777777" w:rsidR="00114165" w:rsidRPr="001D1A8A" w:rsidRDefault="00114165" w:rsidP="00C90A25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2. can applicants later amend their PICs?</w:t>
            </w:r>
          </w:p>
          <w:p w14:paraId="0B8E2FC5" w14:textId="77777777" w:rsidR="00114165" w:rsidRPr="001D1A8A" w:rsidRDefault="00114165" w:rsidP="00C90A25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68CB5328" w14:textId="77777777" w:rsidR="00114165" w:rsidRPr="001D1A8A" w:rsidRDefault="0011416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</w:tcPr>
          <w:p w14:paraId="5B422761" w14:textId="77777777" w:rsidR="00114165" w:rsidRPr="001D1A8A" w:rsidRDefault="0011416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4165" w:rsidRPr="001D1A8A" w14:paraId="5268DADF" w14:textId="77777777" w:rsidTr="00114165">
        <w:tc>
          <w:tcPr>
            <w:tcW w:w="5238" w:type="dxa"/>
            <w:shd w:val="clear" w:color="auto" w:fill="auto"/>
          </w:tcPr>
          <w:p w14:paraId="1FF11314" w14:textId="77777777" w:rsidR="00114165" w:rsidRPr="001D1A8A" w:rsidRDefault="00114165" w:rsidP="00C90A25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3. will ICANN make registry operators aware of their PICs?</w:t>
            </w:r>
          </w:p>
          <w:p w14:paraId="7E75BCBB" w14:textId="77777777" w:rsidR="00114165" w:rsidRPr="001D1A8A" w:rsidRDefault="00114165" w:rsidP="00C90A25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05D6434E" w14:textId="77777777" w:rsidR="00114165" w:rsidRPr="001D1A8A" w:rsidRDefault="00114165" w:rsidP="001D1A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</w:tcPr>
          <w:p w14:paraId="07E0B412" w14:textId="77777777" w:rsidR="00114165" w:rsidRPr="001D1A8A" w:rsidRDefault="00114165" w:rsidP="001D1A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4165" w:rsidRPr="001D1A8A" w14:paraId="1152B8A9" w14:textId="77777777" w:rsidTr="00114165">
        <w:tc>
          <w:tcPr>
            <w:tcW w:w="5238" w:type="dxa"/>
            <w:shd w:val="clear" w:color="auto" w:fill="auto"/>
          </w:tcPr>
          <w:p w14:paraId="1BA19007" w14:textId="77777777" w:rsidR="00114165" w:rsidRPr="001D1A8A" w:rsidRDefault="00114165" w:rsidP="00C90A25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4. requirements to maximize public visibility of PICs?</w:t>
            </w:r>
          </w:p>
          <w:p w14:paraId="201F2F6A" w14:textId="77777777" w:rsidR="00114165" w:rsidRPr="001D1A8A" w:rsidRDefault="00114165" w:rsidP="00C90A25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676ACB4C" w14:textId="77777777" w:rsidR="00114165" w:rsidRPr="001D1A8A" w:rsidRDefault="00114165" w:rsidP="001D1A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</w:tcPr>
          <w:p w14:paraId="070621FE" w14:textId="77777777" w:rsidR="00114165" w:rsidRPr="001D1A8A" w:rsidRDefault="00114165" w:rsidP="001D1A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4165" w:rsidRPr="001D1A8A" w14:paraId="63E12CDB" w14:textId="77777777" w:rsidTr="00114165">
        <w:tc>
          <w:tcPr>
            <w:tcW w:w="5238" w:type="dxa"/>
            <w:shd w:val="clear" w:color="auto" w:fill="auto"/>
          </w:tcPr>
          <w:p w14:paraId="2D82E564" w14:textId="77777777" w:rsidR="00114165" w:rsidRPr="001D1A8A" w:rsidRDefault="00114165" w:rsidP="00C90A25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5. how to amend where a registry made no PICs?  (but should have)</w:t>
            </w:r>
          </w:p>
          <w:p w14:paraId="11A6F76F" w14:textId="77777777" w:rsidR="00114165" w:rsidRPr="001D1A8A" w:rsidRDefault="00114165" w:rsidP="00C90A25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4D6F2973" w14:textId="77777777" w:rsidR="00114165" w:rsidRPr="001D1A8A" w:rsidRDefault="00114165" w:rsidP="001D1A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</w:tcPr>
          <w:p w14:paraId="3C960F99" w14:textId="77777777" w:rsidR="00114165" w:rsidRPr="001D1A8A" w:rsidRDefault="00114165" w:rsidP="001D1A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4165" w:rsidRPr="001D1A8A" w14:paraId="50B9A0D6" w14:textId="77777777" w:rsidTr="00114165">
        <w:tc>
          <w:tcPr>
            <w:tcW w:w="5238" w:type="dxa"/>
            <w:shd w:val="clear" w:color="auto" w:fill="auto"/>
          </w:tcPr>
          <w:p w14:paraId="5082CA50" w14:textId="77777777" w:rsidR="00114165" w:rsidRPr="001D1A8A" w:rsidRDefault="00114165" w:rsidP="00C90A25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6. Are PICs enforceable?</w:t>
            </w:r>
          </w:p>
          <w:p w14:paraId="21470B03" w14:textId="77777777" w:rsidR="00114165" w:rsidRPr="001D1A8A" w:rsidRDefault="00114165" w:rsidP="00E155F5">
            <w:pPr>
              <w:ind w:left="144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3D7E2F15" w14:textId="14C87D4A" w:rsidR="00114165" w:rsidRPr="001D1A8A" w:rsidRDefault="00114165" w:rsidP="001D1A8A">
            <w:pPr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BC said ICANN should enforce PICs</w:t>
            </w:r>
          </w:p>
        </w:tc>
        <w:tc>
          <w:tcPr>
            <w:tcW w:w="4410" w:type="dxa"/>
            <w:shd w:val="clear" w:color="auto" w:fill="auto"/>
          </w:tcPr>
          <w:p w14:paraId="2CE10CED" w14:textId="77777777" w:rsidR="00114165" w:rsidRPr="001D1A8A" w:rsidRDefault="00114165" w:rsidP="001D1A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4165" w:rsidRPr="001D1A8A" w14:paraId="6DB77E2F" w14:textId="77777777" w:rsidTr="00114165">
        <w:tc>
          <w:tcPr>
            <w:tcW w:w="5238" w:type="dxa"/>
            <w:shd w:val="clear" w:color="auto" w:fill="auto"/>
          </w:tcPr>
          <w:p w14:paraId="7C5C092E" w14:textId="77777777" w:rsidR="00114165" w:rsidRPr="001D1A8A" w:rsidRDefault="00114165" w:rsidP="00C90A25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7. Will ICANN follow sanctions recommended by PIC DRP?</w:t>
            </w:r>
          </w:p>
          <w:p w14:paraId="71D928F0" w14:textId="77777777" w:rsidR="00114165" w:rsidRPr="001D1A8A" w:rsidRDefault="00114165" w:rsidP="00C90A25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33046983" w14:textId="77777777" w:rsidR="00114165" w:rsidRPr="001D1A8A" w:rsidRDefault="00114165" w:rsidP="001D1A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</w:tcPr>
          <w:p w14:paraId="4B5096D6" w14:textId="77777777" w:rsidR="00114165" w:rsidRPr="001D1A8A" w:rsidRDefault="00114165" w:rsidP="001D1A8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4165" w:rsidRPr="001D1A8A" w14:paraId="031E4F6D" w14:textId="77777777" w:rsidTr="00114165">
        <w:tc>
          <w:tcPr>
            <w:tcW w:w="5238" w:type="dxa"/>
            <w:shd w:val="clear" w:color="auto" w:fill="auto"/>
          </w:tcPr>
          <w:p w14:paraId="3370C73D" w14:textId="77777777" w:rsidR="00114165" w:rsidRPr="001D1A8A" w:rsidRDefault="00114165" w:rsidP="00C90A25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1D1A8A">
              <w:rPr>
                <w:rFonts w:asciiTheme="majorHAnsi" w:hAnsiTheme="majorHAnsi"/>
                <w:sz w:val="20"/>
                <w:szCs w:val="20"/>
              </w:rPr>
              <w:t>8. Measures to remediate serious damage from past registration policies?</w:t>
            </w:r>
          </w:p>
          <w:p w14:paraId="089833E0" w14:textId="77777777" w:rsidR="00114165" w:rsidRPr="001D1A8A" w:rsidRDefault="00114165" w:rsidP="00C90A25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520ABB24" w14:textId="77777777" w:rsidR="00114165" w:rsidRPr="001D1A8A" w:rsidRDefault="0011416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</w:tcPr>
          <w:p w14:paraId="00BA38B6" w14:textId="77777777" w:rsidR="00114165" w:rsidRPr="001D1A8A" w:rsidRDefault="0011416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CD9A9A5" w14:textId="77777777" w:rsidR="00F14C4B" w:rsidRPr="001D1A8A" w:rsidRDefault="00F14C4B">
      <w:pPr>
        <w:rPr>
          <w:rFonts w:asciiTheme="majorHAnsi" w:hAnsiTheme="majorHAnsi"/>
          <w:sz w:val="20"/>
          <w:szCs w:val="20"/>
        </w:rPr>
      </w:pPr>
    </w:p>
    <w:sectPr w:rsidR="00F14C4B" w:rsidRPr="001D1A8A" w:rsidSect="00114165">
      <w:footerReference w:type="even" r:id="rId10"/>
      <w:footerReference w:type="default" r:id="rId11"/>
      <w:pgSz w:w="15840" w:h="12240" w:orient="landscape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5D8C0" w14:textId="77777777" w:rsidR="00EB52B0" w:rsidRDefault="00EB52B0" w:rsidP="00E425F8">
      <w:r>
        <w:separator/>
      </w:r>
    </w:p>
  </w:endnote>
  <w:endnote w:type="continuationSeparator" w:id="0">
    <w:p w14:paraId="77553DB2" w14:textId="77777777" w:rsidR="00EB52B0" w:rsidRDefault="00EB52B0" w:rsidP="00E4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8D932" w14:textId="77777777" w:rsidR="00EB52B0" w:rsidRDefault="00EB52B0" w:rsidP="003A2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32EE9D" w14:textId="77777777" w:rsidR="00EB52B0" w:rsidRDefault="00EB52B0" w:rsidP="000B66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62443" w14:textId="77777777" w:rsidR="00EB52B0" w:rsidRDefault="00EB52B0" w:rsidP="003A2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5A5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7F755C" w14:textId="77777777" w:rsidR="00EB52B0" w:rsidRDefault="00EB52B0" w:rsidP="000B66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DE1E4" w14:textId="77777777" w:rsidR="00EB52B0" w:rsidRDefault="00EB52B0" w:rsidP="00E425F8">
      <w:r>
        <w:separator/>
      </w:r>
    </w:p>
  </w:footnote>
  <w:footnote w:type="continuationSeparator" w:id="0">
    <w:p w14:paraId="797823F1" w14:textId="77777777" w:rsidR="00EB52B0" w:rsidRDefault="00EB52B0" w:rsidP="00E42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4B"/>
    <w:rsid w:val="000628FA"/>
    <w:rsid w:val="000A4D87"/>
    <w:rsid w:val="000B6664"/>
    <w:rsid w:val="000E2160"/>
    <w:rsid w:val="00114165"/>
    <w:rsid w:val="001D1A8A"/>
    <w:rsid w:val="00223CC2"/>
    <w:rsid w:val="002972B9"/>
    <w:rsid w:val="00363786"/>
    <w:rsid w:val="003A2F43"/>
    <w:rsid w:val="004A0AB0"/>
    <w:rsid w:val="004F3A4F"/>
    <w:rsid w:val="00587F68"/>
    <w:rsid w:val="00615A51"/>
    <w:rsid w:val="0083525D"/>
    <w:rsid w:val="008E279D"/>
    <w:rsid w:val="008E4635"/>
    <w:rsid w:val="008F4C31"/>
    <w:rsid w:val="00A7638A"/>
    <w:rsid w:val="00B9152D"/>
    <w:rsid w:val="00C1304F"/>
    <w:rsid w:val="00C803BF"/>
    <w:rsid w:val="00C90A25"/>
    <w:rsid w:val="00D146F1"/>
    <w:rsid w:val="00E155F5"/>
    <w:rsid w:val="00E425F8"/>
    <w:rsid w:val="00EB52B0"/>
    <w:rsid w:val="00EC54F3"/>
    <w:rsid w:val="00F14C4B"/>
    <w:rsid w:val="00F348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0D2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5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5F8"/>
  </w:style>
  <w:style w:type="paragraph" w:styleId="Footer">
    <w:name w:val="footer"/>
    <w:basedOn w:val="Normal"/>
    <w:link w:val="FooterChar"/>
    <w:uiPriority w:val="99"/>
    <w:unhideWhenUsed/>
    <w:rsid w:val="00E425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5F8"/>
  </w:style>
  <w:style w:type="character" w:styleId="Hyperlink">
    <w:name w:val="Hyperlink"/>
    <w:basedOn w:val="DefaultParagraphFont"/>
    <w:uiPriority w:val="99"/>
    <w:unhideWhenUsed/>
    <w:rsid w:val="001D1A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03B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B666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5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5F8"/>
  </w:style>
  <w:style w:type="paragraph" w:styleId="Footer">
    <w:name w:val="footer"/>
    <w:basedOn w:val="Normal"/>
    <w:link w:val="FooterChar"/>
    <w:uiPriority w:val="99"/>
    <w:unhideWhenUsed/>
    <w:rsid w:val="00E425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5F8"/>
  </w:style>
  <w:style w:type="character" w:styleId="Hyperlink">
    <w:name w:val="Hyperlink"/>
    <w:basedOn w:val="DefaultParagraphFont"/>
    <w:uiPriority w:val="99"/>
    <w:unhideWhenUsed/>
    <w:rsid w:val="001D1A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03B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B6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icann.org/en/news/correspondence/gac-to-board-18apr13-en.pdf" TargetMode="External"/><Relationship Id="rId8" Type="http://schemas.openxmlformats.org/officeDocument/2006/relationships/hyperlink" Target="http://www.icann.org/en/groups/board/documents/resolutions-new-gtld-annex-1-item-1b-02jul13-en.pdf" TargetMode="External"/><Relationship Id="rId9" Type="http://schemas.openxmlformats.org/officeDocument/2006/relationships/hyperlink" Target="http://www.icann.org/en/groups/board/documents/resolutions-new-gtld-annex-1-item-1b-02jul13-en.pdf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1690</Words>
  <Characters>9636</Characters>
  <Application>Microsoft Macintosh Word</Application>
  <DocSecurity>0</DocSecurity>
  <Lines>80</Lines>
  <Paragraphs>22</Paragraphs>
  <ScaleCrop>false</ScaleCrop>
  <Company>NetChoice</Company>
  <LinksUpToDate>false</LinksUpToDate>
  <CharactersWithSpaces>11304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DelBianco</dc:creator>
  <cp:keywords/>
  <dc:description/>
  <cp:lastModifiedBy>Steve DelBianco</cp:lastModifiedBy>
  <cp:revision>5</cp:revision>
  <dcterms:created xsi:type="dcterms:W3CDTF">2013-07-04T20:02:00Z</dcterms:created>
  <dcterms:modified xsi:type="dcterms:W3CDTF">2013-07-04T20:39:00Z</dcterms:modified>
</cp:coreProperties>
</file>