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535BE4" w14:textId="336EA2D3" w:rsidR="003B3E2A" w:rsidRDefault="003B3E2A" w:rsidP="00D00805">
      <w:pPr>
        <w:widowControl w:val="0"/>
        <w:autoSpaceDE w:val="0"/>
        <w:autoSpaceDN w:val="0"/>
        <w:adjustRightInd w:val="0"/>
        <w:rPr>
          <w:rFonts w:ascii="Calibri" w:hAnsi="Calibri" w:cs="Calibri"/>
          <w:sz w:val="22"/>
          <w:szCs w:val="22"/>
        </w:rPr>
      </w:pPr>
      <w:r>
        <w:rPr>
          <w:rFonts w:ascii="Calibri" w:hAnsi="Calibri" w:cs="Calibri"/>
          <w:sz w:val="22"/>
          <w:szCs w:val="22"/>
        </w:rPr>
        <w:t>D R A F T  [</w:t>
      </w:r>
      <w:r w:rsidR="00072753">
        <w:rPr>
          <w:rFonts w:ascii="Calibri" w:hAnsi="Calibri" w:cs="Calibri"/>
          <w:sz w:val="22"/>
          <w:szCs w:val="22"/>
        </w:rPr>
        <w:t>v</w:t>
      </w:r>
      <w:r w:rsidR="0033140F">
        <w:rPr>
          <w:rFonts w:ascii="Calibri" w:hAnsi="Calibri" w:cs="Calibri"/>
          <w:sz w:val="22"/>
          <w:szCs w:val="22"/>
        </w:rPr>
        <w:t>6</w:t>
      </w:r>
      <w:r>
        <w:rPr>
          <w:rFonts w:ascii="Calibri" w:hAnsi="Calibri" w:cs="Calibri"/>
          <w:sz w:val="22"/>
          <w:szCs w:val="22"/>
        </w:rPr>
        <w:t>]</w:t>
      </w:r>
      <w:r w:rsidR="007C4285">
        <w:rPr>
          <w:rFonts w:ascii="Calibri" w:hAnsi="Calibri" w:cs="Calibri"/>
          <w:sz w:val="22"/>
          <w:szCs w:val="22"/>
        </w:rPr>
        <w:tab/>
      </w:r>
      <w:r w:rsidR="007C4285">
        <w:rPr>
          <w:rFonts w:ascii="Calibri" w:hAnsi="Calibri" w:cs="Calibri"/>
          <w:sz w:val="22"/>
          <w:szCs w:val="22"/>
        </w:rPr>
        <w:tab/>
      </w:r>
      <w:r w:rsidR="007C4285">
        <w:rPr>
          <w:rFonts w:ascii="Calibri" w:hAnsi="Calibri" w:cs="Calibri"/>
          <w:sz w:val="22"/>
          <w:szCs w:val="22"/>
        </w:rPr>
        <w:tab/>
      </w:r>
      <w:r w:rsidR="007C4285">
        <w:rPr>
          <w:rFonts w:ascii="Calibri" w:hAnsi="Calibri" w:cs="Calibri"/>
          <w:sz w:val="22"/>
          <w:szCs w:val="22"/>
        </w:rPr>
        <w:tab/>
      </w:r>
      <w:r w:rsidR="007C4285">
        <w:rPr>
          <w:rFonts w:ascii="Calibri" w:hAnsi="Calibri" w:cs="Calibri"/>
          <w:sz w:val="22"/>
          <w:szCs w:val="22"/>
        </w:rPr>
        <w:tab/>
      </w:r>
      <w:r w:rsidR="007C4285">
        <w:rPr>
          <w:rFonts w:ascii="Calibri" w:hAnsi="Calibri" w:cs="Calibri"/>
          <w:sz w:val="22"/>
          <w:szCs w:val="22"/>
        </w:rPr>
        <w:tab/>
      </w:r>
      <w:r w:rsidR="007C4285">
        <w:rPr>
          <w:rFonts w:ascii="Calibri" w:hAnsi="Calibri" w:cs="Calibri"/>
          <w:sz w:val="22"/>
          <w:szCs w:val="22"/>
        </w:rPr>
        <w:tab/>
      </w:r>
      <w:r w:rsidR="007C4285">
        <w:rPr>
          <w:rFonts w:ascii="Calibri" w:hAnsi="Calibri" w:cs="Calibri"/>
          <w:sz w:val="22"/>
          <w:szCs w:val="22"/>
        </w:rPr>
        <w:tab/>
      </w:r>
      <w:r w:rsidR="0033140F">
        <w:rPr>
          <w:rFonts w:ascii="Calibri" w:hAnsi="Calibri" w:cs="Calibri"/>
          <w:sz w:val="22"/>
          <w:szCs w:val="22"/>
        </w:rPr>
        <w:t>15</w:t>
      </w:r>
      <w:r w:rsidR="00D76D2B">
        <w:rPr>
          <w:rFonts w:ascii="Calibri" w:hAnsi="Calibri" w:cs="Calibri"/>
          <w:sz w:val="22"/>
          <w:szCs w:val="22"/>
        </w:rPr>
        <w:t>-</w:t>
      </w:r>
      <w:r w:rsidR="00301602">
        <w:rPr>
          <w:rFonts w:ascii="Calibri" w:hAnsi="Calibri" w:cs="Calibri"/>
          <w:sz w:val="22"/>
          <w:szCs w:val="22"/>
        </w:rPr>
        <w:t>February</w:t>
      </w:r>
      <w:r w:rsidR="00D76D2B">
        <w:rPr>
          <w:rFonts w:ascii="Calibri" w:hAnsi="Calibri" w:cs="Calibri"/>
          <w:sz w:val="22"/>
          <w:szCs w:val="22"/>
        </w:rPr>
        <w:t>-2012</w:t>
      </w:r>
    </w:p>
    <w:p w14:paraId="052BF2C8" w14:textId="77777777" w:rsidR="003B3E2A" w:rsidRDefault="003B3E2A" w:rsidP="00D00805">
      <w:pPr>
        <w:widowControl w:val="0"/>
        <w:autoSpaceDE w:val="0"/>
        <w:autoSpaceDN w:val="0"/>
        <w:adjustRightInd w:val="0"/>
        <w:rPr>
          <w:rFonts w:ascii="Calibri" w:hAnsi="Calibri" w:cs="Calibri"/>
          <w:sz w:val="22"/>
          <w:szCs w:val="22"/>
        </w:rPr>
      </w:pPr>
    </w:p>
    <w:p w14:paraId="531E00BA" w14:textId="0D5B0277" w:rsidR="003B3E2A" w:rsidRDefault="003B3E2A" w:rsidP="003B3E2A">
      <w:pPr>
        <w:widowControl w:val="0"/>
        <w:autoSpaceDE w:val="0"/>
        <w:autoSpaceDN w:val="0"/>
        <w:adjustRightInd w:val="0"/>
        <w:jc w:val="right"/>
        <w:rPr>
          <w:rFonts w:ascii="Calibri" w:hAnsi="Calibri" w:cs="Calibri"/>
          <w:sz w:val="22"/>
          <w:szCs w:val="22"/>
        </w:rPr>
      </w:pPr>
    </w:p>
    <w:p w14:paraId="7B7F6563" w14:textId="39F32A14" w:rsidR="002E7E35" w:rsidRDefault="00D76D2B" w:rsidP="00D76D2B">
      <w:pPr>
        <w:widowControl w:val="0"/>
        <w:autoSpaceDE w:val="0"/>
        <w:autoSpaceDN w:val="0"/>
        <w:adjustRightInd w:val="0"/>
        <w:jc w:val="center"/>
        <w:rPr>
          <w:rFonts w:ascii="Calibri" w:hAnsi="Calibri" w:cs="Calibri"/>
          <w:b/>
          <w:sz w:val="22"/>
          <w:szCs w:val="22"/>
        </w:rPr>
      </w:pPr>
      <w:r w:rsidRPr="00D76D2B">
        <w:rPr>
          <w:rFonts w:ascii="Calibri" w:hAnsi="Calibri" w:cs="Calibri"/>
          <w:b/>
          <w:sz w:val="22"/>
          <w:szCs w:val="22"/>
        </w:rPr>
        <w:t>A</w:t>
      </w:r>
      <w:r w:rsidR="00147451" w:rsidRPr="00D76D2B">
        <w:rPr>
          <w:rFonts w:ascii="Calibri" w:hAnsi="Calibri" w:cs="Calibri"/>
          <w:b/>
          <w:sz w:val="22"/>
          <w:szCs w:val="22"/>
        </w:rPr>
        <w:t xml:space="preserve">dvice requested by ICANN Board </w:t>
      </w:r>
    </w:p>
    <w:p w14:paraId="7771186F" w14:textId="77777777" w:rsidR="002E7E35" w:rsidRDefault="00147451" w:rsidP="00D76D2B">
      <w:pPr>
        <w:widowControl w:val="0"/>
        <w:autoSpaceDE w:val="0"/>
        <w:autoSpaceDN w:val="0"/>
        <w:adjustRightInd w:val="0"/>
        <w:jc w:val="center"/>
        <w:rPr>
          <w:rFonts w:ascii="Calibri" w:hAnsi="Calibri" w:cs="Calibri"/>
          <w:b/>
          <w:sz w:val="22"/>
          <w:szCs w:val="22"/>
          <w:lang w:val="en-GB"/>
        </w:rPr>
      </w:pPr>
      <w:proofErr w:type="gramStart"/>
      <w:r w:rsidRPr="00D76D2B">
        <w:rPr>
          <w:rFonts w:ascii="Calibri" w:hAnsi="Calibri" w:cs="Calibri"/>
          <w:b/>
          <w:sz w:val="22"/>
          <w:szCs w:val="22"/>
        </w:rPr>
        <w:t>regarding</w:t>
      </w:r>
      <w:proofErr w:type="gramEnd"/>
      <w:r w:rsidRPr="00D76D2B">
        <w:rPr>
          <w:rFonts w:ascii="Calibri" w:hAnsi="Calibri" w:cs="Calibri"/>
          <w:b/>
          <w:sz w:val="22"/>
          <w:szCs w:val="22"/>
        </w:rPr>
        <w:t xml:space="preserve"> </w:t>
      </w:r>
      <w:r w:rsidRPr="00D76D2B">
        <w:rPr>
          <w:rFonts w:ascii="Calibri" w:hAnsi="Calibri" w:cs="Calibri"/>
          <w:b/>
          <w:sz w:val="22"/>
          <w:szCs w:val="22"/>
          <w:lang w:val="en-GB"/>
        </w:rPr>
        <w:t xml:space="preserve">definitions, measures, and targets </w:t>
      </w:r>
    </w:p>
    <w:p w14:paraId="3050CD95" w14:textId="21B1018E" w:rsidR="00147451" w:rsidRPr="007D0AF0" w:rsidRDefault="00147451" w:rsidP="007D0AF0">
      <w:pPr>
        <w:widowControl w:val="0"/>
        <w:autoSpaceDE w:val="0"/>
        <w:autoSpaceDN w:val="0"/>
        <w:adjustRightInd w:val="0"/>
        <w:jc w:val="center"/>
        <w:rPr>
          <w:rFonts w:ascii="Calibri" w:hAnsi="Calibri" w:cs="Calibri"/>
          <w:b/>
          <w:sz w:val="22"/>
          <w:szCs w:val="22"/>
          <w:lang w:val="en-GB"/>
        </w:rPr>
      </w:pPr>
      <w:proofErr w:type="gramStart"/>
      <w:r w:rsidRPr="00D76D2B">
        <w:rPr>
          <w:rFonts w:ascii="Calibri" w:hAnsi="Calibri" w:cs="Calibri"/>
          <w:b/>
          <w:sz w:val="22"/>
          <w:szCs w:val="22"/>
          <w:lang w:val="en-GB"/>
        </w:rPr>
        <w:t>for</w:t>
      </w:r>
      <w:proofErr w:type="gramEnd"/>
      <w:r w:rsidRPr="00D76D2B">
        <w:rPr>
          <w:rFonts w:ascii="Calibri" w:hAnsi="Calibri" w:cs="Calibri"/>
          <w:b/>
          <w:sz w:val="22"/>
          <w:szCs w:val="22"/>
          <w:lang w:val="en-GB"/>
        </w:rPr>
        <w:t xml:space="preserve"> competition, consumer trust and consumer choice </w:t>
      </w:r>
    </w:p>
    <w:p w14:paraId="37FE7A73" w14:textId="77777777" w:rsidR="00147451" w:rsidRDefault="00147451" w:rsidP="00D00805">
      <w:pPr>
        <w:widowControl w:val="0"/>
        <w:autoSpaceDE w:val="0"/>
        <w:autoSpaceDN w:val="0"/>
        <w:adjustRightInd w:val="0"/>
        <w:rPr>
          <w:rFonts w:ascii="Calibri" w:hAnsi="Calibri" w:cs="Calibri"/>
          <w:sz w:val="22"/>
          <w:szCs w:val="22"/>
        </w:rPr>
      </w:pPr>
    </w:p>
    <w:p w14:paraId="075B5955" w14:textId="5F5F93D2" w:rsidR="00C14F7F" w:rsidRDefault="00D76D2B" w:rsidP="00D76D2B">
      <w:pPr>
        <w:widowControl w:val="0"/>
        <w:autoSpaceDE w:val="0"/>
        <w:autoSpaceDN w:val="0"/>
        <w:adjustRightInd w:val="0"/>
        <w:jc w:val="center"/>
        <w:rPr>
          <w:rFonts w:ascii="Calibri" w:hAnsi="Calibri" w:cs="Calibri"/>
          <w:sz w:val="22"/>
          <w:szCs w:val="22"/>
        </w:rPr>
      </w:pPr>
      <w:r>
        <w:rPr>
          <w:rFonts w:ascii="Calibri" w:hAnsi="Calibri" w:cs="Calibri"/>
          <w:sz w:val="22"/>
          <w:szCs w:val="22"/>
        </w:rPr>
        <w:t xml:space="preserve">Prepared by the Consumer Trust Working Group, </w:t>
      </w:r>
    </w:p>
    <w:p w14:paraId="130BFD08" w14:textId="567EBF5C" w:rsidR="003B3E2A" w:rsidRDefault="00D76D2B" w:rsidP="00D76D2B">
      <w:pPr>
        <w:widowControl w:val="0"/>
        <w:autoSpaceDE w:val="0"/>
        <w:autoSpaceDN w:val="0"/>
        <w:adjustRightInd w:val="0"/>
        <w:jc w:val="center"/>
        <w:rPr>
          <w:rFonts w:ascii="Calibri" w:hAnsi="Calibri" w:cs="Calibri"/>
          <w:sz w:val="22"/>
          <w:szCs w:val="22"/>
        </w:rPr>
      </w:pPr>
      <w:proofErr w:type="gramStart"/>
      <w:r>
        <w:rPr>
          <w:rFonts w:ascii="Calibri" w:hAnsi="Calibri" w:cs="Calibri"/>
          <w:sz w:val="22"/>
          <w:szCs w:val="22"/>
        </w:rPr>
        <w:t>for</w:t>
      </w:r>
      <w:proofErr w:type="gramEnd"/>
      <w:r>
        <w:rPr>
          <w:rFonts w:ascii="Calibri" w:hAnsi="Calibri" w:cs="Calibri"/>
          <w:sz w:val="22"/>
          <w:szCs w:val="22"/>
        </w:rPr>
        <w:t xml:space="preserve"> consideration of </w:t>
      </w:r>
      <w:r w:rsidR="003B3E2A">
        <w:rPr>
          <w:rFonts w:ascii="Calibri" w:hAnsi="Calibri" w:cs="Calibri"/>
          <w:sz w:val="22"/>
          <w:szCs w:val="22"/>
        </w:rPr>
        <w:t xml:space="preserve">ALAC, </w:t>
      </w:r>
      <w:proofErr w:type="spellStart"/>
      <w:r w:rsidR="003B3E2A">
        <w:rPr>
          <w:rFonts w:ascii="Calibri" w:hAnsi="Calibri" w:cs="Calibri"/>
          <w:sz w:val="22"/>
          <w:szCs w:val="22"/>
        </w:rPr>
        <w:t>ccNSO</w:t>
      </w:r>
      <w:proofErr w:type="spellEnd"/>
      <w:r w:rsidR="003B3E2A">
        <w:rPr>
          <w:rFonts w:ascii="Calibri" w:hAnsi="Calibri" w:cs="Calibri"/>
          <w:sz w:val="22"/>
          <w:szCs w:val="22"/>
        </w:rPr>
        <w:t>, and GNSO</w:t>
      </w:r>
      <w:r>
        <w:rPr>
          <w:rFonts w:ascii="Calibri" w:hAnsi="Calibri" w:cs="Calibri"/>
          <w:sz w:val="22"/>
          <w:szCs w:val="22"/>
        </w:rPr>
        <w:t xml:space="preserve"> </w:t>
      </w:r>
    </w:p>
    <w:p w14:paraId="777A3FB5" w14:textId="77777777" w:rsidR="00D76D2B" w:rsidRDefault="00D76D2B" w:rsidP="00D76D2B">
      <w:pPr>
        <w:widowControl w:val="0"/>
        <w:autoSpaceDE w:val="0"/>
        <w:autoSpaceDN w:val="0"/>
        <w:adjustRightInd w:val="0"/>
        <w:jc w:val="center"/>
        <w:rPr>
          <w:rFonts w:ascii="Calibri" w:hAnsi="Calibri" w:cs="Calibri"/>
          <w:sz w:val="22"/>
          <w:szCs w:val="22"/>
        </w:rPr>
      </w:pPr>
    </w:p>
    <w:p w14:paraId="1BF92C52" w14:textId="3496162E" w:rsidR="003B3E2A" w:rsidRPr="0070200A" w:rsidRDefault="0044303F" w:rsidP="00D00805">
      <w:pPr>
        <w:widowControl w:val="0"/>
        <w:autoSpaceDE w:val="0"/>
        <w:autoSpaceDN w:val="0"/>
        <w:adjustRightInd w:val="0"/>
        <w:rPr>
          <w:rFonts w:ascii="Calibri" w:hAnsi="Calibri" w:cs="Calibri"/>
          <w:b/>
          <w:sz w:val="22"/>
          <w:szCs w:val="22"/>
        </w:rPr>
      </w:pPr>
      <w:r>
        <w:rPr>
          <w:rFonts w:ascii="Calibri" w:hAnsi="Calibri" w:cs="Calibri"/>
          <w:b/>
          <w:sz w:val="22"/>
          <w:szCs w:val="22"/>
        </w:rPr>
        <w:t>Background</w:t>
      </w:r>
    </w:p>
    <w:p w14:paraId="776C1332" w14:textId="77777777" w:rsidR="0044303F" w:rsidRDefault="0044303F" w:rsidP="0070200A">
      <w:pPr>
        <w:widowControl w:val="0"/>
        <w:autoSpaceDE w:val="0"/>
        <w:autoSpaceDN w:val="0"/>
        <w:adjustRightInd w:val="0"/>
        <w:rPr>
          <w:rFonts w:ascii="Calibri" w:hAnsi="Calibri" w:cs="Calibri"/>
          <w:sz w:val="22"/>
          <w:szCs w:val="22"/>
          <w:lang w:val="en-GB"/>
        </w:rPr>
      </w:pPr>
    </w:p>
    <w:p w14:paraId="1A130507" w14:textId="03D66158" w:rsidR="00166DCD" w:rsidRDefault="00166DCD" w:rsidP="0070200A">
      <w:pPr>
        <w:widowControl w:val="0"/>
        <w:autoSpaceDE w:val="0"/>
        <w:autoSpaceDN w:val="0"/>
        <w:adjustRightInd w:val="0"/>
        <w:rPr>
          <w:rFonts w:ascii="Calibri" w:hAnsi="Calibri" w:cs="Calibri"/>
          <w:sz w:val="22"/>
          <w:szCs w:val="22"/>
          <w:lang w:val="en-GB"/>
        </w:rPr>
      </w:pPr>
      <w:r>
        <w:rPr>
          <w:rFonts w:ascii="Calibri" w:hAnsi="Calibri" w:cs="Calibri"/>
          <w:sz w:val="22"/>
          <w:szCs w:val="22"/>
          <w:lang w:val="en-GB"/>
        </w:rPr>
        <w:t xml:space="preserve">This advice </w:t>
      </w:r>
      <w:r w:rsidR="002569BF">
        <w:rPr>
          <w:rFonts w:ascii="Calibri" w:hAnsi="Calibri" w:cs="Calibri"/>
          <w:sz w:val="22"/>
          <w:szCs w:val="22"/>
          <w:lang w:val="en-GB"/>
        </w:rPr>
        <w:t>was</w:t>
      </w:r>
      <w:r>
        <w:rPr>
          <w:rFonts w:ascii="Calibri" w:hAnsi="Calibri" w:cs="Calibri"/>
          <w:sz w:val="22"/>
          <w:szCs w:val="22"/>
          <w:lang w:val="en-GB"/>
        </w:rPr>
        <w:t xml:space="preserve"> drafted in response to an ICANN board resolution asking for definitions and metrics that will be used to evaluate the gTLD expansion program in a post-launch review required under the </w:t>
      </w:r>
      <w:hyperlink r:id="rId8" w:history="1">
        <w:r w:rsidRPr="007E2787">
          <w:rPr>
            <w:rStyle w:val="Hyperlink"/>
            <w:rFonts w:ascii="Calibri" w:hAnsi="Calibri" w:cs="Calibri"/>
            <w:sz w:val="22"/>
            <w:szCs w:val="22"/>
            <w:lang w:val="en-GB"/>
          </w:rPr>
          <w:t>Affirmation of Commitments</w:t>
        </w:r>
      </w:hyperlink>
      <w:r>
        <w:rPr>
          <w:rFonts w:ascii="Calibri" w:hAnsi="Calibri" w:cs="Calibri"/>
          <w:sz w:val="22"/>
          <w:szCs w:val="22"/>
          <w:lang w:val="en-GB"/>
        </w:rPr>
        <w:t>.</w:t>
      </w:r>
    </w:p>
    <w:p w14:paraId="301E10AC" w14:textId="77777777" w:rsidR="00166DCD" w:rsidRDefault="00166DCD" w:rsidP="0070200A">
      <w:pPr>
        <w:widowControl w:val="0"/>
        <w:autoSpaceDE w:val="0"/>
        <w:autoSpaceDN w:val="0"/>
        <w:adjustRightInd w:val="0"/>
        <w:rPr>
          <w:rFonts w:ascii="Calibri" w:hAnsi="Calibri" w:cs="Calibri"/>
          <w:sz w:val="22"/>
          <w:szCs w:val="22"/>
          <w:lang w:val="en-GB"/>
        </w:rPr>
      </w:pPr>
    </w:p>
    <w:p w14:paraId="59F2557E" w14:textId="77777777" w:rsidR="00166DCD" w:rsidRDefault="0070200A" w:rsidP="0070200A">
      <w:pPr>
        <w:widowControl w:val="0"/>
        <w:autoSpaceDE w:val="0"/>
        <w:autoSpaceDN w:val="0"/>
        <w:adjustRightInd w:val="0"/>
        <w:rPr>
          <w:rFonts w:ascii="Calibri" w:hAnsi="Calibri" w:cs="Calibri"/>
          <w:sz w:val="22"/>
          <w:szCs w:val="22"/>
          <w:lang w:val="en-GB"/>
        </w:rPr>
      </w:pPr>
      <w:r w:rsidRPr="00584238">
        <w:rPr>
          <w:rFonts w:ascii="Calibri" w:hAnsi="Calibri" w:cs="Calibri"/>
          <w:sz w:val="22"/>
          <w:szCs w:val="22"/>
          <w:lang w:val="en-GB"/>
        </w:rPr>
        <w:t>ICANN and the US National Telecommunications and Information Administration (NTIA)</w:t>
      </w:r>
      <w:r>
        <w:rPr>
          <w:rFonts w:ascii="Calibri" w:hAnsi="Calibri" w:cs="Calibri"/>
          <w:sz w:val="22"/>
          <w:szCs w:val="22"/>
          <w:lang w:val="en-GB"/>
        </w:rPr>
        <w:t xml:space="preserve"> signed the</w:t>
      </w:r>
      <w:r w:rsidRPr="00584238">
        <w:rPr>
          <w:rFonts w:ascii="Calibri" w:hAnsi="Calibri" w:cs="Calibri"/>
          <w:sz w:val="22"/>
          <w:szCs w:val="22"/>
          <w:lang w:val="en-GB"/>
        </w:rPr>
        <w:t xml:space="preserve"> Affirma</w:t>
      </w:r>
      <w:r>
        <w:rPr>
          <w:rFonts w:ascii="Calibri" w:hAnsi="Calibri" w:cs="Calibri"/>
          <w:sz w:val="22"/>
          <w:szCs w:val="22"/>
          <w:lang w:val="en-GB"/>
        </w:rPr>
        <w:t>tion of Commitments (AOC) on 30-</w:t>
      </w:r>
      <w:r w:rsidRPr="00584238">
        <w:rPr>
          <w:rFonts w:ascii="Calibri" w:hAnsi="Calibri" w:cs="Calibri"/>
          <w:sz w:val="22"/>
          <w:szCs w:val="22"/>
          <w:lang w:val="en-GB"/>
        </w:rPr>
        <w:t>Sep</w:t>
      </w:r>
      <w:r>
        <w:rPr>
          <w:rFonts w:ascii="Calibri" w:hAnsi="Calibri" w:cs="Calibri"/>
          <w:sz w:val="22"/>
          <w:szCs w:val="22"/>
          <w:lang w:val="en-GB"/>
        </w:rPr>
        <w:t>-</w:t>
      </w:r>
      <w:r w:rsidRPr="00584238">
        <w:rPr>
          <w:rFonts w:ascii="Calibri" w:hAnsi="Calibri" w:cs="Calibri"/>
          <w:sz w:val="22"/>
          <w:szCs w:val="22"/>
          <w:lang w:val="en-GB"/>
        </w:rPr>
        <w:t>2009.</w:t>
      </w:r>
      <w:r w:rsidR="00166DCD">
        <w:rPr>
          <w:rFonts w:ascii="Calibri" w:hAnsi="Calibri" w:cs="Calibri"/>
          <w:sz w:val="22"/>
          <w:szCs w:val="22"/>
          <w:lang w:val="en-GB"/>
        </w:rPr>
        <w:t xml:space="preserve">  </w:t>
      </w:r>
      <w:r w:rsidRPr="00584238">
        <w:rPr>
          <w:rFonts w:ascii="Calibri" w:hAnsi="Calibri" w:cs="Calibri"/>
          <w:sz w:val="22"/>
          <w:szCs w:val="22"/>
          <w:lang w:val="en-GB"/>
        </w:rPr>
        <w:t xml:space="preserve">Article 3.c of the AOC </w:t>
      </w:r>
      <w:r>
        <w:rPr>
          <w:rFonts w:ascii="Calibri" w:hAnsi="Calibri" w:cs="Calibri"/>
          <w:sz w:val="22"/>
          <w:szCs w:val="22"/>
          <w:lang w:val="en-GB"/>
        </w:rPr>
        <w:t>is</w:t>
      </w:r>
      <w:r w:rsidRPr="00584238">
        <w:rPr>
          <w:rFonts w:ascii="Calibri" w:hAnsi="Calibri" w:cs="Calibri"/>
          <w:sz w:val="22"/>
          <w:szCs w:val="22"/>
          <w:lang w:val="en-GB"/>
        </w:rPr>
        <w:t xml:space="preserve"> a commitment to “</w:t>
      </w:r>
      <w:r w:rsidRPr="002569BF">
        <w:rPr>
          <w:rFonts w:ascii="Calibri" w:hAnsi="Calibri" w:cs="Calibri"/>
          <w:i/>
          <w:sz w:val="22"/>
          <w:szCs w:val="22"/>
          <w:lang w:val="en-GB"/>
        </w:rPr>
        <w:t>promote competition, consumer trust, and consumer choice in the DNS marketplace</w:t>
      </w:r>
      <w:r w:rsidRPr="00584238">
        <w:rPr>
          <w:rFonts w:ascii="Calibri" w:hAnsi="Calibri" w:cs="Calibri"/>
          <w:sz w:val="22"/>
          <w:szCs w:val="22"/>
          <w:lang w:val="en-GB"/>
        </w:rPr>
        <w:t xml:space="preserve">”. </w:t>
      </w:r>
    </w:p>
    <w:p w14:paraId="2238D941" w14:textId="77777777" w:rsidR="00166DCD" w:rsidRDefault="00166DCD" w:rsidP="0070200A">
      <w:pPr>
        <w:widowControl w:val="0"/>
        <w:autoSpaceDE w:val="0"/>
        <w:autoSpaceDN w:val="0"/>
        <w:adjustRightInd w:val="0"/>
        <w:rPr>
          <w:rFonts w:ascii="Calibri" w:hAnsi="Calibri" w:cs="Calibri"/>
          <w:sz w:val="22"/>
          <w:szCs w:val="22"/>
          <w:lang w:val="en-GB"/>
        </w:rPr>
      </w:pPr>
    </w:p>
    <w:p w14:paraId="47B5E3E9" w14:textId="6DDAF9E4" w:rsidR="0070200A" w:rsidRDefault="0070200A" w:rsidP="0070200A">
      <w:pPr>
        <w:widowControl w:val="0"/>
        <w:autoSpaceDE w:val="0"/>
        <w:autoSpaceDN w:val="0"/>
        <w:adjustRightInd w:val="0"/>
        <w:rPr>
          <w:rFonts w:ascii="Calibri" w:hAnsi="Calibri" w:cs="Calibri"/>
          <w:sz w:val="22"/>
          <w:szCs w:val="22"/>
          <w:lang w:val="en-GB"/>
        </w:rPr>
      </w:pPr>
      <w:r w:rsidRPr="00584238">
        <w:rPr>
          <w:rFonts w:ascii="Calibri" w:hAnsi="Calibri" w:cs="Calibri"/>
          <w:sz w:val="22"/>
          <w:szCs w:val="22"/>
          <w:lang w:val="en-GB"/>
        </w:rPr>
        <w:t>Article 9.3 expan</w:t>
      </w:r>
      <w:r w:rsidR="00503D46">
        <w:rPr>
          <w:rFonts w:ascii="Calibri" w:hAnsi="Calibri" w:cs="Calibri"/>
          <w:sz w:val="22"/>
          <w:szCs w:val="22"/>
          <w:lang w:val="en-GB"/>
        </w:rPr>
        <w:t xml:space="preserve">ded on this and committed ICANN </w:t>
      </w:r>
      <w:r w:rsidRPr="00584238">
        <w:rPr>
          <w:rFonts w:ascii="Calibri" w:hAnsi="Calibri" w:cs="Calibri"/>
          <w:sz w:val="22"/>
          <w:szCs w:val="22"/>
          <w:lang w:val="en-GB"/>
        </w:rPr>
        <w:t>to “</w:t>
      </w:r>
      <w:r w:rsidRPr="002569BF">
        <w:rPr>
          <w:rFonts w:ascii="Calibri" w:hAnsi="Calibri" w:cs="Calibri"/>
          <w:i/>
          <w:sz w:val="22"/>
          <w:szCs w:val="22"/>
          <w:lang w:val="en-GB"/>
        </w:rPr>
        <w:t>adequately address” “competition, consumer protection, security, stability and resiliency, malicious abuse issues, sovereignty concerns, and rights protection” “prior to implementation</w:t>
      </w:r>
      <w:r w:rsidRPr="00584238">
        <w:rPr>
          <w:rFonts w:ascii="Calibri" w:hAnsi="Calibri" w:cs="Calibri"/>
          <w:sz w:val="22"/>
          <w:szCs w:val="22"/>
          <w:lang w:val="en-GB"/>
        </w:rPr>
        <w:t>”</w:t>
      </w:r>
      <w:r>
        <w:rPr>
          <w:rFonts w:ascii="Calibri" w:hAnsi="Calibri" w:cs="Calibri"/>
          <w:sz w:val="22"/>
          <w:szCs w:val="22"/>
          <w:lang w:val="en-GB"/>
        </w:rPr>
        <w:t>.</w:t>
      </w:r>
    </w:p>
    <w:p w14:paraId="27F53FFB" w14:textId="77777777" w:rsidR="0070200A" w:rsidRDefault="0070200A" w:rsidP="0070200A">
      <w:pPr>
        <w:widowControl w:val="0"/>
        <w:autoSpaceDE w:val="0"/>
        <w:autoSpaceDN w:val="0"/>
        <w:adjustRightInd w:val="0"/>
        <w:rPr>
          <w:rFonts w:ascii="Calibri" w:hAnsi="Calibri" w:cs="Calibri"/>
          <w:sz w:val="22"/>
          <w:szCs w:val="22"/>
          <w:lang w:val="en-GB"/>
        </w:rPr>
      </w:pPr>
    </w:p>
    <w:p w14:paraId="06A44DF7" w14:textId="77777777" w:rsidR="0070200A" w:rsidRPr="00584238" w:rsidRDefault="0070200A" w:rsidP="0070200A">
      <w:pPr>
        <w:widowControl w:val="0"/>
        <w:autoSpaceDE w:val="0"/>
        <w:autoSpaceDN w:val="0"/>
        <w:adjustRightInd w:val="0"/>
        <w:rPr>
          <w:rFonts w:ascii="Calibri" w:hAnsi="Calibri" w:cs="Calibri"/>
          <w:sz w:val="22"/>
          <w:szCs w:val="22"/>
          <w:lang w:val="en-GB"/>
        </w:rPr>
      </w:pPr>
      <w:r>
        <w:rPr>
          <w:rFonts w:ascii="Calibri" w:hAnsi="Calibri" w:cs="Calibri"/>
          <w:sz w:val="22"/>
          <w:szCs w:val="22"/>
          <w:lang w:val="en-GB"/>
        </w:rPr>
        <w:t xml:space="preserve">Article 9.3 also committed ICANN to perform a review one year after the first new gTLD was delegated, </w:t>
      </w:r>
      <w:r w:rsidRPr="00584238">
        <w:rPr>
          <w:rFonts w:ascii="Calibri" w:hAnsi="Calibri" w:cs="Calibri"/>
          <w:sz w:val="22"/>
          <w:szCs w:val="22"/>
          <w:lang w:val="en-GB"/>
        </w:rPr>
        <w:t>to “</w:t>
      </w:r>
      <w:r w:rsidRPr="002569BF">
        <w:rPr>
          <w:rFonts w:ascii="Calibri" w:hAnsi="Calibri" w:cs="Calibri"/>
          <w:i/>
          <w:sz w:val="22"/>
          <w:szCs w:val="22"/>
          <w:lang w:val="en-GB"/>
        </w:rPr>
        <w:t xml:space="preserve">examine the extent to which the introduction or expansion of </w:t>
      </w:r>
      <w:proofErr w:type="spellStart"/>
      <w:r w:rsidRPr="002569BF">
        <w:rPr>
          <w:rFonts w:ascii="Calibri" w:hAnsi="Calibri" w:cs="Calibri"/>
          <w:i/>
          <w:sz w:val="22"/>
          <w:szCs w:val="22"/>
          <w:lang w:val="en-GB"/>
        </w:rPr>
        <w:t>gTLDs</w:t>
      </w:r>
      <w:proofErr w:type="spellEnd"/>
      <w:r w:rsidRPr="002569BF">
        <w:rPr>
          <w:rFonts w:ascii="Calibri" w:hAnsi="Calibri" w:cs="Calibri"/>
          <w:i/>
          <w:sz w:val="22"/>
          <w:szCs w:val="22"/>
          <w:lang w:val="en-GB"/>
        </w:rPr>
        <w:t xml:space="preserve"> has promoted competition, consumer trust and consumer choice</w:t>
      </w:r>
      <w:r w:rsidRPr="00584238">
        <w:rPr>
          <w:rFonts w:ascii="Calibri" w:hAnsi="Calibri" w:cs="Calibri"/>
          <w:sz w:val="22"/>
          <w:szCs w:val="22"/>
          <w:lang w:val="en-GB"/>
        </w:rPr>
        <w:t>”.</w:t>
      </w:r>
    </w:p>
    <w:p w14:paraId="684F9EAC" w14:textId="77777777" w:rsidR="0070200A" w:rsidRPr="00584238" w:rsidRDefault="0070200A" w:rsidP="0070200A">
      <w:pPr>
        <w:widowControl w:val="0"/>
        <w:autoSpaceDE w:val="0"/>
        <w:autoSpaceDN w:val="0"/>
        <w:adjustRightInd w:val="0"/>
        <w:rPr>
          <w:rFonts w:ascii="Calibri" w:hAnsi="Calibri" w:cs="Calibri"/>
          <w:sz w:val="22"/>
          <w:szCs w:val="22"/>
          <w:lang w:val="en-GB"/>
        </w:rPr>
      </w:pPr>
    </w:p>
    <w:p w14:paraId="42A5F861" w14:textId="44B08750" w:rsidR="00646CE3" w:rsidRDefault="00646CE3" w:rsidP="00646CE3">
      <w:pPr>
        <w:widowControl w:val="0"/>
        <w:autoSpaceDE w:val="0"/>
        <w:autoSpaceDN w:val="0"/>
        <w:adjustRightInd w:val="0"/>
        <w:rPr>
          <w:rFonts w:ascii="Calibri" w:hAnsi="Calibri" w:cs="Calibri"/>
          <w:sz w:val="22"/>
          <w:szCs w:val="22"/>
          <w:lang w:val="en-GB"/>
        </w:rPr>
      </w:pPr>
      <w:r>
        <w:rPr>
          <w:rFonts w:ascii="Calibri" w:hAnsi="Calibri" w:cs="Calibri"/>
          <w:sz w:val="22"/>
          <w:szCs w:val="22"/>
          <w:lang w:val="en-GB"/>
        </w:rPr>
        <w:t xml:space="preserve">Community discussions during the AOC review of Accountability and Transparency included calls for </w:t>
      </w:r>
      <w:r w:rsidRPr="000812DC">
        <w:rPr>
          <w:rFonts w:ascii="Calibri" w:hAnsi="Calibri" w:cs="Calibri"/>
          <w:i/>
          <w:sz w:val="22"/>
          <w:szCs w:val="22"/>
          <w:lang w:val="en-GB"/>
        </w:rPr>
        <w:t>metrics</w:t>
      </w:r>
      <w:r>
        <w:rPr>
          <w:rFonts w:ascii="Calibri" w:hAnsi="Calibri" w:cs="Calibri"/>
          <w:sz w:val="22"/>
          <w:szCs w:val="22"/>
          <w:lang w:val="en-GB"/>
        </w:rPr>
        <w:t xml:space="preserve"> – objective measures that could be used to assess ICANN’s </w:t>
      </w:r>
      <w:r w:rsidR="000812DC">
        <w:rPr>
          <w:rFonts w:ascii="Calibri" w:hAnsi="Calibri" w:cs="Calibri"/>
          <w:sz w:val="22"/>
          <w:szCs w:val="22"/>
          <w:lang w:val="en-GB"/>
        </w:rPr>
        <w:t>performance</w:t>
      </w:r>
      <w:r>
        <w:rPr>
          <w:rFonts w:ascii="Calibri" w:hAnsi="Calibri" w:cs="Calibri"/>
          <w:sz w:val="22"/>
          <w:szCs w:val="22"/>
          <w:lang w:val="en-GB"/>
        </w:rPr>
        <w:t xml:space="preserve"> on key aspects of accountability and transparency.  Moreover, it was argued that such metrics would help ICANN management to focus </w:t>
      </w:r>
      <w:r w:rsidR="000812DC">
        <w:rPr>
          <w:rFonts w:ascii="Calibri" w:hAnsi="Calibri" w:cs="Calibri"/>
          <w:sz w:val="22"/>
          <w:szCs w:val="22"/>
          <w:lang w:val="en-GB"/>
        </w:rPr>
        <w:t xml:space="preserve">its </w:t>
      </w:r>
      <w:r>
        <w:rPr>
          <w:rFonts w:ascii="Calibri" w:hAnsi="Calibri" w:cs="Calibri"/>
          <w:sz w:val="22"/>
          <w:szCs w:val="22"/>
          <w:lang w:val="en-GB"/>
        </w:rPr>
        <w:t xml:space="preserve">efforts in ways that would measurably improve performance.   In that vein, several community members encouraged ICANN’s board to establish metrics for other AOC reviews and commitments, including public interest, consumer trust, competition, and consumer choice. </w:t>
      </w:r>
    </w:p>
    <w:p w14:paraId="74367D53" w14:textId="77777777" w:rsidR="00646CE3" w:rsidRDefault="00646CE3" w:rsidP="00646CE3">
      <w:pPr>
        <w:widowControl w:val="0"/>
        <w:autoSpaceDE w:val="0"/>
        <w:autoSpaceDN w:val="0"/>
        <w:adjustRightInd w:val="0"/>
        <w:rPr>
          <w:rFonts w:ascii="Calibri" w:hAnsi="Calibri" w:cs="Calibri"/>
          <w:sz w:val="22"/>
          <w:szCs w:val="22"/>
          <w:lang w:val="en-GB"/>
        </w:rPr>
      </w:pPr>
    </w:p>
    <w:p w14:paraId="5552C530" w14:textId="328A425A" w:rsidR="0070200A" w:rsidRPr="00584238" w:rsidRDefault="00646CE3" w:rsidP="00646CE3">
      <w:pPr>
        <w:widowControl w:val="0"/>
        <w:autoSpaceDE w:val="0"/>
        <w:autoSpaceDN w:val="0"/>
        <w:adjustRightInd w:val="0"/>
        <w:rPr>
          <w:rFonts w:ascii="Calibri" w:hAnsi="Calibri" w:cs="Calibri"/>
          <w:sz w:val="22"/>
          <w:szCs w:val="22"/>
          <w:lang w:val="en-GB"/>
        </w:rPr>
      </w:pPr>
      <w:r>
        <w:rPr>
          <w:rFonts w:ascii="Calibri" w:hAnsi="Calibri" w:cs="Calibri"/>
          <w:sz w:val="22"/>
          <w:szCs w:val="22"/>
          <w:lang w:val="en-GB"/>
        </w:rPr>
        <w:t>Since</w:t>
      </w:r>
      <w:r w:rsidR="0070200A" w:rsidRPr="00584238">
        <w:rPr>
          <w:rFonts w:ascii="Calibri" w:hAnsi="Calibri" w:cs="Calibri"/>
          <w:sz w:val="22"/>
          <w:szCs w:val="22"/>
          <w:lang w:val="en-GB"/>
        </w:rPr>
        <w:t xml:space="preserve"> the AOC did not d</w:t>
      </w:r>
      <w:r w:rsidR="002569BF">
        <w:rPr>
          <w:rFonts w:ascii="Calibri" w:hAnsi="Calibri" w:cs="Calibri"/>
          <w:sz w:val="22"/>
          <w:szCs w:val="22"/>
          <w:lang w:val="en-GB"/>
        </w:rPr>
        <w:t xml:space="preserve">efine the terms or measures of </w:t>
      </w:r>
      <w:r w:rsidR="0070200A" w:rsidRPr="00584238">
        <w:rPr>
          <w:rFonts w:ascii="Calibri" w:hAnsi="Calibri" w:cs="Calibri"/>
          <w:sz w:val="22"/>
          <w:szCs w:val="22"/>
          <w:lang w:val="en-GB"/>
        </w:rPr>
        <w:t>competition, consu</w:t>
      </w:r>
      <w:r w:rsidR="002569BF">
        <w:rPr>
          <w:rFonts w:ascii="Calibri" w:hAnsi="Calibri" w:cs="Calibri"/>
          <w:sz w:val="22"/>
          <w:szCs w:val="22"/>
          <w:lang w:val="en-GB"/>
        </w:rPr>
        <w:t>mer trust and consumer choice</w:t>
      </w:r>
      <w:r>
        <w:rPr>
          <w:rFonts w:ascii="Calibri" w:hAnsi="Calibri" w:cs="Calibri"/>
          <w:sz w:val="22"/>
          <w:szCs w:val="22"/>
          <w:lang w:val="en-GB"/>
        </w:rPr>
        <w:t xml:space="preserve">, </w:t>
      </w:r>
      <w:r w:rsidR="0070200A" w:rsidRPr="00584238">
        <w:rPr>
          <w:rFonts w:ascii="Calibri" w:hAnsi="Calibri" w:cs="Calibri"/>
          <w:sz w:val="22"/>
          <w:szCs w:val="22"/>
          <w:lang w:val="en-GB"/>
        </w:rPr>
        <w:t>the ICANN Boar</w:t>
      </w:r>
      <w:r w:rsidR="002569BF">
        <w:rPr>
          <w:rFonts w:ascii="Calibri" w:hAnsi="Calibri" w:cs="Calibri"/>
          <w:sz w:val="22"/>
          <w:szCs w:val="22"/>
          <w:lang w:val="en-GB"/>
        </w:rPr>
        <w:t xml:space="preserve">d resolved in December 2010 to </w:t>
      </w:r>
      <w:r w:rsidR="0070200A" w:rsidRPr="00584238">
        <w:rPr>
          <w:rFonts w:ascii="Calibri" w:hAnsi="Calibri" w:cs="Calibri"/>
          <w:sz w:val="22"/>
          <w:szCs w:val="22"/>
          <w:lang w:val="en-GB"/>
        </w:rPr>
        <w:t xml:space="preserve">request advice from the ALAC, GAC, GNSO and </w:t>
      </w:r>
      <w:proofErr w:type="spellStart"/>
      <w:r w:rsidR="0070200A" w:rsidRPr="00584238">
        <w:rPr>
          <w:rFonts w:ascii="Calibri" w:hAnsi="Calibri" w:cs="Calibri"/>
          <w:sz w:val="22"/>
          <w:szCs w:val="22"/>
          <w:lang w:val="en-GB"/>
        </w:rPr>
        <w:t>ccNSO</w:t>
      </w:r>
      <w:proofErr w:type="spellEnd"/>
      <w:r w:rsidR="0070200A" w:rsidRPr="00584238">
        <w:rPr>
          <w:rFonts w:ascii="Calibri" w:hAnsi="Calibri" w:cs="Calibri"/>
          <w:sz w:val="22"/>
          <w:szCs w:val="22"/>
          <w:lang w:val="en-GB"/>
        </w:rPr>
        <w:t xml:space="preserve"> on establishing the definition, measures, and three year targets for those measures, for competiti</w:t>
      </w:r>
      <w:r w:rsidR="002569BF">
        <w:rPr>
          <w:rFonts w:ascii="Calibri" w:hAnsi="Calibri" w:cs="Calibri"/>
          <w:sz w:val="22"/>
          <w:szCs w:val="22"/>
          <w:lang w:val="en-GB"/>
        </w:rPr>
        <w:t>on, consumer trust and consumer.</w:t>
      </w:r>
      <w:r w:rsidR="0070200A" w:rsidRPr="00584238">
        <w:rPr>
          <w:rFonts w:ascii="Calibri" w:hAnsi="Calibri" w:cs="Calibri"/>
          <w:sz w:val="22"/>
          <w:szCs w:val="22"/>
          <w:lang w:val="en-GB"/>
        </w:rPr>
        <w:t xml:space="preserve"> </w:t>
      </w:r>
      <w:r w:rsidR="00343FD0">
        <w:rPr>
          <w:rFonts w:ascii="Calibri" w:hAnsi="Calibri" w:cs="Calibri"/>
          <w:sz w:val="22"/>
          <w:szCs w:val="22"/>
          <w:lang w:val="en-GB"/>
        </w:rPr>
        <w:t xml:space="preserve"> The Board </w:t>
      </w:r>
      <w:hyperlink r:id="rId9" w:anchor="6" w:history="1">
        <w:r w:rsidR="002569BF" w:rsidRPr="007E2787">
          <w:rPr>
            <w:rStyle w:val="Hyperlink"/>
            <w:rFonts w:ascii="Calibri" w:hAnsi="Calibri" w:cs="Calibri"/>
            <w:sz w:val="22"/>
            <w:szCs w:val="22"/>
            <w:lang w:val="en-GB"/>
          </w:rPr>
          <w:t>resolution</w:t>
        </w:r>
      </w:hyperlink>
      <w:r w:rsidR="002569BF">
        <w:rPr>
          <w:rFonts w:ascii="Calibri" w:hAnsi="Calibri" w:cs="Calibri"/>
          <w:sz w:val="22"/>
          <w:szCs w:val="22"/>
          <w:lang w:val="en-GB"/>
        </w:rPr>
        <w:t xml:space="preserve"> </w:t>
      </w:r>
      <w:r w:rsidR="00343FD0" w:rsidRPr="00343FD0">
        <w:rPr>
          <w:rFonts w:ascii="Calibri" w:hAnsi="Calibri" w:cs="Calibri"/>
          <w:sz w:val="22"/>
          <w:szCs w:val="22"/>
        </w:rPr>
        <w:t>(2010.12.10.30)</w:t>
      </w:r>
      <w:r w:rsidR="00343FD0">
        <w:rPr>
          <w:rFonts w:ascii="Calibri" w:hAnsi="Calibri" w:cs="Calibri"/>
          <w:sz w:val="22"/>
          <w:szCs w:val="22"/>
        </w:rPr>
        <w:t xml:space="preserve"> </w:t>
      </w:r>
      <w:r w:rsidR="00343FD0">
        <w:rPr>
          <w:rFonts w:ascii="Calibri" w:hAnsi="Calibri" w:cs="Calibri"/>
          <w:sz w:val="22"/>
          <w:szCs w:val="22"/>
          <w:lang w:val="en-GB"/>
        </w:rPr>
        <w:t>reads as follows:</w:t>
      </w:r>
    </w:p>
    <w:p w14:paraId="6363A09F" w14:textId="77777777" w:rsidR="0070200A" w:rsidRPr="003611B7" w:rsidRDefault="0070200A" w:rsidP="0070200A">
      <w:pPr>
        <w:widowControl w:val="0"/>
        <w:autoSpaceDE w:val="0"/>
        <w:autoSpaceDN w:val="0"/>
        <w:adjustRightInd w:val="0"/>
        <w:rPr>
          <w:rFonts w:ascii="Calibri" w:hAnsi="Calibri" w:cs="Calibri"/>
          <w:sz w:val="22"/>
          <w:szCs w:val="22"/>
        </w:rPr>
      </w:pPr>
    </w:p>
    <w:p w14:paraId="0015D9F8" w14:textId="77777777" w:rsidR="0070200A" w:rsidRPr="003611B7" w:rsidRDefault="0070200A" w:rsidP="0070200A">
      <w:pPr>
        <w:widowControl w:val="0"/>
        <w:autoSpaceDE w:val="0"/>
        <w:autoSpaceDN w:val="0"/>
        <w:adjustRightInd w:val="0"/>
        <w:ind w:left="720"/>
        <w:rPr>
          <w:rFonts w:ascii="Calibri" w:hAnsi="Calibri" w:cs="Calibri"/>
          <w:sz w:val="22"/>
          <w:szCs w:val="22"/>
        </w:rPr>
      </w:pPr>
      <w:r w:rsidRPr="003611B7">
        <w:rPr>
          <w:rFonts w:ascii="Calibri" w:hAnsi="Calibri" w:cs="Calibri"/>
          <w:sz w:val="22"/>
          <w:szCs w:val="22"/>
        </w:rPr>
        <w:t>Whereas, ICANN has committed to promoting competition, consumer trust and consumer choice in the Affirmation of Commitments</w:t>
      </w:r>
    </w:p>
    <w:p w14:paraId="6157A947" w14:textId="77777777" w:rsidR="0070200A" w:rsidRPr="003611B7" w:rsidRDefault="0070200A" w:rsidP="0070200A">
      <w:pPr>
        <w:widowControl w:val="0"/>
        <w:autoSpaceDE w:val="0"/>
        <w:autoSpaceDN w:val="0"/>
        <w:adjustRightInd w:val="0"/>
        <w:ind w:left="720"/>
        <w:rPr>
          <w:rFonts w:ascii="Calibri" w:hAnsi="Calibri" w:cs="Calibri"/>
          <w:sz w:val="22"/>
          <w:szCs w:val="22"/>
        </w:rPr>
      </w:pPr>
    </w:p>
    <w:p w14:paraId="7B05ECBF" w14:textId="77777777" w:rsidR="0070200A" w:rsidRPr="003611B7" w:rsidRDefault="0070200A" w:rsidP="0070200A">
      <w:pPr>
        <w:widowControl w:val="0"/>
        <w:autoSpaceDE w:val="0"/>
        <w:autoSpaceDN w:val="0"/>
        <w:adjustRightInd w:val="0"/>
        <w:ind w:left="720"/>
        <w:rPr>
          <w:rFonts w:ascii="Calibri" w:hAnsi="Calibri" w:cs="Calibri"/>
          <w:sz w:val="22"/>
          <w:szCs w:val="22"/>
        </w:rPr>
      </w:pPr>
      <w:r w:rsidRPr="003611B7">
        <w:rPr>
          <w:rFonts w:ascii="Calibri" w:hAnsi="Calibri" w:cs="Calibri"/>
          <w:sz w:val="22"/>
          <w:szCs w:val="22"/>
        </w:rPr>
        <w:t xml:space="preserve">Whereas, if and when new </w:t>
      </w:r>
      <w:proofErr w:type="spellStart"/>
      <w:r w:rsidRPr="003611B7">
        <w:rPr>
          <w:rFonts w:ascii="Calibri" w:hAnsi="Calibri" w:cs="Calibri"/>
          <w:sz w:val="22"/>
          <w:szCs w:val="22"/>
        </w:rPr>
        <w:t>gTLDs</w:t>
      </w:r>
      <w:proofErr w:type="spellEnd"/>
      <w:r w:rsidRPr="003611B7">
        <w:rPr>
          <w:rFonts w:ascii="Calibri" w:hAnsi="Calibri" w:cs="Calibri"/>
          <w:sz w:val="22"/>
          <w:szCs w:val="22"/>
        </w:rPr>
        <w:t xml:space="preserve"> (whether in ASCII or other language character sets) have been in operation for one year, ICANN has committed to organize a review that will examine the extent to which the introduction or expansion of </w:t>
      </w:r>
      <w:proofErr w:type="spellStart"/>
      <w:r w:rsidRPr="003611B7">
        <w:rPr>
          <w:rFonts w:ascii="Calibri" w:hAnsi="Calibri" w:cs="Calibri"/>
          <w:sz w:val="22"/>
          <w:szCs w:val="22"/>
        </w:rPr>
        <w:t>gTLDs</w:t>
      </w:r>
      <w:proofErr w:type="spellEnd"/>
      <w:r w:rsidRPr="003611B7">
        <w:rPr>
          <w:rFonts w:ascii="Calibri" w:hAnsi="Calibri" w:cs="Calibri"/>
          <w:sz w:val="22"/>
          <w:szCs w:val="22"/>
        </w:rPr>
        <w:t xml:space="preserve"> has promoted </w:t>
      </w:r>
      <w:r w:rsidRPr="003611B7">
        <w:rPr>
          <w:rFonts w:ascii="Calibri" w:hAnsi="Calibri" w:cs="Calibri"/>
          <w:sz w:val="22"/>
          <w:szCs w:val="22"/>
        </w:rPr>
        <w:lastRenderedPageBreak/>
        <w:t>competition, consumer trust and consumer choice.</w:t>
      </w:r>
    </w:p>
    <w:p w14:paraId="2D584EB4" w14:textId="77777777" w:rsidR="0070200A" w:rsidRPr="003611B7" w:rsidRDefault="0070200A" w:rsidP="0070200A">
      <w:pPr>
        <w:widowControl w:val="0"/>
        <w:autoSpaceDE w:val="0"/>
        <w:autoSpaceDN w:val="0"/>
        <w:adjustRightInd w:val="0"/>
        <w:ind w:left="720"/>
        <w:rPr>
          <w:rFonts w:ascii="Calibri" w:hAnsi="Calibri" w:cs="Calibri"/>
          <w:sz w:val="22"/>
          <w:szCs w:val="22"/>
        </w:rPr>
      </w:pPr>
    </w:p>
    <w:p w14:paraId="4DCFC183" w14:textId="365EE6CB" w:rsidR="00890A94" w:rsidRDefault="00890A94" w:rsidP="0070200A">
      <w:pPr>
        <w:widowControl w:val="0"/>
        <w:autoSpaceDE w:val="0"/>
        <w:autoSpaceDN w:val="0"/>
        <w:adjustRightInd w:val="0"/>
        <w:ind w:left="720"/>
        <w:rPr>
          <w:rFonts w:ascii="Calibri" w:hAnsi="Calibri" w:cs="Calibri"/>
          <w:sz w:val="22"/>
          <w:szCs w:val="22"/>
        </w:rPr>
      </w:pPr>
      <w:r>
        <w:rPr>
          <w:rFonts w:ascii="Calibri" w:hAnsi="Calibri" w:cs="Calibri"/>
          <w:sz w:val="22"/>
          <w:szCs w:val="22"/>
        </w:rPr>
        <w:t>Resolved,</w:t>
      </w:r>
      <w:r w:rsidR="0070200A" w:rsidRPr="003611B7">
        <w:rPr>
          <w:rFonts w:ascii="Calibri" w:hAnsi="Calibri" w:cs="Calibri"/>
          <w:sz w:val="22"/>
          <w:szCs w:val="22"/>
        </w:rPr>
        <w:t xml:space="preserve"> the ICANN Board requests advice from the ALAC, GAC, GNSO and </w:t>
      </w:r>
      <w:proofErr w:type="spellStart"/>
      <w:r w:rsidR="0070200A" w:rsidRPr="003611B7">
        <w:rPr>
          <w:rFonts w:ascii="Calibri" w:hAnsi="Calibri" w:cs="Calibri"/>
          <w:sz w:val="22"/>
          <w:szCs w:val="22"/>
        </w:rPr>
        <w:t>ccNSO</w:t>
      </w:r>
      <w:proofErr w:type="spellEnd"/>
      <w:r w:rsidR="0070200A" w:rsidRPr="003611B7">
        <w:rPr>
          <w:rFonts w:ascii="Calibri" w:hAnsi="Calibri" w:cs="Calibri"/>
          <w:sz w:val="22"/>
          <w:szCs w:val="22"/>
        </w:rPr>
        <w:t xml:space="preserve"> on establishing the definition, measures, and three year targets for those measures, for competition, consumer trust and consumer choice in the context of the domain name system, such advice to be provided for discussion at the ICANN International Public meeting in San Francisco from 13-18 March 2011. </w:t>
      </w:r>
    </w:p>
    <w:p w14:paraId="3F21041C" w14:textId="77777777" w:rsidR="00890A94" w:rsidRDefault="00890A94" w:rsidP="0070200A">
      <w:pPr>
        <w:widowControl w:val="0"/>
        <w:autoSpaceDE w:val="0"/>
        <w:autoSpaceDN w:val="0"/>
        <w:adjustRightInd w:val="0"/>
        <w:ind w:left="720"/>
        <w:rPr>
          <w:rFonts w:ascii="Calibri" w:hAnsi="Calibri" w:cs="Calibri"/>
          <w:sz w:val="22"/>
          <w:szCs w:val="22"/>
        </w:rPr>
      </w:pPr>
    </w:p>
    <w:p w14:paraId="4E31F3CC" w14:textId="30641092" w:rsidR="00BE1189" w:rsidRDefault="00890A94" w:rsidP="0070200A">
      <w:pPr>
        <w:widowControl w:val="0"/>
        <w:autoSpaceDE w:val="0"/>
        <w:autoSpaceDN w:val="0"/>
        <w:adjustRightInd w:val="0"/>
        <w:rPr>
          <w:rFonts w:ascii="Calibri" w:hAnsi="Calibri" w:cs="Calibri"/>
          <w:sz w:val="22"/>
          <w:szCs w:val="22"/>
        </w:rPr>
      </w:pPr>
      <w:r>
        <w:rPr>
          <w:rFonts w:ascii="Calibri" w:hAnsi="Calibri" w:cs="Calibri"/>
          <w:sz w:val="22"/>
          <w:szCs w:val="22"/>
        </w:rPr>
        <w:t>In response</w:t>
      </w:r>
      <w:r w:rsidR="00166DCD">
        <w:rPr>
          <w:rFonts w:ascii="Calibri" w:hAnsi="Calibri" w:cs="Calibri"/>
          <w:sz w:val="22"/>
          <w:szCs w:val="22"/>
        </w:rPr>
        <w:t xml:space="preserve"> to</w:t>
      </w:r>
      <w:r w:rsidR="00166DCD" w:rsidRPr="003611B7">
        <w:rPr>
          <w:rFonts w:ascii="Calibri" w:hAnsi="Calibri" w:cs="Calibri"/>
          <w:sz w:val="22"/>
          <w:szCs w:val="22"/>
        </w:rPr>
        <w:t xml:space="preserve"> </w:t>
      </w:r>
      <w:r w:rsidR="00166DCD">
        <w:rPr>
          <w:rFonts w:ascii="Calibri" w:hAnsi="Calibri" w:cs="Calibri"/>
          <w:sz w:val="22"/>
          <w:szCs w:val="22"/>
        </w:rPr>
        <w:t>that</w:t>
      </w:r>
      <w:r w:rsidR="00166DCD" w:rsidRPr="003611B7">
        <w:rPr>
          <w:rFonts w:ascii="Calibri" w:hAnsi="Calibri" w:cs="Calibri"/>
          <w:sz w:val="22"/>
          <w:szCs w:val="22"/>
        </w:rPr>
        <w:t xml:space="preserve"> </w:t>
      </w:r>
      <w:r w:rsidR="002569BF">
        <w:rPr>
          <w:rFonts w:ascii="Calibri" w:hAnsi="Calibri" w:cs="Calibri"/>
          <w:sz w:val="22"/>
          <w:szCs w:val="22"/>
        </w:rPr>
        <w:t>B</w:t>
      </w:r>
      <w:r w:rsidR="00166DCD">
        <w:rPr>
          <w:rFonts w:ascii="Calibri" w:hAnsi="Calibri" w:cs="Calibri"/>
          <w:sz w:val="22"/>
          <w:szCs w:val="22"/>
        </w:rPr>
        <w:t xml:space="preserve">oard resolution, community members in the GNSO, </w:t>
      </w:r>
      <w:proofErr w:type="spellStart"/>
      <w:r w:rsidR="00166DCD">
        <w:rPr>
          <w:rFonts w:ascii="Calibri" w:hAnsi="Calibri" w:cs="Calibri"/>
          <w:sz w:val="22"/>
          <w:szCs w:val="22"/>
        </w:rPr>
        <w:t>ccNSO</w:t>
      </w:r>
      <w:proofErr w:type="spellEnd"/>
      <w:r w:rsidR="00166DCD">
        <w:rPr>
          <w:rFonts w:ascii="Calibri" w:hAnsi="Calibri" w:cs="Calibri"/>
          <w:sz w:val="22"/>
          <w:szCs w:val="22"/>
        </w:rPr>
        <w:t xml:space="preserve"> and ALAC began to organize a joint working group</w:t>
      </w:r>
      <w:r w:rsidR="00503D46">
        <w:rPr>
          <w:rFonts w:ascii="Calibri" w:hAnsi="Calibri" w:cs="Calibri"/>
          <w:sz w:val="22"/>
          <w:szCs w:val="22"/>
        </w:rPr>
        <w:t xml:space="preserve"> at the Singapore meeting in Jun-2011</w:t>
      </w:r>
      <w:r w:rsidR="00166DCD">
        <w:rPr>
          <w:rFonts w:ascii="Calibri" w:hAnsi="Calibri" w:cs="Calibri"/>
          <w:sz w:val="22"/>
          <w:szCs w:val="22"/>
        </w:rPr>
        <w:t xml:space="preserve">.  </w:t>
      </w:r>
      <w:r w:rsidR="00BE1189">
        <w:rPr>
          <w:rFonts w:ascii="Calibri" w:hAnsi="Calibri" w:cs="Calibri"/>
          <w:sz w:val="22"/>
          <w:szCs w:val="22"/>
        </w:rPr>
        <w:t xml:space="preserve">The Working Group invited the GAC to participate and welcomes GAC response to this draft advice. </w:t>
      </w:r>
    </w:p>
    <w:p w14:paraId="003851C7" w14:textId="77777777" w:rsidR="00BE1189" w:rsidRDefault="00BE1189" w:rsidP="0070200A">
      <w:pPr>
        <w:widowControl w:val="0"/>
        <w:autoSpaceDE w:val="0"/>
        <w:autoSpaceDN w:val="0"/>
        <w:adjustRightInd w:val="0"/>
        <w:rPr>
          <w:rFonts w:ascii="Calibri" w:hAnsi="Calibri" w:cs="Calibri"/>
          <w:sz w:val="22"/>
          <w:szCs w:val="22"/>
        </w:rPr>
      </w:pPr>
    </w:p>
    <w:p w14:paraId="2806011A" w14:textId="635C23EF" w:rsidR="00BE1189" w:rsidRPr="00BE1189" w:rsidRDefault="0070200A">
      <w:pPr>
        <w:widowControl w:val="0"/>
        <w:autoSpaceDE w:val="0"/>
        <w:autoSpaceDN w:val="0"/>
        <w:adjustRightInd w:val="0"/>
        <w:rPr>
          <w:rFonts w:ascii="Calibri" w:hAnsi="Calibri" w:cs="Calibri"/>
          <w:sz w:val="22"/>
          <w:szCs w:val="22"/>
        </w:rPr>
      </w:pPr>
      <w:r>
        <w:rPr>
          <w:rFonts w:ascii="Calibri" w:hAnsi="Calibri" w:cs="Calibri"/>
          <w:sz w:val="22"/>
          <w:szCs w:val="22"/>
        </w:rPr>
        <w:t>T</w:t>
      </w:r>
      <w:r w:rsidRPr="003611B7">
        <w:rPr>
          <w:rFonts w:ascii="Calibri" w:hAnsi="Calibri" w:cs="Calibri"/>
          <w:sz w:val="22"/>
          <w:szCs w:val="22"/>
        </w:rPr>
        <w:t>he Consumer Trust, Choice, and Competition Working Group</w:t>
      </w:r>
      <w:r>
        <w:rPr>
          <w:rFonts w:ascii="Calibri" w:hAnsi="Calibri" w:cs="Calibri"/>
          <w:sz w:val="22"/>
          <w:szCs w:val="22"/>
        </w:rPr>
        <w:t xml:space="preserve"> </w:t>
      </w:r>
      <w:proofErr w:type="gramStart"/>
      <w:r w:rsidR="00503D46">
        <w:rPr>
          <w:rFonts w:ascii="Calibri" w:hAnsi="Calibri" w:cs="Calibri"/>
          <w:sz w:val="22"/>
          <w:szCs w:val="22"/>
        </w:rPr>
        <w:t>was</w:t>
      </w:r>
      <w:proofErr w:type="gramEnd"/>
      <w:r w:rsidR="00503D46">
        <w:rPr>
          <w:rFonts w:ascii="Calibri" w:hAnsi="Calibri" w:cs="Calibri"/>
          <w:sz w:val="22"/>
          <w:szCs w:val="22"/>
        </w:rPr>
        <w:t xml:space="preserve"> chartered </w:t>
      </w:r>
      <w:r w:rsidR="00BE1189">
        <w:rPr>
          <w:rFonts w:ascii="Calibri" w:hAnsi="Calibri" w:cs="Calibri"/>
          <w:sz w:val="22"/>
          <w:szCs w:val="22"/>
        </w:rPr>
        <w:t xml:space="preserve">first </w:t>
      </w:r>
      <w:r w:rsidR="00503D46">
        <w:rPr>
          <w:rFonts w:ascii="Calibri" w:hAnsi="Calibri" w:cs="Calibri"/>
          <w:sz w:val="22"/>
          <w:szCs w:val="22"/>
        </w:rPr>
        <w:t xml:space="preserve">by the GNSO Council on </w:t>
      </w:r>
      <w:r w:rsidR="00DF34B6">
        <w:rPr>
          <w:rFonts w:ascii="Calibri" w:hAnsi="Calibri" w:cs="Calibri"/>
          <w:sz w:val="22"/>
          <w:szCs w:val="22"/>
        </w:rPr>
        <w:t>7 September 2011</w:t>
      </w:r>
      <w:r w:rsidR="00503D46">
        <w:rPr>
          <w:rFonts w:ascii="Calibri" w:hAnsi="Calibri" w:cs="Calibri"/>
          <w:sz w:val="22"/>
          <w:szCs w:val="22"/>
        </w:rPr>
        <w:t xml:space="preserve">.  </w:t>
      </w:r>
      <w:r w:rsidR="00BE1189">
        <w:rPr>
          <w:rFonts w:ascii="Calibri" w:hAnsi="Calibri" w:cs="Calibri"/>
          <w:sz w:val="22"/>
          <w:szCs w:val="22"/>
        </w:rPr>
        <w:t xml:space="preserve">It was intended that the Charter </w:t>
      </w:r>
      <w:r w:rsidR="007E2787">
        <w:rPr>
          <w:rFonts w:ascii="Calibri" w:hAnsi="Calibri" w:cs="Calibri"/>
          <w:sz w:val="22"/>
          <w:szCs w:val="22"/>
        </w:rPr>
        <w:t>(</w:t>
      </w:r>
      <w:hyperlink r:id="rId10" w:history="1">
        <w:r w:rsidR="007E2787" w:rsidRPr="007E2787">
          <w:rPr>
            <w:rStyle w:val="Hyperlink"/>
            <w:rFonts w:ascii="Calibri" w:hAnsi="Calibri" w:cs="Calibri"/>
            <w:sz w:val="22"/>
            <w:szCs w:val="22"/>
          </w:rPr>
          <w:t>link</w:t>
        </w:r>
      </w:hyperlink>
      <w:r w:rsidR="007E2787">
        <w:rPr>
          <w:rFonts w:ascii="Calibri" w:hAnsi="Calibri" w:cs="Calibri"/>
          <w:sz w:val="22"/>
          <w:szCs w:val="22"/>
        </w:rPr>
        <w:t xml:space="preserve">) </w:t>
      </w:r>
      <w:r w:rsidR="00BE1189">
        <w:rPr>
          <w:rFonts w:ascii="Calibri" w:hAnsi="Calibri" w:cs="Calibri"/>
          <w:sz w:val="22"/>
          <w:szCs w:val="22"/>
        </w:rPr>
        <w:t xml:space="preserve">could also be formally endorsed by ALAC and </w:t>
      </w:r>
      <w:proofErr w:type="spellStart"/>
      <w:r w:rsidR="00BE1189">
        <w:rPr>
          <w:rFonts w:ascii="Calibri" w:hAnsi="Calibri" w:cs="Calibri"/>
          <w:sz w:val="22"/>
          <w:szCs w:val="22"/>
        </w:rPr>
        <w:t>ccNSO</w:t>
      </w:r>
      <w:proofErr w:type="spellEnd"/>
      <w:r w:rsidR="00BE1189">
        <w:rPr>
          <w:rFonts w:ascii="Calibri" w:hAnsi="Calibri" w:cs="Calibri"/>
          <w:sz w:val="22"/>
          <w:szCs w:val="22"/>
        </w:rPr>
        <w:t xml:space="preserve">, but their endorsement was not a requirement for participation in the Working Group. </w:t>
      </w:r>
      <w:r w:rsidR="00DF34B6">
        <w:rPr>
          <w:rFonts w:ascii="Calibri" w:hAnsi="Calibri" w:cs="Calibri"/>
          <w:sz w:val="22"/>
          <w:szCs w:val="22"/>
        </w:rPr>
        <w:t xml:space="preserve"> The charter Drafting Team </w:t>
      </w:r>
      <w:r w:rsidR="000812DC">
        <w:rPr>
          <w:rFonts w:ascii="Calibri" w:hAnsi="Calibri" w:cs="Calibri"/>
          <w:sz w:val="22"/>
          <w:szCs w:val="22"/>
        </w:rPr>
        <w:t xml:space="preserve">understood that its </w:t>
      </w:r>
      <w:r w:rsidR="007E2787">
        <w:rPr>
          <w:rFonts w:ascii="Calibri" w:hAnsi="Calibri" w:cs="Calibri"/>
          <w:sz w:val="22"/>
          <w:szCs w:val="22"/>
        </w:rPr>
        <w:t xml:space="preserve">goal </w:t>
      </w:r>
      <w:r w:rsidR="000812DC">
        <w:rPr>
          <w:rFonts w:ascii="Calibri" w:hAnsi="Calibri" w:cs="Calibri"/>
          <w:sz w:val="22"/>
          <w:szCs w:val="22"/>
        </w:rPr>
        <w:t xml:space="preserve">was to produce </w:t>
      </w:r>
      <w:r w:rsidR="00A11FD0" w:rsidRPr="00A11FD0">
        <w:rPr>
          <w:rFonts w:ascii="Calibri" w:hAnsi="Calibri" w:cs="Calibri"/>
          <w:sz w:val="22"/>
          <w:szCs w:val="22"/>
        </w:rPr>
        <w:t>advice</w:t>
      </w:r>
      <w:r w:rsidR="00BE1189" w:rsidRPr="00A11FD0">
        <w:rPr>
          <w:rFonts w:ascii="Calibri" w:hAnsi="Calibri" w:cs="Calibri"/>
          <w:sz w:val="22"/>
          <w:szCs w:val="22"/>
        </w:rPr>
        <w:t xml:space="preserve"> </w:t>
      </w:r>
      <w:r w:rsidR="00A11FD0" w:rsidRPr="00A11FD0">
        <w:rPr>
          <w:rFonts w:ascii="Calibri" w:hAnsi="Calibri" w:cs="Calibri"/>
          <w:sz w:val="22"/>
          <w:szCs w:val="22"/>
        </w:rPr>
        <w:t>for consideration by</w:t>
      </w:r>
      <w:r w:rsidR="00A11FD0">
        <w:rPr>
          <w:rFonts w:ascii="Calibri" w:hAnsi="Calibri" w:cs="Calibri"/>
          <w:sz w:val="22"/>
          <w:szCs w:val="22"/>
        </w:rPr>
        <w:t xml:space="preserve"> </w:t>
      </w:r>
      <w:r w:rsidR="00BE1189" w:rsidRPr="00A11FD0">
        <w:rPr>
          <w:rFonts w:ascii="Calibri" w:hAnsi="Calibri" w:cs="Calibri"/>
          <w:sz w:val="22"/>
          <w:szCs w:val="22"/>
        </w:rPr>
        <w:t xml:space="preserve">GNSO, </w:t>
      </w:r>
      <w:proofErr w:type="spellStart"/>
      <w:r w:rsidR="00BE1189" w:rsidRPr="00A11FD0">
        <w:rPr>
          <w:rFonts w:ascii="Calibri" w:hAnsi="Calibri" w:cs="Calibri"/>
          <w:sz w:val="22"/>
          <w:szCs w:val="22"/>
        </w:rPr>
        <w:t>ccNSO</w:t>
      </w:r>
      <w:proofErr w:type="spellEnd"/>
      <w:r w:rsidR="00BE1189" w:rsidRPr="00A11FD0">
        <w:rPr>
          <w:rFonts w:ascii="Calibri" w:hAnsi="Calibri" w:cs="Calibri"/>
          <w:sz w:val="22"/>
          <w:szCs w:val="22"/>
        </w:rPr>
        <w:t>, GAC and ALAC</w:t>
      </w:r>
      <w:r w:rsidR="000812DC">
        <w:rPr>
          <w:rFonts w:ascii="Calibri" w:hAnsi="Calibri" w:cs="Calibri"/>
          <w:sz w:val="22"/>
          <w:szCs w:val="22"/>
        </w:rPr>
        <w:t>, each of wh</w:t>
      </w:r>
      <w:r w:rsidR="005526A1">
        <w:rPr>
          <w:rFonts w:ascii="Calibri" w:hAnsi="Calibri" w:cs="Calibri"/>
          <w:sz w:val="22"/>
          <w:szCs w:val="22"/>
        </w:rPr>
        <w:t>om was asked for advice as part of the Board resolution discussed above.</w:t>
      </w:r>
      <w:r w:rsidR="00BE1189" w:rsidRPr="00A11FD0">
        <w:rPr>
          <w:rFonts w:ascii="Calibri" w:hAnsi="Calibri" w:cs="Calibri"/>
          <w:sz w:val="22"/>
          <w:szCs w:val="22"/>
        </w:rPr>
        <w:t xml:space="preserve"> </w:t>
      </w:r>
      <w:r w:rsidR="005526A1">
        <w:rPr>
          <w:rFonts w:ascii="Calibri" w:hAnsi="Calibri" w:cs="Calibri"/>
          <w:sz w:val="22"/>
          <w:szCs w:val="22"/>
        </w:rPr>
        <w:t xml:space="preserve">  Ea</w:t>
      </w:r>
      <w:r w:rsidR="00BE1189" w:rsidRPr="00BE1189">
        <w:rPr>
          <w:rFonts w:ascii="Calibri" w:hAnsi="Calibri" w:cs="Calibri"/>
          <w:sz w:val="22"/>
          <w:szCs w:val="22"/>
        </w:rPr>
        <w:t>ch AC/SO may act independently on the Working Group</w:t>
      </w:r>
      <w:r w:rsidR="00A11FD0">
        <w:rPr>
          <w:rFonts w:ascii="Calibri" w:hAnsi="Calibri" w:cs="Calibri"/>
          <w:sz w:val="22"/>
          <w:szCs w:val="22"/>
        </w:rPr>
        <w:t>’s draft advice</w:t>
      </w:r>
      <w:r w:rsidR="00BE1189" w:rsidRPr="00BE1189">
        <w:rPr>
          <w:rFonts w:ascii="Calibri" w:hAnsi="Calibri" w:cs="Calibri"/>
          <w:sz w:val="22"/>
          <w:szCs w:val="22"/>
        </w:rPr>
        <w:t xml:space="preserve">, and may endorse all, part, or none of the </w:t>
      </w:r>
      <w:r w:rsidR="00A11FD0">
        <w:rPr>
          <w:rFonts w:ascii="Calibri" w:hAnsi="Calibri" w:cs="Calibri"/>
          <w:sz w:val="22"/>
          <w:szCs w:val="22"/>
        </w:rPr>
        <w:t>draft advice</w:t>
      </w:r>
      <w:r w:rsidR="005526A1">
        <w:rPr>
          <w:rFonts w:ascii="Calibri" w:hAnsi="Calibri" w:cs="Calibri"/>
          <w:sz w:val="22"/>
          <w:szCs w:val="22"/>
        </w:rPr>
        <w:t xml:space="preserve"> as it decides how to respond to the Board resolution.</w:t>
      </w:r>
    </w:p>
    <w:p w14:paraId="380DAB19" w14:textId="77777777" w:rsidR="00BE1189" w:rsidRDefault="00BE1189" w:rsidP="0070200A">
      <w:pPr>
        <w:widowControl w:val="0"/>
        <w:autoSpaceDE w:val="0"/>
        <w:autoSpaceDN w:val="0"/>
        <w:adjustRightInd w:val="0"/>
        <w:rPr>
          <w:rFonts w:ascii="Calibri" w:hAnsi="Calibri" w:cs="Calibri"/>
          <w:b/>
          <w:bCs/>
          <w:i/>
          <w:iCs/>
          <w:sz w:val="22"/>
          <w:szCs w:val="22"/>
        </w:rPr>
      </w:pPr>
    </w:p>
    <w:p w14:paraId="0D6C7357" w14:textId="4AB30999" w:rsidR="000118A8" w:rsidRPr="00BE1189" w:rsidRDefault="00A11FD0" w:rsidP="000118A8">
      <w:pPr>
        <w:widowControl w:val="0"/>
        <w:autoSpaceDE w:val="0"/>
        <w:autoSpaceDN w:val="0"/>
        <w:adjustRightInd w:val="0"/>
        <w:rPr>
          <w:rFonts w:ascii="Calibri" w:hAnsi="Calibri" w:cs="Calibri"/>
          <w:sz w:val="22"/>
          <w:szCs w:val="22"/>
        </w:rPr>
      </w:pPr>
      <w:r>
        <w:rPr>
          <w:rFonts w:ascii="Calibri" w:hAnsi="Calibri" w:cs="Calibri"/>
          <w:sz w:val="22"/>
          <w:szCs w:val="22"/>
        </w:rPr>
        <w:t xml:space="preserve">The Working Group understands that the purpose of </w:t>
      </w:r>
      <w:r w:rsidR="002E6740">
        <w:rPr>
          <w:rFonts w:ascii="Calibri" w:hAnsi="Calibri" w:cs="Calibri"/>
          <w:sz w:val="22"/>
          <w:szCs w:val="22"/>
        </w:rPr>
        <w:t xml:space="preserve">this </w:t>
      </w:r>
      <w:r>
        <w:rPr>
          <w:rFonts w:ascii="Calibri" w:hAnsi="Calibri" w:cs="Calibri"/>
          <w:sz w:val="22"/>
          <w:szCs w:val="22"/>
        </w:rPr>
        <w:t xml:space="preserve">advice is to </w:t>
      </w:r>
      <w:r w:rsidR="00BE1189" w:rsidRPr="00BE1189">
        <w:rPr>
          <w:rFonts w:ascii="Calibri" w:hAnsi="Calibri" w:cs="Calibri"/>
          <w:sz w:val="22"/>
          <w:szCs w:val="22"/>
        </w:rPr>
        <w:t>provide ICANN</w:t>
      </w:r>
      <w:r>
        <w:rPr>
          <w:rFonts w:ascii="Calibri" w:hAnsi="Calibri" w:cs="Calibri"/>
          <w:sz w:val="22"/>
          <w:szCs w:val="22"/>
        </w:rPr>
        <w:t xml:space="preserve">’s board </w:t>
      </w:r>
      <w:r w:rsidR="00BE1189" w:rsidRPr="00BE1189">
        <w:rPr>
          <w:rFonts w:ascii="Calibri" w:hAnsi="Calibri" w:cs="Calibri"/>
          <w:sz w:val="22"/>
          <w:szCs w:val="22"/>
        </w:rPr>
        <w:t>with</w:t>
      </w:r>
      <w:r>
        <w:rPr>
          <w:rFonts w:ascii="Calibri" w:hAnsi="Calibri" w:cs="Calibri"/>
          <w:sz w:val="22"/>
          <w:szCs w:val="22"/>
        </w:rPr>
        <w:t xml:space="preserve"> </w:t>
      </w:r>
      <w:r w:rsidR="000118A8">
        <w:rPr>
          <w:rFonts w:ascii="Calibri" w:hAnsi="Calibri" w:cs="Calibri"/>
          <w:sz w:val="22"/>
          <w:szCs w:val="22"/>
        </w:rPr>
        <w:t xml:space="preserve">definitions, measures, and targets that could be useful to the AOC review team that will convene one year after new </w:t>
      </w:r>
      <w:proofErr w:type="spellStart"/>
      <w:r w:rsidR="000118A8">
        <w:rPr>
          <w:rFonts w:ascii="Calibri" w:hAnsi="Calibri" w:cs="Calibri"/>
          <w:sz w:val="22"/>
          <w:szCs w:val="22"/>
        </w:rPr>
        <w:t>gTLDs</w:t>
      </w:r>
      <w:proofErr w:type="spellEnd"/>
      <w:r w:rsidR="000118A8">
        <w:rPr>
          <w:rFonts w:ascii="Calibri" w:hAnsi="Calibri" w:cs="Calibri"/>
          <w:sz w:val="22"/>
          <w:szCs w:val="22"/>
        </w:rPr>
        <w:t xml:space="preserve"> are launched.  However, the Working Group understands that this advice cannot pre-determine or otherwise </w:t>
      </w:r>
      <w:r w:rsidR="000118A8" w:rsidRPr="00BE1189">
        <w:rPr>
          <w:rFonts w:ascii="Calibri" w:hAnsi="Calibri" w:cs="Calibri"/>
          <w:sz w:val="22"/>
          <w:szCs w:val="22"/>
        </w:rPr>
        <w:t xml:space="preserve">limit the scope of the </w:t>
      </w:r>
      <w:r w:rsidR="000118A8">
        <w:rPr>
          <w:rFonts w:ascii="Calibri" w:hAnsi="Calibri" w:cs="Calibri"/>
          <w:sz w:val="22"/>
          <w:szCs w:val="22"/>
        </w:rPr>
        <w:t xml:space="preserve">future AOC </w:t>
      </w:r>
      <w:r w:rsidR="000118A8" w:rsidRPr="00BE1189">
        <w:rPr>
          <w:rFonts w:ascii="Calibri" w:hAnsi="Calibri" w:cs="Calibri"/>
          <w:sz w:val="22"/>
          <w:szCs w:val="22"/>
        </w:rPr>
        <w:t>review</w:t>
      </w:r>
      <w:r w:rsidR="000118A8">
        <w:rPr>
          <w:rFonts w:ascii="Calibri" w:hAnsi="Calibri" w:cs="Calibri"/>
          <w:sz w:val="22"/>
          <w:szCs w:val="22"/>
        </w:rPr>
        <w:t xml:space="preserve"> team.</w:t>
      </w:r>
    </w:p>
    <w:p w14:paraId="08D3614A" w14:textId="77777777" w:rsidR="000118A8" w:rsidRDefault="000118A8" w:rsidP="00A11FD0">
      <w:pPr>
        <w:widowControl w:val="0"/>
        <w:autoSpaceDE w:val="0"/>
        <w:autoSpaceDN w:val="0"/>
        <w:adjustRightInd w:val="0"/>
        <w:rPr>
          <w:rFonts w:ascii="Calibri" w:hAnsi="Calibri" w:cs="Calibri"/>
          <w:sz w:val="22"/>
          <w:szCs w:val="22"/>
        </w:rPr>
      </w:pPr>
    </w:p>
    <w:p w14:paraId="562830A7" w14:textId="0CAE1AE0" w:rsidR="007E2787" w:rsidRDefault="000118A8" w:rsidP="00A11FD0">
      <w:pPr>
        <w:widowControl w:val="0"/>
        <w:autoSpaceDE w:val="0"/>
        <w:autoSpaceDN w:val="0"/>
        <w:adjustRightInd w:val="0"/>
        <w:rPr>
          <w:rFonts w:ascii="Calibri" w:hAnsi="Calibri" w:cs="Calibri"/>
          <w:sz w:val="22"/>
          <w:szCs w:val="22"/>
        </w:rPr>
      </w:pPr>
      <w:r>
        <w:rPr>
          <w:rFonts w:ascii="Calibri" w:hAnsi="Calibri" w:cs="Calibri"/>
          <w:sz w:val="22"/>
          <w:szCs w:val="22"/>
        </w:rPr>
        <w:t xml:space="preserve">In addition, the Working Group anticipates </w:t>
      </w:r>
      <w:r w:rsidR="002E6740">
        <w:rPr>
          <w:rFonts w:ascii="Calibri" w:hAnsi="Calibri" w:cs="Calibri"/>
          <w:sz w:val="22"/>
          <w:szCs w:val="22"/>
        </w:rPr>
        <w:t xml:space="preserve">that </w:t>
      </w:r>
      <w:r>
        <w:rPr>
          <w:rFonts w:ascii="Calibri" w:hAnsi="Calibri" w:cs="Calibri"/>
          <w:sz w:val="22"/>
          <w:szCs w:val="22"/>
        </w:rPr>
        <w:t xml:space="preserve">ICANN’s board </w:t>
      </w:r>
      <w:r w:rsidR="007E2787">
        <w:rPr>
          <w:rFonts w:ascii="Calibri" w:hAnsi="Calibri" w:cs="Calibri"/>
          <w:sz w:val="22"/>
          <w:szCs w:val="22"/>
        </w:rPr>
        <w:t xml:space="preserve">may </w:t>
      </w:r>
      <w:r>
        <w:rPr>
          <w:rFonts w:ascii="Calibri" w:hAnsi="Calibri" w:cs="Calibri"/>
          <w:sz w:val="22"/>
          <w:szCs w:val="22"/>
        </w:rPr>
        <w:t xml:space="preserve">establish </w:t>
      </w:r>
      <w:r w:rsidR="002E6740">
        <w:rPr>
          <w:rFonts w:ascii="Calibri" w:hAnsi="Calibri" w:cs="Calibri"/>
          <w:sz w:val="22"/>
          <w:szCs w:val="22"/>
        </w:rPr>
        <w:t xml:space="preserve">definitions, measures, and targets </w:t>
      </w:r>
      <w:r w:rsidR="00E267B5">
        <w:rPr>
          <w:rFonts w:ascii="Calibri" w:hAnsi="Calibri" w:cs="Calibri"/>
          <w:sz w:val="22"/>
          <w:szCs w:val="22"/>
        </w:rPr>
        <w:t xml:space="preserve">early enough to become </w:t>
      </w:r>
      <w:r w:rsidR="005526A1">
        <w:rPr>
          <w:rFonts w:ascii="Calibri" w:hAnsi="Calibri" w:cs="Calibri"/>
          <w:sz w:val="22"/>
          <w:szCs w:val="22"/>
        </w:rPr>
        <w:t>part of ICANN’s management objectives</w:t>
      </w:r>
      <w:r w:rsidR="007E2787">
        <w:rPr>
          <w:rFonts w:ascii="Calibri" w:hAnsi="Calibri" w:cs="Calibri"/>
          <w:sz w:val="22"/>
          <w:szCs w:val="22"/>
        </w:rPr>
        <w:t xml:space="preserve"> </w:t>
      </w:r>
      <w:r w:rsidR="001E2A6C">
        <w:rPr>
          <w:rFonts w:ascii="Calibri" w:hAnsi="Calibri" w:cs="Calibri"/>
          <w:sz w:val="22"/>
          <w:szCs w:val="22"/>
        </w:rPr>
        <w:t xml:space="preserve">direct ICANN staff begin collecting the proposed </w:t>
      </w:r>
      <w:proofErr w:type="gramStart"/>
      <w:r w:rsidR="001E2A6C">
        <w:rPr>
          <w:rFonts w:ascii="Calibri" w:hAnsi="Calibri" w:cs="Calibri"/>
          <w:sz w:val="22"/>
          <w:szCs w:val="22"/>
        </w:rPr>
        <w:t xml:space="preserve">metrics </w:t>
      </w:r>
      <w:r w:rsidR="005526A1">
        <w:rPr>
          <w:rFonts w:ascii="Calibri" w:hAnsi="Calibri" w:cs="Calibri"/>
          <w:sz w:val="22"/>
          <w:szCs w:val="22"/>
        </w:rPr>
        <w:t xml:space="preserve"> </w:t>
      </w:r>
      <w:r w:rsidR="00E267B5">
        <w:rPr>
          <w:rFonts w:ascii="Calibri" w:hAnsi="Calibri" w:cs="Calibri"/>
          <w:sz w:val="22"/>
          <w:szCs w:val="22"/>
        </w:rPr>
        <w:t>as</w:t>
      </w:r>
      <w:proofErr w:type="gramEnd"/>
      <w:r w:rsidR="00E267B5">
        <w:rPr>
          <w:rFonts w:ascii="Calibri" w:hAnsi="Calibri" w:cs="Calibri"/>
          <w:sz w:val="22"/>
          <w:szCs w:val="22"/>
        </w:rPr>
        <w:t xml:space="preserve"> it evaluates and delegates </w:t>
      </w:r>
      <w:r w:rsidR="005526A1">
        <w:rPr>
          <w:rFonts w:ascii="Calibri" w:hAnsi="Calibri" w:cs="Calibri"/>
          <w:sz w:val="22"/>
          <w:szCs w:val="22"/>
        </w:rPr>
        <w:t xml:space="preserve">new </w:t>
      </w:r>
      <w:proofErr w:type="spellStart"/>
      <w:r w:rsidR="005526A1">
        <w:rPr>
          <w:rFonts w:ascii="Calibri" w:hAnsi="Calibri" w:cs="Calibri"/>
          <w:sz w:val="22"/>
          <w:szCs w:val="22"/>
        </w:rPr>
        <w:t>gTLDs</w:t>
      </w:r>
      <w:proofErr w:type="spellEnd"/>
      <w:r w:rsidR="00E267B5">
        <w:rPr>
          <w:rFonts w:ascii="Calibri" w:hAnsi="Calibri" w:cs="Calibri"/>
          <w:sz w:val="22"/>
          <w:szCs w:val="22"/>
        </w:rPr>
        <w:t xml:space="preserve"> in 2012 and 2013</w:t>
      </w:r>
      <w:r w:rsidR="005526A1">
        <w:rPr>
          <w:rFonts w:ascii="Calibri" w:hAnsi="Calibri" w:cs="Calibri"/>
          <w:sz w:val="22"/>
          <w:szCs w:val="22"/>
        </w:rPr>
        <w:t xml:space="preserve">. </w:t>
      </w:r>
    </w:p>
    <w:p w14:paraId="3C30EE15" w14:textId="77777777" w:rsidR="007E2787" w:rsidRDefault="007E2787" w:rsidP="00A11FD0">
      <w:pPr>
        <w:widowControl w:val="0"/>
        <w:autoSpaceDE w:val="0"/>
        <w:autoSpaceDN w:val="0"/>
        <w:adjustRightInd w:val="0"/>
        <w:rPr>
          <w:rFonts w:ascii="Calibri" w:hAnsi="Calibri" w:cs="Calibri"/>
          <w:sz w:val="22"/>
          <w:szCs w:val="22"/>
        </w:rPr>
      </w:pPr>
    </w:p>
    <w:p w14:paraId="509973F4" w14:textId="11753318" w:rsidR="002E6740" w:rsidRDefault="00A03BEE" w:rsidP="00A11FD0">
      <w:pPr>
        <w:widowControl w:val="0"/>
        <w:autoSpaceDE w:val="0"/>
        <w:autoSpaceDN w:val="0"/>
        <w:adjustRightInd w:val="0"/>
        <w:rPr>
          <w:rFonts w:ascii="Calibri" w:hAnsi="Calibri" w:cs="Calibri"/>
          <w:sz w:val="22"/>
          <w:szCs w:val="22"/>
        </w:rPr>
      </w:pPr>
      <w:r>
        <w:rPr>
          <w:rFonts w:ascii="Calibri" w:hAnsi="Calibri" w:cs="Calibri"/>
          <w:sz w:val="22"/>
          <w:szCs w:val="22"/>
        </w:rPr>
        <w:t xml:space="preserve">The </w:t>
      </w:r>
      <w:r w:rsidR="00283F94">
        <w:rPr>
          <w:rFonts w:ascii="Calibri" w:hAnsi="Calibri" w:cs="Calibri"/>
          <w:sz w:val="22"/>
          <w:szCs w:val="22"/>
        </w:rPr>
        <w:t xml:space="preserve">ICANN Board should also consider </w:t>
      </w:r>
      <w:r>
        <w:rPr>
          <w:rFonts w:ascii="Calibri" w:hAnsi="Calibri" w:cs="Calibri"/>
          <w:sz w:val="22"/>
          <w:szCs w:val="22"/>
        </w:rPr>
        <w:t xml:space="preserve">the </w:t>
      </w:r>
      <w:r w:rsidR="007E2787">
        <w:rPr>
          <w:rFonts w:ascii="Calibri" w:hAnsi="Calibri" w:cs="Calibri"/>
          <w:sz w:val="22"/>
          <w:szCs w:val="22"/>
        </w:rPr>
        <w:t xml:space="preserve">resource requirements for collecting new metrics, both in terms of internal staff and </w:t>
      </w:r>
      <w:r w:rsidR="00283F94">
        <w:rPr>
          <w:rFonts w:ascii="Calibri" w:hAnsi="Calibri" w:cs="Calibri"/>
          <w:sz w:val="22"/>
          <w:szCs w:val="22"/>
        </w:rPr>
        <w:t>for external third-party assistance</w:t>
      </w:r>
      <w:r w:rsidR="00630F3D">
        <w:rPr>
          <w:rFonts w:ascii="Calibri" w:hAnsi="Calibri" w:cs="Calibri"/>
          <w:sz w:val="22"/>
          <w:szCs w:val="22"/>
        </w:rPr>
        <w:t xml:space="preserve"> </w:t>
      </w:r>
      <w:r w:rsidR="007E2787">
        <w:rPr>
          <w:rFonts w:ascii="Calibri" w:hAnsi="Calibri" w:cs="Calibri"/>
          <w:sz w:val="22"/>
          <w:szCs w:val="22"/>
        </w:rPr>
        <w:t>with surveys.</w:t>
      </w:r>
    </w:p>
    <w:p w14:paraId="343C0A4F" w14:textId="77777777" w:rsidR="002E6740" w:rsidRDefault="002E6740" w:rsidP="00A11FD0">
      <w:pPr>
        <w:widowControl w:val="0"/>
        <w:autoSpaceDE w:val="0"/>
        <w:autoSpaceDN w:val="0"/>
        <w:adjustRightInd w:val="0"/>
        <w:rPr>
          <w:rFonts w:ascii="Calibri" w:hAnsi="Calibri" w:cs="Calibri"/>
          <w:sz w:val="22"/>
          <w:szCs w:val="22"/>
        </w:rPr>
      </w:pPr>
    </w:p>
    <w:p w14:paraId="583AE776" w14:textId="7D23F562" w:rsidR="001E58BB" w:rsidRPr="001A66B0" w:rsidRDefault="001A66B0" w:rsidP="00D00805">
      <w:pPr>
        <w:widowControl w:val="0"/>
        <w:autoSpaceDE w:val="0"/>
        <w:autoSpaceDN w:val="0"/>
        <w:adjustRightInd w:val="0"/>
        <w:rPr>
          <w:rFonts w:ascii="Calibri" w:hAnsi="Calibri" w:cs="Calibri"/>
          <w:b/>
          <w:sz w:val="22"/>
          <w:szCs w:val="22"/>
        </w:rPr>
      </w:pPr>
      <w:r w:rsidRPr="001A66B0">
        <w:rPr>
          <w:rFonts w:ascii="Calibri" w:hAnsi="Calibri" w:cs="Calibri"/>
          <w:b/>
          <w:sz w:val="22"/>
          <w:szCs w:val="22"/>
        </w:rPr>
        <w:t>Scope of this advice</w:t>
      </w:r>
    </w:p>
    <w:p w14:paraId="4A656DB2" w14:textId="77777777" w:rsidR="001A66B0" w:rsidRDefault="001A66B0" w:rsidP="001A66B0">
      <w:pPr>
        <w:widowControl w:val="0"/>
        <w:autoSpaceDE w:val="0"/>
        <w:autoSpaceDN w:val="0"/>
        <w:adjustRightInd w:val="0"/>
        <w:rPr>
          <w:rFonts w:ascii="Calibri" w:hAnsi="Calibri" w:cs="Calibri"/>
          <w:sz w:val="22"/>
          <w:szCs w:val="22"/>
        </w:rPr>
      </w:pPr>
    </w:p>
    <w:p w14:paraId="2F819B12" w14:textId="13293DFC" w:rsidR="001A66B0" w:rsidRDefault="001A66B0" w:rsidP="001A66B0">
      <w:pPr>
        <w:widowControl w:val="0"/>
        <w:autoSpaceDE w:val="0"/>
        <w:autoSpaceDN w:val="0"/>
        <w:adjustRightInd w:val="0"/>
        <w:rPr>
          <w:rFonts w:ascii="Calibri" w:hAnsi="Calibri" w:cs="Calibri"/>
          <w:sz w:val="22"/>
          <w:szCs w:val="22"/>
        </w:rPr>
      </w:pPr>
      <w:r>
        <w:rPr>
          <w:rFonts w:ascii="Calibri" w:hAnsi="Calibri" w:cs="Calibri"/>
          <w:sz w:val="22"/>
          <w:szCs w:val="22"/>
        </w:rPr>
        <w:t xml:space="preserve">The Working Group </w:t>
      </w:r>
      <w:r w:rsidR="00343FD0">
        <w:rPr>
          <w:rFonts w:ascii="Calibri" w:hAnsi="Calibri" w:cs="Calibri"/>
          <w:sz w:val="22"/>
          <w:szCs w:val="22"/>
        </w:rPr>
        <w:t xml:space="preserve">charter adopted </w:t>
      </w:r>
      <w:r>
        <w:rPr>
          <w:rFonts w:ascii="Calibri" w:hAnsi="Calibri" w:cs="Calibri"/>
          <w:sz w:val="22"/>
          <w:szCs w:val="22"/>
        </w:rPr>
        <w:t>a limite</w:t>
      </w:r>
      <w:r w:rsidR="00343FD0">
        <w:rPr>
          <w:rFonts w:ascii="Calibri" w:hAnsi="Calibri" w:cs="Calibri"/>
          <w:sz w:val="22"/>
          <w:szCs w:val="22"/>
        </w:rPr>
        <w:t xml:space="preserve">d scope for this advice, citing the Board resolution seeking advice on definitions and metrics for the gTLD expansion review that is required in the Affirmation of Commitments.  </w:t>
      </w:r>
    </w:p>
    <w:p w14:paraId="77EF2860" w14:textId="77777777" w:rsidR="00343FD0" w:rsidRDefault="00343FD0" w:rsidP="001A66B0">
      <w:pPr>
        <w:widowControl w:val="0"/>
        <w:autoSpaceDE w:val="0"/>
        <w:autoSpaceDN w:val="0"/>
        <w:adjustRightInd w:val="0"/>
        <w:rPr>
          <w:rFonts w:ascii="Calibri" w:hAnsi="Calibri" w:cs="Calibri"/>
          <w:sz w:val="22"/>
          <w:szCs w:val="22"/>
        </w:rPr>
      </w:pPr>
    </w:p>
    <w:p w14:paraId="6789AEA1" w14:textId="39EA8CF8" w:rsidR="001A66B0" w:rsidRPr="001A66B0" w:rsidRDefault="001A66B0" w:rsidP="001A66B0">
      <w:pPr>
        <w:widowControl w:val="0"/>
        <w:autoSpaceDE w:val="0"/>
        <w:autoSpaceDN w:val="0"/>
        <w:adjustRightInd w:val="0"/>
        <w:rPr>
          <w:rFonts w:ascii="Calibri" w:hAnsi="Calibri" w:cs="Calibri"/>
          <w:sz w:val="22"/>
          <w:szCs w:val="22"/>
        </w:rPr>
      </w:pPr>
      <w:r w:rsidRPr="001A66B0">
        <w:rPr>
          <w:rFonts w:ascii="Calibri" w:hAnsi="Calibri" w:cs="Calibri"/>
          <w:sz w:val="22"/>
          <w:szCs w:val="22"/>
        </w:rPr>
        <w:t>The Working Group acknowledges that the limited scope it has undert</w:t>
      </w:r>
      <w:r>
        <w:rPr>
          <w:rFonts w:ascii="Calibri" w:hAnsi="Calibri" w:cs="Calibri"/>
          <w:sz w:val="22"/>
          <w:szCs w:val="22"/>
        </w:rPr>
        <w:t>aken</w:t>
      </w:r>
      <w:r w:rsidRPr="001A66B0">
        <w:rPr>
          <w:rFonts w:ascii="Calibri" w:hAnsi="Calibri" w:cs="Calibri"/>
          <w:sz w:val="22"/>
          <w:szCs w:val="22"/>
        </w:rPr>
        <w:t xml:space="preserve"> provides only a partial evaluation of all choices from the Internet end-user point of view. Considering this perspective, </w:t>
      </w:r>
      <w:r w:rsidR="00343FD0">
        <w:rPr>
          <w:rFonts w:ascii="Calibri" w:hAnsi="Calibri" w:cs="Calibri"/>
          <w:sz w:val="22"/>
          <w:szCs w:val="22"/>
        </w:rPr>
        <w:t>a full examination</w:t>
      </w:r>
      <w:r w:rsidRPr="001A66B0">
        <w:rPr>
          <w:rFonts w:ascii="Calibri" w:hAnsi="Calibri" w:cs="Calibri"/>
          <w:sz w:val="22"/>
          <w:szCs w:val="22"/>
        </w:rPr>
        <w:t xml:space="preserve"> of choice </w:t>
      </w:r>
      <w:r w:rsidR="00343FD0">
        <w:rPr>
          <w:rFonts w:ascii="Calibri" w:hAnsi="Calibri" w:cs="Calibri"/>
          <w:sz w:val="22"/>
          <w:szCs w:val="22"/>
        </w:rPr>
        <w:t>should</w:t>
      </w:r>
      <w:r w:rsidRPr="001A66B0">
        <w:rPr>
          <w:rFonts w:ascii="Calibri" w:hAnsi="Calibri" w:cs="Calibri"/>
          <w:sz w:val="22"/>
          <w:szCs w:val="22"/>
        </w:rPr>
        <w:t xml:space="preserve"> not only measure the diversity within registries and registrars, but also </w:t>
      </w:r>
      <w:r w:rsidR="00343FD0">
        <w:rPr>
          <w:rFonts w:ascii="Calibri" w:hAnsi="Calibri" w:cs="Calibri"/>
          <w:sz w:val="22"/>
          <w:szCs w:val="22"/>
        </w:rPr>
        <w:t>examine</w:t>
      </w:r>
      <w:r w:rsidRPr="001A66B0">
        <w:rPr>
          <w:rFonts w:ascii="Calibri" w:hAnsi="Calibri" w:cs="Calibri"/>
          <w:sz w:val="22"/>
          <w:szCs w:val="22"/>
        </w:rPr>
        <w:t xml:space="preserve"> options that allow users to avoid direct use of the DNS altogether.</w:t>
      </w:r>
    </w:p>
    <w:p w14:paraId="27FD4469" w14:textId="77777777" w:rsidR="001A66B0" w:rsidRPr="001A66B0" w:rsidRDefault="001A66B0" w:rsidP="001A66B0">
      <w:pPr>
        <w:widowControl w:val="0"/>
        <w:autoSpaceDE w:val="0"/>
        <w:autoSpaceDN w:val="0"/>
        <w:adjustRightInd w:val="0"/>
        <w:rPr>
          <w:rFonts w:ascii="Calibri" w:hAnsi="Calibri" w:cs="Calibri"/>
          <w:sz w:val="22"/>
          <w:szCs w:val="22"/>
        </w:rPr>
      </w:pPr>
    </w:p>
    <w:p w14:paraId="3A363587" w14:textId="1475C4CB" w:rsidR="001A66B0" w:rsidRPr="001A66B0" w:rsidRDefault="001A66B0" w:rsidP="001A66B0">
      <w:pPr>
        <w:widowControl w:val="0"/>
        <w:autoSpaceDE w:val="0"/>
        <w:autoSpaceDN w:val="0"/>
        <w:adjustRightInd w:val="0"/>
        <w:rPr>
          <w:rFonts w:ascii="Calibri" w:hAnsi="Calibri" w:cs="Calibri"/>
          <w:sz w:val="22"/>
          <w:szCs w:val="22"/>
        </w:rPr>
      </w:pPr>
      <w:r w:rsidRPr="001A66B0">
        <w:rPr>
          <w:rFonts w:ascii="Calibri" w:hAnsi="Calibri" w:cs="Calibri"/>
          <w:sz w:val="22"/>
          <w:szCs w:val="22"/>
        </w:rPr>
        <w:t xml:space="preserve">Alternate methods of accessing Internet content and services (mobile apps, search engines, </w:t>
      </w:r>
      <w:r w:rsidRPr="001A66B0">
        <w:rPr>
          <w:rFonts w:ascii="Calibri" w:hAnsi="Calibri" w:cs="Calibri"/>
          <w:sz w:val="22"/>
          <w:szCs w:val="22"/>
        </w:rPr>
        <w:lastRenderedPageBreak/>
        <w:t>social portals, QR codes, etc</w:t>
      </w:r>
      <w:r w:rsidR="00343FD0">
        <w:rPr>
          <w:rFonts w:ascii="Calibri" w:hAnsi="Calibri" w:cs="Calibri"/>
          <w:sz w:val="22"/>
          <w:szCs w:val="22"/>
        </w:rPr>
        <w:t>.</w:t>
      </w:r>
      <w:r w:rsidRPr="001A66B0">
        <w:rPr>
          <w:rFonts w:ascii="Calibri" w:hAnsi="Calibri" w:cs="Calibri"/>
          <w:sz w:val="22"/>
          <w:szCs w:val="22"/>
        </w:rPr>
        <w:t xml:space="preserve">) are growing in popularity and themselves present innovative and competitive threats to ICANN-regulated TLDs. </w:t>
      </w:r>
      <w:r w:rsidR="00343FD0">
        <w:rPr>
          <w:rFonts w:ascii="Calibri" w:hAnsi="Calibri" w:cs="Calibri"/>
          <w:sz w:val="22"/>
          <w:szCs w:val="22"/>
        </w:rPr>
        <w:t xml:space="preserve"> </w:t>
      </w:r>
      <w:r w:rsidRPr="001A66B0">
        <w:rPr>
          <w:rFonts w:ascii="Calibri" w:hAnsi="Calibri" w:cs="Calibri"/>
          <w:sz w:val="22"/>
          <w:szCs w:val="22"/>
        </w:rPr>
        <w:t xml:space="preserve">As such, they should be considered in any complete evaluation of consumer choice and trust related to ICANN in general and new </w:t>
      </w:r>
      <w:proofErr w:type="spellStart"/>
      <w:r w:rsidRPr="001A66B0">
        <w:rPr>
          <w:rFonts w:ascii="Calibri" w:hAnsi="Calibri" w:cs="Calibri"/>
          <w:sz w:val="22"/>
          <w:szCs w:val="22"/>
        </w:rPr>
        <w:t>gTLDs</w:t>
      </w:r>
      <w:proofErr w:type="spellEnd"/>
      <w:r w:rsidRPr="001A66B0">
        <w:rPr>
          <w:rFonts w:ascii="Calibri" w:hAnsi="Calibri" w:cs="Calibri"/>
          <w:sz w:val="22"/>
          <w:szCs w:val="22"/>
        </w:rPr>
        <w:t xml:space="preserve"> specifically.</w:t>
      </w:r>
    </w:p>
    <w:p w14:paraId="6A0C83AA" w14:textId="77777777" w:rsidR="001A66B0" w:rsidRDefault="001A66B0" w:rsidP="00D00805">
      <w:pPr>
        <w:widowControl w:val="0"/>
        <w:autoSpaceDE w:val="0"/>
        <w:autoSpaceDN w:val="0"/>
        <w:adjustRightInd w:val="0"/>
        <w:rPr>
          <w:rFonts w:ascii="Calibri" w:hAnsi="Calibri" w:cs="Calibri"/>
          <w:sz w:val="22"/>
          <w:szCs w:val="22"/>
        </w:rPr>
      </w:pPr>
    </w:p>
    <w:p w14:paraId="18B29E82" w14:textId="242D42E5" w:rsidR="001E58BB" w:rsidRPr="00AC4FF1" w:rsidRDefault="001E58BB" w:rsidP="00FD0DD7">
      <w:pPr>
        <w:widowControl w:val="0"/>
        <w:autoSpaceDE w:val="0"/>
        <w:autoSpaceDN w:val="0"/>
        <w:adjustRightInd w:val="0"/>
        <w:rPr>
          <w:rFonts w:ascii="Calibri" w:hAnsi="Calibri" w:cs="Calibri"/>
          <w:b/>
          <w:sz w:val="22"/>
          <w:szCs w:val="22"/>
        </w:rPr>
      </w:pPr>
      <w:r w:rsidRPr="00AC4FF1">
        <w:rPr>
          <w:rFonts w:ascii="Calibri" w:hAnsi="Calibri" w:cs="Calibri"/>
          <w:b/>
          <w:sz w:val="22"/>
          <w:szCs w:val="22"/>
        </w:rPr>
        <w:t>Community represent</w:t>
      </w:r>
      <w:r w:rsidR="00AC4FF1">
        <w:rPr>
          <w:rFonts w:ascii="Calibri" w:hAnsi="Calibri" w:cs="Calibri"/>
          <w:b/>
          <w:sz w:val="22"/>
          <w:szCs w:val="22"/>
        </w:rPr>
        <w:t>ation</w:t>
      </w:r>
      <w:r w:rsidR="0044303F">
        <w:rPr>
          <w:rFonts w:ascii="Calibri" w:hAnsi="Calibri" w:cs="Calibri"/>
          <w:b/>
          <w:sz w:val="22"/>
          <w:szCs w:val="22"/>
        </w:rPr>
        <w:t xml:space="preserve"> on the Working Group</w:t>
      </w:r>
    </w:p>
    <w:p w14:paraId="7F80CEA7" w14:textId="77777777" w:rsidR="0070200A" w:rsidRDefault="0070200A" w:rsidP="0070200A">
      <w:pPr>
        <w:widowControl w:val="0"/>
        <w:autoSpaceDE w:val="0"/>
        <w:autoSpaceDN w:val="0"/>
        <w:adjustRightInd w:val="0"/>
        <w:rPr>
          <w:rFonts w:ascii="Calibri" w:hAnsi="Calibri" w:cs="Calibri"/>
          <w:sz w:val="22"/>
          <w:szCs w:val="22"/>
        </w:rPr>
      </w:pPr>
    </w:p>
    <w:p w14:paraId="31A68B9D" w14:textId="5835CBB3" w:rsidR="0070200A" w:rsidRDefault="0070200A" w:rsidP="0070200A">
      <w:pPr>
        <w:widowControl w:val="0"/>
        <w:autoSpaceDE w:val="0"/>
        <w:autoSpaceDN w:val="0"/>
        <w:adjustRightInd w:val="0"/>
        <w:rPr>
          <w:rFonts w:ascii="Calibri" w:hAnsi="Calibri" w:cs="Calibri"/>
          <w:sz w:val="22"/>
          <w:szCs w:val="22"/>
          <w:lang w:val="en-GB"/>
        </w:rPr>
      </w:pPr>
      <w:r>
        <w:rPr>
          <w:rFonts w:ascii="Calibri" w:hAnsi="Calibri" w:cs="Calibri"/>
          <w:sz w:val="22"/>
          <w:szCs w:val="22"/>
          <w:lang w:val="en-GB"/>
        </w:rPr>
        <w:t>The Working Group on Consumer Trust, Choice, and Competition was formed to respond to an ICANN Board resolution regarding a review of the new gTLD program, as required under the Affirmation of Commitments.</w:t>
      </w:r>
      <w:r w:rsidR="000812DC">
        <w:rPr>
          <w:rFonts w:ascii="Calibri" w:hAnsi="Calibri" w:cs="Calibri"/>
          <w:sz w:val="22"/>
          <w:szCs w:val="22"/>
          <w:lang w:val="en-GB"/>
        </w:rPr>
        <w:t xml:space="preserve">  Names of Working Group participants and ICANN staff are listed in Appendix A.</w:t>
      </w:r>
      <w:r w:rsidR="001E2A6C">
        <w:rPr>
          <w:rFonts w:ascii="Calibri" w:hAnsi="Calibri" w:cs="Calibri"/>
          <w:sz w:val="22"/>
          <w:szCs w:val="22"/>
          <w:lang w:val="en-GB"/>
        </w:rPr>
        <w:t xml:space="preserve">  The</w:t>
      </w:r>
      <w:r w:rsidR="007E2787">
        <w:rPr>
          <w:rFonts w:ascii="Calibri" w:hAnsi="Calibri" w:cs="Calibri"/>
          <w:sz w:val="22"/>
          <w:szCs w:val="22"/>
          <w:lang w:val="en-GB"/>
        </w:rPr>
        <w:t xml:space="preserve"> list</w:t>
      </w:r>
      <w:r w:rsidR="001E2A6C">
        <w:rPr>
          <w:rFonts w:ascii="Calibri" w:hAnsi="Calibri" w:cs="Calibri"/>
          <w:sz w:val="22"/>
          <w:szCs w:val="22"/>
          <w:lang w:val="en-GB"/>
        </w:rPr>
        <w:t xml:space="preserve"> include</w:t>
      </w:r>
      <w:r w:rsidR="007E2787">
        <w:rPr>
          <w:rFonts w:ascii="Calibri" w:hAnsi="Calibri" w:cs="Calibri"/>
          <w:sz w:val="22"/>
          <w:szCs w:val="22"/>
          <w:lang w:val="en-GB"/>
        </w:rPr>
        <w:t>s</w:t>
      </w:r>
      <w:r w:rsidR="001E2A6C">
        <w:rPr>
          <w:rFonts w:ascii="Calibri" w:hAnsi="Calibri" w:cs="Calibri"/>
          <w:sz w:val="22"/>
          <w:szCs w:val="22"/>
          <w:lang w:val="en-GB"/>
        </w:rPr>
        <w:t xml:space="preserve"> representatives of </w:t>
      </w:r>
      <w:r w:rsidR="00A03BEE">
        <w:rPr>
          <w:rFonts w:ascii="Calibri" w:hAnsi="Calibri" w:cs="Calibri"/>
          <w:sz w:val="22"/>
          <w:szCs w:val="22"/>
          <w:lang w:val="en-GB"/>
        </w:rPr>
        <w:t xml:space="preserve">the </w:t>
      </w:r>
      <w:r w:rsidR="00A03BEE" w:rsidRPr="00A03BEE">
        <w:rPr>
          <w:rFonts w:ascii="Calibri" w:hAnsi="Calibri" w:cs="Calibri"/>
          <w:sz w:val="22"/>
          <w:szCs w:val="22"/>
          <w:lang w:val="en-GB"/>
        </w:rPr>
        <w:t xml:space="preserve">ALAC, CBUC, IPC, NCSG, </w:t>
      </w:r>
      <w:proofErr w:type="spellStart"/>
      <w:r w:rsidR="00A03BEE" w:rsidRPr="00A03BEE">
        <w:rPr>
          <w:rFonts w:ascii="Calibri" w:hAnsi="Calibri" w:cs="Calibri"/>
          <w:sz w:val="22"/>
          <w:szCs w:val="22"/>
          <w:lang w:val="en-GB"/>
        </w:rPr>
        <w:t>RySG</w:t>
      </w:r>
      <w:proofErr w:type="spellEnd"/>
      <w:r w:rsidR="00A03BEE" w:rsidRPr="00A03BEE">
        <w:rPr>
          <w:rFonts w:ascii="Calibri" w:hAnsi="Calibri" w:cs="Calibri"/>
          <w:sz w:val="22"/>
          <w:szCs w:val="22"/>
          <w:lang w:val="en-GB"/>
        </w:rPr>
        <w:t xml:space="preserve">, </w:t>
      </w:r>
      <w:proofErr w:type="spellStart"/>
      <w:r w:rsidR="00A03BEE" w:rsidRPr="00A03BEE">
        <w:rPr>
          <w:rFonts w:ascii="Calibri" w:hAnsi="Calibri" w:cs="Calibri"/>
          <w:sz w:val="22"/>
          <w:szCs w:val="22"/>
          <w:lang w:val="en-GB"/>
        </w:rPr>
        <w:t>RrSG</w:t>
      </w:r>
      <w:proofErr w:type="spellEnd"/>
      <w:r w:rsidR="00A03BEE" w:rsidRPr="00A03BEE">
        <w:rPr>
          <w:rFonts w:ascii="Calibri" w:hAnsi="Calibri" w:cs="Calibri"/>
          <w:sz w:val="22"/>
          <w:szCs w:val="22"/>
          <w:lang w:val="en-GB"/>
        </w:rPr>
        <w:t>, NCA</w:t>
      </w:r>
      <w:r w:rsidR="00A03BEE">
        <w:rPr>
          <w:rFonts w:ascii="Calibri" w:hAnsi="Calibri" w:cs="Calibri"/>
          <w:sz w:val="22"/>
          <w:szCs w:val="22"/>
          <w:lang w:val="en-GB"/>
        </w:rPr>
        <w:t xml:space="preserve"> groups, as well as individual participants.</w:t>
      </w:r>
    </w:p>
    <w:p w14:paraId="17779621" w14:textId="77777777" w:rsidR="001E58BB" w:rsidRDefault="001E58BB" w:rsidP="00D00805">
      <w:pPr>
        <w:widowControl w:val="0"/>
        <w:autoSpaceDE w:val="0"/>
        <w:autoSpaceDN w:val="0"/>
        <w:adjustRightInd w:val="0"/>
        <w:rPr>
          <w:rFonts w:ascii="Calibri" w:hAnsi="Calibri" w:cs="Calibri"/>
          <w:sz w:val="22"/>
          <w:szCs w:val="22"/>
        </w:rPr>
      </w:pPr>
    </w:p>
    <w:p w14:paraId="31070E20" w14:textId="4D6037F1" w:rsidR="001E58BB" w:rsidRPr="00AC4FF1" w:rsidRDefault="001E58BB" w:rsidP="00D00805">
      <w:pPr>
        <w:widowControl w:val="0"/>
        <w:autoSpaceDE w:val="0"/>
        <w:autoSpaceDN w:val="0"/>
        <w:adjustRightInd w:val="0"/>
        <w:rPr>
          <w:rFonts w:ascii="Calibri" w:hAnsi="Calibri" w:cs="Calibri"/>
          <w:b/>
          <w:sz w:val="22"/>
          <w:szCs w:val="22"/>
        </w:rPr>
      </w:pPr>
      <w:r w:rsidRPr="00AC4FF1">
        <w:rPr>
          <w:rFonts w:ascii="Calibri" w:hAnsi="Calibri" w:cs="Calibri"/>
          <w:b/>
          <w:sz w:val="22"/>
          <w:szCs w:val="22"/>
        </w:rPr>
        <w:t>Process</w:t>
      </w:r>
      <w:r w:rsidR="0070200A" w:rsidRPr="00AC4FF1">
        <w:rPr>
          <w:rFonts w:ascii="Calibri" w:hAnsi="Calibri" w:cs="Calibri"/>
          <w:b/>
          <w:sz w:val="22"/>
          <w:szCs w:val="22"/>
        </w:rPr>
        <w:t xml:space="preserve"> for developing this </w:t>
      </w:r>
      <w:r w:rsidR="005526A1">
        <w:rPr>
          <w:rFonts w:ascii="Calibri" w:hAnsi="Calibri" w:cs="Calibri"/>
          <w:b/>
          <w:sz w:val="22"/>
          <w:szCs w:val="22"/>
        </w:rPr>
        <w:t xml:space="preserve">Draft </w:t>
      </w:r>
      <w:r w:rsidR="0070200A" w:rsidRPr="00AC4FF1">
        <w:rPr>
          <w:rFonts w:ascii="Calibri" w:hAnsi="Calibri" w:cs="Calibri"/>
          <w:b/>
          <w:sz w:val="22"/>
          <w:szCs w:val="22"/>
        </w:rPr>
        <w:t>Advice</w:t>
      </w:r>
    </w:p>
    <w:p w14:paraId="77425768" w14:textId="77777777" w:rsidR="005526A1" w:rsidRDefault="005526A1" w:rsidP="0070200A">
      <w:pPr>
        <w:widowControl w:val="0"/>
        <w:autoSpaceDE w:val="0"/>
        <w:autoSpaceDN w:val="0"/>
        <w:adjustRightInd w:val="0"/>
        <w:rPr>
          <w:rFonts w:ascii="Calibri" w:hAnsi="Calibri" w:cs="Calibri"/>
          <w:sz w:val="22"/>
          <w:szCs w:val="22"/>
        </w:rPr>
      </w:pPr>
    </w:p>
    <w:p w14:paraId="6933E0B7" w14:textId="7D74B660" w:rsidR="005526A1" w:rsidRDefault="005526A1" w:rsidP="0070200A">
      <w:pPr>
        <w:widowControl w:val="0"/>
        <w:autoSpaceDE w:val="0"/>
        <w:autoSpaceDN w:val="0"/>
        <w:adjustRightInd w:val="0"/>
        <w:rPr>
          <w:rFonts w:ascii="Calibri" w:hAnsi="Calibri" w:cs="Calibri"/>
          <w:sz w:val="22"/>
          <w:szCs w:val="22"/>
        </w:rPr>
      </w:pPr>
      <w:r>
        <w:rPr>
          <w:rFonts w:ascii="Calibri" w:hAnsi="Calibri" w:cs="Calibri"/>
          <w:sz w:val="22"/>
          <w:szCs w:val="22"/>
        </w:rPr>
        <w:t xml:space="preserve">The Working Group began regular meetings after the Singapore meeting in June 2011.  Working Group members drafted a charter for consideration by any and all community groups form whom the board solicited advice.   The Charter was approved by the GNSO on </w:t>
      </w:r>
      <w:r w:rsidR="007E2787">
        <w:rPr>
          <w:rFonts w:ascii="Calibri" w:hAnsi="Calibri" w:cs="Calibri"/>
          <w:sz w:val="22"/>
          <w:szCs w:val="22"/>
        </w:rPr>
        <w:t xml:space="preserve">7 September </w:t>
      </w:r>
      <w:proofErr w:type="gramStart"/>
      <w:r w:rsidR="007E2787">
        <w:rPr>
          <w:rFonts w:ascii="Calibri" w:hAnsi="Calibri" w:cs="Calibri"/>
          <w:sz w:val="22"/>
          <w:szCs w:val="22"/>
        </w:rPr>
        <w:t>2011</w:t>
      </w:r>
      <w:r w:rsidR="007E2787" w:rsidDel="007E2787">
        <w:rPr>
          <w:rFonts w:ascii="Calibri" w:hAnsi="Calibri" w:cs="Calibri"/>
          <w:sz w:val="22"/>
          <w:szCs w:val="22"/>
        </w:rPr>
        <w:t xml:space="preserve"> </w:t>
      </w:r>
      <w:r>
        <w:rPr>
          <w:rFonts w:ascii="Calibri" w:hAnsi="Calibri" w:cs="Calibri"/>
          <w:sz w:val="22"/>
          <w:szCs w:val="22"/>
        </w:rPr>
        <w:t xml:space="preserve"> and</w:t>
      </w:r>
      <w:proofErr w:type="gramEnd"/>
      <w:r>
        <w:rPr>
          <w:rFonts w:ascii="Calibri" w:hAnsi="Calibri" w:cs="Calibri"/>
          <w:sz w:val="22"/>
          <w:szCs w:val="22"/>
        </w:rPr>
        <w:t xml:space="preserve"> is available </w:t>
      </w:r>
      <w:hyperlink r:id="rId11" w:history="1">
        <w:r w:rsidR="007E2787" w:rsidRPr="007E2787">
          <w:rPr>
            <w:rStyle w:val="Hyperlink"/>
            <w:rFonts w:ascii="Calibri" w:hAnsi="Calibri" w:cs="Calibri"/>
            <w:sz w:val="22"/>
            <w:szCs w:val="22"/>
          </w:rPr>
          <w:t>here</w:t>
        </w:r>
      </w:hyperlink>
      <w:r w:rsidR="007E2787">
        <w:rPr>
          <w:rFonts w:ascii="Calibri" w:hAnsi="Calibri" w:cs="Calibri"/>
          <w:sz w:val="22"/>
          <w:szCs w:val="22"/>
        </w:rPr>
        <w:t>.</w:t>
      </w:r>
    </w:p>
    <w:p w14:paraId="7EA00B40" w14:textId="77777777" w:rsidR="005526A1" w:rsidRDefault="005526A1" w:rsidP="0070200A">
      <w:pPr>
        <w:widowControl w:val="0"/>
        <w:autoSpaceDE w:val="0"/>
        <w:autoSpaceDN w:val="0"/>
        <w:adjustRightInd w:val="0"/>
        <w:rPr>
          <w:rFonts w:ascii="Calibri" w:hAnsi="Calibri" w:cs="Calibri"/>
          <w:sz w:val="22"/>
          <w:szCs w:val="22"/>
        </w:rPr>
      </w:pPr>
    </w:p>
    <w:p w14:paraId="7C4D08B9" w14:textId="77777777" w:rsidR="005026D1" w:rsidRDefault="005526A1" w:rsidP="0070200A">
      <w:pPr>
        <w:widowControl w:val="0"/>
        <w:autoSpaceDE w:val="0"/>
        <w:autoSpaceDN w:val="0"/>
        <w:adjustRightInd w:val="0"/>
        <w:rPr>
          <w:rFonts w:ascii="Calibri" w:hAnsi="Calibri" w:cs="Calibri"/>
          <w:sz w:val="22"/>
          <w:szCs w:val="22"/>
        </w:rPr>
      </w:pPr>
      <w:r>
        <w:rPr>
          <w:rFonts w:ascii="Calibri" w:hAnsi="Calibri" w:cs="Calibri"/>
          <w:sz w:val="22"/>
          <w:szCs w:val="22"/>
        </w:rPr>
        <w:t>In addition to its bi-weekly conference calls, the working group held public discussion sessions at the Singapore and Dakar meetings</w:t>
      </w:r>
      <w:r w:rsidR="0070200A" w:rsidRPr="00D00805">
        <w:rPr>
          <w:rFonts w:ascii="Calibri" w:hAnsi="Calibri" w:cs="Calibri"/>
          <w:sz w:val="22"/>
          <w:szCs w:val="22"/>
        </w:rPr>
        <w:t xml:space="preserve">, </w:t>
      </w:r>
      <w:r>
        <w:rPr>
          <w:rFonts w:ascii="Calibri" w:hAnsi="Calibri" w:cs="Calibri"/>
          <w:sz w:val="22"/>
          <w:szCs w:val="22"/>
        </w:rPr>
        <w:t xml:space="preserve">including </w:t>
      </w:r>
      <w:r w:rsidR="0070200A" w:rsidRPr="00D00805">
        <w:rPr>
          <w:rFonts w:ascii="Calibri" w:hAnsi="Calibri" w:cs="Calibri"/>
          <w:sz w:val="22"/>
          <w:szCs w:val="22"/>
        </w:rPr>
        <w:t>presentations</w:t>
      </w:r>
      <w:r>
        <w:rPr>
          <w:rFonts w:ascii="Calibri" w:hAnsi="Calibri" w:cs="Calibri"/>
          <w:sz w:val="22"/>
          <w:szCs w:val="22"/>
        </w:rPr>
        <w:t xml:space="preserve"> of prelim</w:t>
      </w:r>
      <w:r w:rsidR="005026D1">
        <w:rPr>
          <w:rFonts w:ascii="Calibri" w:hAnsi="Calibri" w:cs="Calibri"/>
          <w:sz w:val="22"/>
          <w:szCs w:val="22"/>
        </w:rPr>
        <w:t>inary results.   In Dakar, the W</w:t>
      </w:r>
      <w:r>
        <w:rPr>
          <w:rFonts w:ascii="Calibri" w:hAnsi="Calibri" w:cs="Calibri"/>
          <w:sz w:val="22"/>
          <w:szCs w:val="22"/>
        </w:rPr>
        <w:t xml:space="preserve">orking Group </w:t>
      </w:r>
      <w:r w:rsidR="005026D1">
        <w:rPr>
          <w:rFonts w:ascii="Calibri" w:hAnsi="Calibri" w:cs="Calibri"/>
          <w:sz w:val="22"/>
          <w:szCs w:val="22"/>
        </w:rPr>
        <w:t xml:space="preserve">gave </w:t>
      </w:r>
      <w:r>
        <w:rPr>
          <w:rFonts w:ascii="Calibri" w:hAnsi="Calibri" w:cs="Calibri"/>
          <w:sz w:val="22"/>
          <w:szCs w:val="22"/>
        </w:rPr>
        <w:t>brief</w:t>
      </w:r>
      <w:r w:rsidR="005026D1">
        <w:rPr>
          <w:rFonts w:ascii="Calibri" w:hAnsi="Calibri" w:cs="Calibri"/>
          <w:sz w:val="22"/>
          <w:szCs w:val="22"/>
        </w:rPr>
        <w:t xml:space="preserve">ings to GNSO Council during its weekend sessions.  </w:t>
      </w:r>
    </w:p>
    <w:p w14:paraId="7334314D" w14:textId="77777777" w:rsidR="005026D1" w:rsidRDefault="005026D1" w:rsidP="0070200A">
      <w:pPr>
        <w:widowControl w:val="0"/>
        <w:autoSpaceDE w:val="0"/>
        <w:autoSpaceDN w:val="0"/>
        <w:adjustRightInd w:val="0"/>
        <w:rPr>
          <w:rFonts w:ascii="Calibri" w:hAnsi="Calibri" w:cs="Calibri"/>
          <w:sz w:val="22"/>
          <w:szCs w:val="22"/>
        </w:rPr>
      </w:pPr>
    </w:p>
    <w:p w14:paraId="76B5B6F7" w14:textId="7B676232" w:rsidR="001E58BB" w:rsidRDefault="005026D1" w:rsidP="00D00805">
      <w:pPr>
        <w:widowControl w:val="0"/>
        <w:autoSpaceDE w:val="0"/>
        <w:autoSpaceDN w:val="0"/>
        <w:adjustRightInd w:val="0"/>
        <w:rPr>
          <w:rFonts w:ascii="Calibri" w:hAnsi="Calibri" w:cs="Calibri"/>
          <w:sz w:val="22"/>
          <w:szCs w:val="22"/>
        </w:rPr>
      </w:pPr>
      <w:r>
        <w:rPr>
          <w:rFonts w:ascii="Calibri" w:hAnsi="Calibri" w:cs="Calibri"/>
          <w:sz w:val="22"/>
          <w:szCs w:val="22"/>
        </w:rPr>
        <w:t xml:space="preserve">This initial draft of advice is being posted for </w:t>
      </w:r>
      <w:r w:rsidR="0070200A" w:rsidRPr="00D00805">
        <w:rPr>
          <w:rFonts w:ascii="Calibri" w:hAnsi="Calibri" w:cs="Calibri"/>
          <w:sz w:val="22"/>
          <w:szCs w:val="22"/>
        </w:rPr>
        <w:t xml:space="preserve">public comment </w:t>
      </w:r>
      <w:r>
        <w:rPr>
          <w:rFonts w:ascii="Calibri" w:hAnsi="Calibri" w:cs="Calibri"/>
          <w:sz w:val="22"/>
          <w:szCs w:val="22"/>
        </w:rPr>
        <w:t xml:space="preserve">on </w:t>
      </w:r>
      <w:r w:rsidR="00A03BEE">
        <w:rPr>
          <w:rFonts w:ascii="Calibri" w:hAnsi="Calibri" w:cs="Calibri"/>
          <w:sz w:val="22"/>
          <w:szCs w:val="22"/>
        </w:rPr>
        <w:t>21 February 2012</w:t>
      </w:r>
      <w:r>
        <w:rPr>
          <w:rFonts w:ascii="Calibri" w:hAnsi="Calibri" w:cs="Calibri"/>
          <w:sz w:val="22"/>
          <w:szCs w:val="22"/>
        </w:rPr>
        <w:t xml:space="preserve">.  The Working Group will assess comments received and expects to offer </w:t>
      </w:r>
      <w:r w:rsidR="007E2787">
        <w:rPr>
          <w:rFonts w:ascii="Calibri" w:hAnsi="Calibri" w:cs="Calibri"/>
          <w:sz w:val="22"/>
          <w:szCs w:val="22"/>
        </w:rPr>
        <w:t xml:space="preserve">final </w:t>
      </w:r>
      <w:r>
        <w:rPr>
          <w:rFonts w:ascii="Calibri" w:hAnsi="Calibri" w:cs="Calibri"/>
          <w:sz w:val="22"/>
          <w:szCs w:val="22"/>
        </w:rPr>
        <w:t xml:space="preserve">draft advice to </w:t>
      </w:r>
      <w:r w:rsidR="007E2787">
        <w:rPr>
          <w:rFonts w:ascii="Calibri" w:hAnsi="Calibri" w:cs="Calibri"/>
          <w:sz w:val="22"/>
          <w:szCs w:val="22"/>
        </w:rPr>
        <w:t xml:space="preserve">the GNSO and </w:t>
      </w:r>
      <w:r>
        <w:rPr>
          <w:rFonts w:ascii="Calibri" w:hAnsi="Calibri" w:cs="Calibri"/>
          <w:sz w:val="22"/>
          <w:szCs w:val="22"/>
        </w:rPr>
        <w:t xml:space="preserve">ALAC </w:t>
      </w:r>
      <w:r w:rsidR="0059570B">
        <w:rPr>
          <w:rFonts w:ascii="Calibri" w:hAnsi="Calibri" w:cs="Calibri"/>
          <w:sz w:val="22"/>
          <w:szCs w:val="22"/>
        </w:rPr>
        <w:t xml:space="preserve">soon after closing of the public comment period. </w:t>
      </w:r>
      <w:r w:rsidR="007E2787">
        <w:rPr>
          <w:rFonts w:ascii="Calibri" w:hAnsi="Calibri" w:cs="Calibri"/>
          <w:sz w:val="22"/>
          <w:szCs w:val="22"/>
        </w:rPr>
        <w:t xml:space="preserve">  </w:t>
      </w:r>
      <w:r w:rsidR="00C1103F">
        <w:rPr>
          <w:rFonts w:ascii="Calibri" w:hAnsi="Calibri" w:cs="Calibri"/>
          <w:sz w:val="22"/>
          <w:szCs w:val="22"/>
        </w:rPr>
        <w:t>D</w:t>
      </w:r>
      <w:r w:rsidR="007E2787">
        <w:rPr>
          <w:rFonts w:ascii="Calibri" w:hAnsi="Calibri" w:cs="Calibri"/>
          <w:sz w:val="22"/>
          <w:szCs w:val="22"/>
        </w:rPr>
        <w:t xml:space="preserve">raft advice will also be shared with the GAC and </w:t>
      </w:r>
      <w:proofErr w:type="spellStart"/>
      <w:r w:rsidR="007E2787">
        <w:rPr>
          <w:rFonts w:ascii="Calibri" w:hAnsi="Calibri" w:cs="Calibri"/>
          <w:sz w:val="22"/>
          <w:szCs w:val="22"/>
        </w:rPr>
        <w:t>ccNSO</w:t>
      </w:r>
      <w:proofErr w:type="spellEnd"/>
      <w:r w:rsidR="007E2787">
        <w:rPr>
          <w:rFonts w:ascii="Calibri" w:hAnsi="Calibri" w:cs="Calibri"/>
          <w:sz w:val="22"/>
          <w:szCs w:val="22"/>
        </w:rPr>
        <w:t xml:space="preserve"> for their consideration, as they may also be developing advice pursuant to the Board’s Dec-2010 resolution. </w:t>
      </w:r>
    </w:p>
    <w:p w14:paraId="15DA924F" w14:textId="77777777" w:rsidR="005026D1" w:rsidRDefault="005026D1" w:rsidP="002F121F">
      <w:pPr>
        <w:widowControl w:val="0"/>
        <w:autoSpaceDE w:val="0"/>
        <w:autoSpaceDN w:val="0"/>
        <w:adjustRightInd w:val="0"/>
        <w:rPr>
          <w:rFonts w:ascii="Calibri" w:hAnsi="Calibri" w:cs="Calibri"/>
          <w:sz w:val="22"/>
          <w:szCs w:val="22"/>
        </w:rPr>
      </w:pPr>
    </w:p>
    <w:p w14:paraId="459106E8" w14:textId="7A58F025" w:rsidR="001E58BB" w:rsidRDefault="0070200A" w:rsidP="002F121F">
      <w:pPr>
        <w:widowControl w:val="0"/>
        <w:autoSpaceDE w:val="0"/>
        <w:autoSpaceDN w:val="0"/>
        <w:adjustRightInd w:val="0"/>
        <w:rPr>
          <w:rFonts w:ascii="Calibri" w:hAnsi="Calibri" w:cs="Calibri"/>
          <w:b/>
          <w:sz w:val="22"/>
          <w:szCs w:val="22"/>
        </w:rPr>
      </w:pPr>
      <w:r w:rsidRPr="00AC4FF1">
        <w:rPr>
          <w:rFonts w:ascii="Calibri" w:hAnsi="Calibri" w:cs="Calibri"/>
          <w:b/>
          <w:sz w:val="22"/>
          <w:szCs w:val="22"/>
        </w:rPr>
        <w:t>Advice</w:t>
      </w:r>
      <w:r w:rsidR="002F121F">
        <w:rPr>
          <w:rFonts w:ascii="Calibri" w:hAnsi="Calibri" w:cs="Calibri"/>
          <w:b/>
          <w:sz w:val="22"/>
          <w:szCs w:val="22"/>
        </w:rPr>
        <w:t xml:space="preserve"> on D</w:t>
      </w:r>
      <w:r w:rsidRPr="00AC4FF1">
        <w:rPr>
          <w:rFonts w:ascii="Calibri" w:hAnsi="Calibri" w:cs="Calibri"/>
          <w:b/>
          <w:sz w:val="22"/>
          <w:szCs w:val="22"/>
        </w:rPr>
        <w:t>efinitions</w:t>
      </w:r>
    </w:p>
    <w:p w14:paraId="4101B101" w14:textId="77777777" w:rsidR="002F121F" w:rsidRDefault="002F121F" w:rsidP="002F121F">
      <w:pPr>
        <w:widowControl w:val="0"/>
        <w:autoSpaceDE w:val="0"/>
        <w:autoSpaceDN w:val="0"/>
        <w:adjustRightInd w:val="0"/>
        <w:rPr>
          <w:rFonts w:ascii="Calibri" w:hAnsi="Calibri" w:cs="Calibri"/>
          <w:b/>
          <w:sz w:val="22"/>
          <w:szCs w:val="22"/>
        </w:rPr>
      </w:pPr>
    </w:p>
    <w:p w14:paraId="78F04D0D" w14:textId="5FBB18F9" w:rsidR="002F121F" w:rsidRPr="007D6351" w:rsidRDefault="002F121F" w:rsidP="002F121F">
      <w:pPr>
        <w:widowControl w:val="0"/>
        <w:autoSpaceDE w:val="0"/>
        <w:autoSpaceDN w:val="0"/>
        <w:adjustRightInd w:val="0"/>
        <w:rPr>
          <w:rFonts w:ascii="Calibri" w:hAnsi="Calibri" w:cs="Calibri"/>
          <w:sz w:val="22"/>
          <w:szCs w:val="22"/>
        </w:rPr>
      </w:pPr>
      <w:r w:rsidRPr="002F121F">
        <w:rPr>
          <w:rFonts w:ascii="Calibri" w:hAnsi="Calibri" w:cs="Calibri"/>
          <w:sz w:val="22"/>
          <w:szCs w:val="22"/>
        </w:rPr>
        <w:t>As its initial task, the Working Group</w:t>
      </w:r>
      <w:r>
        <w:rPr>
          <w:rFonts w:ascii="Calibri" w:hAnsi="Calibri" w:cs="Calibri"/>
          <w:sz w:val="22"/>
          <w:szCs w:val="22"/>
        </w:rPr>
        <w:t xml:space="preserve"> </w:t>
      </w:r>
      <w:r w:rsidR="00BE1189">
        <w:rPr>
          <w:rFonts w:ascii="Calibri" w:hAnsi="Calibri" w:cs="Calibri"/>
          <w:sz w:val="22"/>
          <w:szCs w:val="22"/>
        </w:rPr>
        <w:t>considered definitions for</w:t>
      </w:r>
      <w:r>
        <w:rPr>
          <w:rFonts w:ascii="Calibri" w:hAnsi="Calibri" w:cs="Calibri"/>
          <w:sz w:val="22"/>
          <w:szCs w:val="22"/>
        </w:rPr>
        <w:t xml:space="preserve"> Consumer Trust, Competition, and </w:t>
      </w:r>
      <w:r w:rsidR="008C345B">
        <w:rPr>
          <w:rFonts w:ascii="Calibri" w:hAnsi="Calibri" w:cs="Calibri"/>
          <w:sz w:val="22"/>
          <w:szCs w:val="22"/>
        </w:rPr>
        <w:t xml:space="preserve">Consumer </w:t>
      </w:r>
      <w:r>
        <w:rPr>
          <w:rFonts w:ascii="Calibri" w:hAnsi="Calibri" w:cs="Calibri"/>
          <w:sz w:val="22"/>
          <w:szCs w:val="22"/>
        </w:rPr>
        <w:t>C</w:t>
      </w:r>
      <w:r w:rsidR="00BE1189">
        <w:rPr>
          <w:rFonts w:ascii="Calibri" w:hAnsi="Calibri" w:cs="Calibri"/>
          <w:sz w:val="22"/>
          <w:szCs w:val="22"/>
        </w:rPr>
        <w:t xml:space="preserve">hoice in the context of the DNS and ICANN’s gTLD expansion program.  As a threshold matter, the </w:t>
      </w:r>
      <w:r w:rsidR="008C345B">
        <w:rPr>
          <w:rFonts w:ascii="Calibri" w:hAnsi="Calibri" w:cs="Calibri"/>
          <w:sz w:val="22"/>
          <w:szCs w:val="22"/>
        </w:rPr>
        <w:t xml:space="preserve">working group established this </w:t>
      </w:r>
      <w:r w:rsidR="00BE1189">
        <w:rPr>
          <w:rFonts w:ascii="Calibri" w:hAnsi="Calibri" w:cs="Calibri"/>
          <w:sz w:val="22"/>
          <w:szCs w:val="22"/>
        </w:rPr>
        <w:t xml:space="preserve">definition of </w:t>
      </w:r>
      <w:r w:rsidR="00BE1189" w:rsidRPr="008C345B">
        <w:rPr>
          <w:rFonts w:ascii="Calibri" w:hAnsi="Calibri" w:cs="Calibri"/>
          <w:i/>
          <w:sz w:val="22"/>
          <w:szCs w:val="22"/>
        </w:rPr>
        <w:t>consumer</w:t>
      </w:r>
      <w:r w:rsidR="007D6351" w:rsidRPr="007D6351">
        <w:rPr>
          <w:rFonts w:ascii="Calibri" w:hAnsi="Calibri" w:cs="Calibri"/>
          <w:sz w:val="22"/>
          <w:szCs w:val="22"/>
        </w:rPr>
        <w:t>, which is critical to two of the three defined terms</w:t>
      </w:r>
      <w:r w:rsidR="008C345B" w:rsidRPr="007D6351">
        <w:rPr>
          <w:rFonts w:ascii="Calibri" w:hAnsi="Calibri" w:cs="Calibri"/>
          <w:sz w:val="22"/>
          <w:szCs w:val="22"/>
        </w:rPr>
        <w:t>:</w:t>
      </w:r>
    </w:p>
    <w:p w14:paraId="1BCA7FD3" w14:textId="77777777" w:rsidR="007D6351" w:rsidRDefault="007D6351" w:rsidP="007D6351">
      <w:pPr>
        <w:widowControl w:val="0"/>
        <w:autoSpaceDE w:val="0"/>
        <w:autoSpaceDN w:val="0"/>
        <w:adjustRightInd w:val="0"/>
        <w:ind w:left="720"/>
        <w:rPr>
          <w:rFonts w:ascii="Calibri" w:hAnsi="Calibri"/>
          <w:b/>
          <w:color w:val="000000"/>
          <w:sz w:val="22"/>
          <w:szCs w:val="22"/>
        </w:rPr>
      </w:pPr>
    </w:p>
    <w:p w14:paraId="724A244C" w14:textId="5508D246" w:rsidR="008C345B" w:rsidRDefault="007D6351" w:rsidP="007D6351">
      <w:pPr>
        <w:widowControl w:val="0"/>
        <w:autoSpaceDE w:val="0"/>
        <w:autoSpaceDN w:val="0"/>
        <w:adjustRightInd w:val="0"/>
        <w:ind w:left="720"/>
        <w:rPr>
          <w:rFonts w:ascii="Calibri" w:hAnsi="Calibri"/>
          <w:color w:val="000000"/>
          <w:sz w:val="22"/>
          <w:szCs w:val="22"/>
        </w:rPr>
      </w:pPr>
      <w:r w:rsidRPr="007D6351">
        <w:rPr>
          <w:rFonts w:ascii="Calibri" w:hAnsi="Calibri"/>
          <w:b/>
          <w:color w:val="000000"/>
          <w:sz w:val="22"/>
          <w:szCs w:val="22"/>
        </w:rPr>
        <w:t>Consumer</w:t>
      </w:r>
      <w:r w:rsidR="0033140F">
        <w:rPr>
          <w:rFonts w:ascii="Calibri" w:hAnsi="Calibri"/>
          <w:color w:val="000000"/>
          <w:sz w:val="22"/>
          <w:szCs w:val="22"/>
        </w:rPr>
        <w:t xml:space="preserve"> is defined as actual and potential Internet users and r</w:t>
      </w:r>
      <w:r w:rsidRPr="007D6351">
        <w:rPr>
          <w:rFonts w:ascii="Calibri" w:hAnsi="Calibri"/>
          <w:color w:val="000000"/>
          <w:sz w:val="22"/>
          <w:szCs w:val="22"/>
        </w:rPr>
        <w:t>egistrants</w:t>
      </w:r>
      <w:r>
        <w:rPr>
          <w:rFonts w:ascii="Calibri" w:hAnsi="Calibri"/>
          <w:color w:val="000000"/>
          <w:sz w:val="22"/>
          <w:szCs w:val="22"/>
        </w:rPr>
        <w:t>.</w:t>
      </w:r>
    </w:p>
    <w:p w14:paraId="27B9FDCC" w14:textId="77777777" w:rsidR="007D6351" w:rsidRDefault="007D6351" w:rsidP="007D6351">
      <w:pPr>
        <w:widowControl w:val="0"/>
        <w:autoSpaceDE w:val="0"/>
        <w:autoSpaceDN w:val="0"/>
        <w:adjustRightInd w:val="0"/>
        <w:rPr>
          <w:rFonts w:ascii="Calibri" w:hAnsi="Calibri"/>
          <w:b/>
          <w:color w:val="000000"/>
          <w:sz w:val="22"/>
          <w:szCs w:val="22"/>
        </w:rPr>
      </w:pPr>
    </w:p>
    <w:p w14:paraId="6291A182" w14:textId="77777777" w:rsidR="00F92288" w:rsidRDefault="00F92288" w:rsidP="007D6351">
      <w:pPr>
        <w:widowControl w:val="0"/>
        <w:autoSpaceDE w:val="0"/>
        <w:autoSpaceDN w:val="0"/>
        <w:adjustRightInd w:val="0"/>
        <w:rPr>
          <w:rFonts w:ascii="Calibri" w:hAnsi="Calibri"/>
          <w:color w:val="000000"/>
          <w:sz w:val="22"/>
          <w:szCs w:val="22"/>
        </w:rPr>
      </w:pPr>
      <w:r>
        <w:rPr>
          <w:rFonts w:ascii="Calibri" w:hAnsi="Calibri"/>
          <w:color w:val="000000"/>
          <w:sz w:val="22"/>
          <w:szCs w:val="22"/>
        </w:rPr>
        <w:t xml:space="preserve">Consistent with the </w:t>
      </w:r>
      <w:r w:rsidRPr="00F92288">
        <w:rPr>
          <w:rFonts w:ascii="Calibri" w:hAnsi="Calibri"/>
          <w:i/>
          <w:color w:val="000000"/>
          <w:sz w:val="22"/>
          <w:szCs w:val="22"/>
        </w:rPr>
        <w:t>Affirmation of Commitmen</w:t>
      </w:r>
      <w:r>
        <w:rPr>
          <w:rFonts w:ascii="Calibri" w:hAnsi="Calibri"/>
          <w:i/>
          <w:color w:val="000000"/>
          <w:sz w:val="22"/>
          <w:szCs w:val="22"/>
        </w:rPr>
        <w:t>t</w:t>
      </w:r>
      <w:r w:rsidRPr="00F92288">
        <w:rPr>
          <w:rFonts w:ascii="Calibri" w:hAnsi="Calibri"/>
          <w:i/>
          <w:color w:val="000000"/>
          <w:sz w:val="22"/>
          <w:szCs w:val="22"/>
        </w:rPr>
        <w:t>s</w:t>
      </w:r>
      <w:r>
        <w:rPr>
          <w:rFonts w:ascii="Calibri" w:hAnsi="Calibri"/>
          <w:color w:val="000000"/>
          <w:sz w:val="22"/>
          <w:szCs w:val="22"/>
        </w:rPr>
        <w:t>, t</w:t>
      </w:r>
      <w:r w:rsidR="007D6351" w:rsidRPr="007D6351">
        <w:rPr>
          <w:rFonts w:ascii="Calibri" w:hAnsi="Calibri"/>
          <w:color w:val="000000"/>
          <w:sz w:val="22"/>
          <w:szCs w:val="22"/>
        </w:rPr>
        <w:t>his definition</w:t>
      </w:r>
      <w:r w:rsidR="007D6351">
        <w:rPr>
          <w:rFonts w:ascii="Calibri" w:hAnsi="Calibri"/>
          <w:color w:val="000000"/>
          <w:sz w:val="22"/>
          <w:szCs w:val="22"/>
        </w:rPr>
        <w:t xml:space="preserve"> of </w:t>
      </w:r>
      <w:r w:rsidR="007D6351" w:rsidRPr="007D6351">
        <w:rPr>
          <w:rFonts w:ascii="Calibri" w:hAnsi="Calibri"/>
          <w:i/>
          <w:color w:val="000000"/>
          <w:sz w:val="22"/>
          <w:szCs w:val="22"/>
        </w:rPr>
        <w:t>Consumer</w:t>
      </w:r>
      <w:r w:rsidR="00E42913">
        <w:rPr>
          <w:rFonts w:ascii="Calibri" w:hAnsi="Calibri"/>
          <w:color w:val="000000"/>
          <w:sz w:val="22"/>
          <w:szCs w:val="22"/>
        </w:rPr>
        <w:t xml:space="preserve"> is </w:t>
      </w:r>
      <w:r w:rsidR="007C7314">
        <w:rPr>
          <w:rFonts w:ascii="Calibri" w:hAnsi="Calibri"/>
          <w:color w:val="000000"/>
          <w:sz w:val="22"/>
          <w:szCs w:val="22"/>
        </w:rPr>
        <w:t>designed to focus on the interests of</w:t>
      </w:r>
      <w:r w:rsidR="00E42913">
        <w:rPr>
          <w:rFonts w:ascii="Calibri" w:hAnsi="Calibri"/>
          <w:color w:val="000000"/>
          <w:sz w:val="22"/>
          <w:szCs w:val="22"/>
        </w:rPr>
        <w:t xml:space="preserve"> </w:t>
      </w:r>
      <w:r w:rsidR="008F2D58">
        <w:rPr>
          <w:rFonts w:ascii="Calibri" w:hAnsi="Calibri"/>
          <w:color w:val="000000"/>
          <w:sz w:val="22"/>
          <w:szCs w:val="22"/>
        </w:rPr>
        <w:t xml:space="preserve">anyone or any entity taking the role of an </w:t>
      </w:r>
      <w:r w:rsidR="007C7314">
        <w:rPr>
          <w:rFonts w:ascii="Calibri" w:hAnsi="Calibri"/>
          <w:color w:val="000000"/>
          <w:sz w:val="22"/>
          <w:szCs w:val="22"/>
        </w:rPr>
        <w:t xml:space="preserve">Internet user </w:t>
      </w:r>
      <w:r w:rsidR="008F2D58">
        <w:rPr>
          <w:rFonts w:ascii="Calibri" w:hAnsi="Calibri"/>
          <w:color w:val="000000"/>
          <w:sz w:val="22"/>
          <w:szCs w:val="22"/>
        </w:rPr>
        <w:t xml:space="preserve">or domain name registrant.  </w:t>
      </w:r>
    </w:p>
    <w:p w14:paraId="4B7AF282" w14:textId="77777777" w:rsidR="00F92288" w:rsidRDefault="00F92288" w:rsidP="007D6351">
      <w:pPr>
        <w:widowControl w:val="0"/>
        <w:autoSpaceDE w:val="0"/>
        <w:autoSpaceDN w:val="0"/>
        <w:adjustRightInd w:val="0"/>
        <w:rPr>
          <w:rFonts w:ascii="Calibri" w:hAnsi="Calibri"/>
          <w:color w:val="000000"/>
          <w:sz w:val="22"/>
          <w:szCs w:val="22"/>
        </w:rPr>
      </w:pPr>
    </w:p>
    <w:p w14:paraId="66AF395D" w14:textId="4098417B" w:rsidR="007C7314" w:rsidRDefault="00F92288" w:rsidP="007D6351">
      <w:pPr>
        <w:widowControl w:val="0"/>
        <w:autoSpaceDE w:val="0"/>
        <w:autoSpaceDN w:val="0"/>
        <w:adjustRightInd w:val="0"/>
        <w:rPr>
          <w:rFonts w:ascii="Calibri" w:hAnsi="Calibri"/>
          <w:color w:val="000000"/>
          <w:sz w:val="22"/>
          <w:szCs w:val="22"/>
        </w:rPr>
      </w:pPr>
      <w:r>
        <w:rPr>
          <w:rFonts w:ascii="Calibri" w:hAnsi="Calibri"/>
          <w:color w:val="000000"/>
          <w:sz w:val="22"/>
          <w:szCs w:val="22"/>
        </w:rPr>
        <w:t xml:space="preserve">The definition focuses not on the nature of an entity, but rather on the </w:t>
      </w:r>
      <w:r w:rsidRPr="00F92288">
        <w:rPr>
          <w:rFonts w:ascii="Calibri" w:hAnsi="Calibri"/>
          <w:i/>
          <w:color w:val="000000"/>
          <w:sz w:val="22"/>
          <w:szCs w:val="22"/>
        </w:rPr>
        <w:t>role</w:t>
      </w:r>
      <w:r>
        <w:rPr>
          <w:rFonts w:ascii="Calibri" w:hAnsi="Calibri"/>
          <w:color w:val="000000"/>
          <w:sz w:val="22"/>
          <w:szCs w:val="22"/>
        </w:rPr>
        <w:t xml:space="preserve"> they are playing by using the DNS to do resolutions or to register a domain name.   Therefore, any entity can be regarded as a consumer, including individuals</w:t>
      </w:r>
      <w:r w:rsidR="008F2D58">
        <w:rPr>
          <w:rFonts w:ascii="Calibri" w:hAnsi="Calibri"/>
          <w:color w:val="000000"/>
          <w:sz w:val="22"/>
          <w:szCs w:val="22"/>
        </w:rPr>
        <w:t>, businesses, governments, non-profits, etc.</w:t>
      </w:r>
      <w:r>
        <w:rPr>
          <w:rFonts w:ascii="Calibri" w:hAnsi="Calibri"/>
          <w:color w:val="000000"/>
          <w:sz w:val="22"/>
          <w:szCs w:val="22"/>
        </w:rPr>
        <w:t xml:space="preserve">   When any of these entities are also playing other roles with respect to the DNS – such as a registry operator or registrar – their interests are not relevant to this definition. </w:t>
      </w:r>
    </w:p>
    <w:p w14:paraId="58B26DE2" w14:textId="77777777" w:rsidR="004B35DE" w:rsidRDefault="004B35DE" w:rsidP="007D6351">
      <w:pPr>
        <w:widowControl w:val="0"/>
        <w:autoSpaceDE w:val="0"/>
        <w:autoSpaceDN w:val="0"/>
        <w:adjustRightInd w:val="0"/>
        <w:rPr>
          <w:rFonts w:ascii="Calibri" w:hAnsi="Calibri"/>
          <w:color w:val="000000"/>
          <w:sz w:val="22"/>
          <w:szCs w:val="22"/>
        </w:rPr>
      </w:pPr>
    </w:p>
    <w:p w14:paraId="429670EF" w14:textId="52320F52" w:rsidR="007D6351" w:rsidRPr="00E42913" w:rsidRDefault="004B4383" w:rsidP="007D6351">
      <w:pPr>
        <w:widowControl w:val="0"/>
        <w:autoSpaceDE w:val="0"/>
        <w:autoSpaceDN w:val="0"/>
        <w:adjustRightInd w:val="0"/>
        <w:rPr>
          <w:rFonts w:ascii="Calibri" w:hAnsi="Calibri" w:cs="Calibri"/>
          <w:sz w:val="22"/>
          <w:szCs w:val="22"/>
        </w:rPr>
      </w:pPr>
      <w:r>
        <w:rPr>
          <w:rFonts w:ascii="Calibri" w:hAnsi="Calibri"/>
          <w:color w:val="000000"/>
          <w:sz w:val="22"/>
          <w:szCs w:val="22"/>
        </w:rPr>
        <w:t>Including</w:t>
      </w:r>
      <w:r w:rsidR="004B35DE">
        <w:rPr>
          <w:rFonts w:ascii="Calibri" w:hAnsi="Calibri"/>
          <w:color w:val="000000"/>
          <w:sz w:val="22"/>
          <w:szCs w:val="22"/>
        </w:rPr>
        <w:t xml:space="preserve"> th</w:t>
      </w:r>
      <w:r w:rsidR="00F92288">
        <w:rPr>
          <w:rFonts w:ascii="Calibri" w:hAnsi="Calibri"/>
          <w:color w:val="000000"/>
          <w:sz w:val="22"/>
          <w:szCs w:val="22"/>
        </w:rPr>
        <w:t>e above</w:t>
      </w:r>
      <w:r w:rsidR="004B35DE">
        <w:rPr>
          <w:rFonts w:ascii="Calibri" w:hAnsi="Calibri"/>
          <w:color w:val="000000"/>
          <w:sz w:val="22"/>
          <w:szCs w:val="22"/>
        </w:rPr>
        <w:t xml:space="preserve"> definition of </w:t>
      </w:r>
      <w:r w:rsidR="004B35DE" w:rsidRPr="004B35DE">
        <w:rPr>
          <w:rFonts w:ascii="Calibri" w:hAnsi="Calibri"/>
          <w:i/>
          <w:color w:val="000000"/>
          <w:sz w:val="22"/>
          <w:szCs w:val="22"/>
        </w:rPr>
        <w:t>Consumer</w:t>
      </w:r>
      <w:r w:rsidR="004B35DE">
        <w:rPr>
          <w:rFonts w:ascii="Calibri" w:hAnsi="Calibri"/>
          <w:color w:val="000000"/>
          <w:sz w:val="22"/>
          <w:szCs w:val="22"/>
        </w:rPr>
        <w:t>, the working group recommends these definitions for</w:t>
      </w:r>
      <w:r w:rsidR="00E42913">
        <w:rPr>
          <w:rFonts w:ascii="Calibri" w:hAnsi="Calibri"/>
          <w:color w:val="000000"/>
          <w:sz w:val="22"/>
          <w:szCs w:val="22"/>
        </w:rPr>
        <w:t xml:space="preserve"> </w:t>
      </w:r>
      <w:r w:rsidR="004B35DE">
        <w:rPr>
          <w:rFonts w:ascii="Calibri" w:hAnsi="Calibri"/>
          <w:color w:val="000000"/>
          <w:sz w:val="22"/>
          <w:szCs w:val="22"/>
        </w:rPr>
        <w:t>the key terms in the AOC and Board resolution:</w:t>
      </w:r>
    </w:p>
    <w:p w14:paraId="6018564B" w14:textId="77777777" w:rsidR="004B4383" w:rsidRDefault="004B4383" w:rsidP="004B4383">
      <w:pPr>
        <w:widowControl w:val="0"/>
        <w:autoSpaceDE w:val="0"/>
        <w:autoSpaceDN w:val="0"/>
        <w:adjustRightInd w:val="0"/>
        <w:ind w:left="720"/>
        <w:rPr>
          <w:rFonts w:ascii="Calibri" w:hAnsi="Calibri"/>
          <w:b/>
          <w:color w:val="000000"/>
          <w:sz w:val="22"/>
          <w:szCs w:val="22"/>
        </w:rPr>
      </w:pPr>
    </w:p>
    <w:p w14:paraId="6582A59D" w14:textId="5E4D476B" w:rsidR="004B4383" w:rsidRDefault="004B4383" w:rsidP="004B4383">
      <w:pPr>
        <w:widowControl w:val="0"/>
        <w:autoSpaceDE w:val="0"/>
        <w:autoSpaceDN w:val="0"/>
        <w:adjustRightInd w:val="0"/>
        <w:ind w:left="720"/>
        <w:rPr>
          <w:rFonts w:ascii="Calibri" w:hAnsi="Calibri"/>
          <w:color w:val="000000"/>
          <w:sz w:val="22"/>
          <w:szCs w:val="22"/>
        </w:rPr>
      </w:pPr>
      <w:r w:rsidRPr="007D6351">
        <w:rPr>
          <w:rFonts w:ascii="Calibri" w:hAnsi="Calibri"/>
          <w:b/>
          <w:color w:val="000000"/>
          <w:sz w:val="22"/>
          <w:szCs w:val="22"/>
        </w:rPr>
        <w:t>Consumer</w:t>
      </w:r>
      <w:r>
        <w:rPr>
          <w:rFonts w:ascii="Calibri" w:hAnsi="Calibri"/>
          <w:color w:val="000000"/>
          <w:sz w:val="22"/>
          <w:szCs w:val="22"/>
        </w:rPr>
        <w:t xml:space="preserve"> is defined as</w:t>
      </w:r>
      <w:r w:rsidR="0033140F">
        <w:rPr>
          <w:rFonts w:ascii="Calibri" w:hAnsi="Calibri"/>
          <w:color w:val="000000"/>
          <w:sz w:val="22"/>
          <w:szCs w:val="22"/>
        </w:rPr>
        <w:t xml:space="preserve"> actual and potential Internet users and r</w:t>
      </w:r>
      <w:r w:rsidRPr="007D6351">
        <w:rPr>
          <w:rFonts w:ascii="Calibri" w:hAnsi="Calibri"/>
          <w:color w:val="000000"/>
          <w:sz w:val="22"/>
          <w:szCs w:val="22"/>
        </w:rPr>
        <w:t>egistrants</w:t>
      </w:r>
      <w:r>
        <w:rPr>
          <w:rFonts w:ascii="Calibri" w:hAnsi="Calibri"/>
          <w:color w:val="000000"/>
          <w:sz w:val="22"/>
          <w:szCs w:val="22"/>
        </w:rPr>
        <w:t>.</w:t>
      </w:r>
    </w:p>
    <w:p w14:paraId="35C8D5D2" w14:textId="77777777" w:rsidR="002F121F" w:rsidRPr="00AC4FF1" w:rsidRDefault="002F121F" w:rsidP="002F121F">
      <w:pPr>
        <w:widowControl w:val="0"/>
        <w:autoSpaceDE w:val="0"/>
        <w:autoSpaceDN w:val="0"/>
        <w:adjustRightInd w:val="0"/>
        <w:rPr>
          <w:rFonts w:ascii="Calibri" w:hAnsi="Calibri" w:cs="Calibri"/>
          <w:b/>
          <w:sz w:val="22"/>
          <w:szCs w:val="22"/>
        </w:rPr>
      </w:pPr>
    </w:p>
    <w:p w14:paraId="05E441E6" w14:textId="32F688E3" w:rsidR="0070200A" w:rsidRPr="00503D46" w:rsidRDefault="0070200A" w:rsidP="0070200A">
      <w:pPr>
        <w:widowControl w:val="0"/>
        <w:autoSpaceDE w:val="0"/>
        <w:autoSpaceDN w:val="0"/>
        <w:adjustRightInd w:val="0"/>
        <w:ind w:left="720"/>
        <w:rPr>
          <w:rFonts w:ascii="Calibri" w:hAnsi="Calibri" w:cs="Calibri"/>
          <w:sz w:val="22"/>
          <w:szCs w:val="22"/>
        </w:rPr>
      </w:pPr>
      <w:r w:rsidRPr="00663C6B">
        <w:rPr>
          <w:rFonts w:ascii="Calibri" w:hAnsi="Calibri" w:cs="Calibri"/>
          <w:b/>
          <w:sz w:val="22"/>
          <w:szCs w:val="22"/>
        </w:rPr>
        <w:t>Consumer Trust </w:t>
      </w:r>
      <w:r w:rsidR="004B4383">
        <w:rPr>
          <w:rFonts w:ascii="Calibri" w:hAnsi="Calibri" w:cs="Calibri"/>
          <w:sz w:val="22"/>
          <w:szCs w:val="22"/>
        </w:rPr>
        <w:t xml:space="preserve">is defined as </w:t>
      </w:r>
      <w:r w:rsidRPr="003611B7">
        <w:rPr>
          <w:rFonts w:ascii="Calibri" w:hAnsi="Calibri" w:cs="Calibri"/>
          <w:sz w:val="22"/>
          <w:szCs w:val="22"/>
        </w:rPr>
        <w:t>the confidence registrants and users have in the consistency of name resolution and the degree of confidence among registrants and users that a TLD regi</w:t>
      </w:r>
      <w:r w:rsidR="007D0AF0">
        <w:rPr>
          <w:rFonts w:ascii="Calibri" w:hAnsi="Calibri" w:cs="Calibri"/>
          <w:sz w:val="22"/>
          <w:szCs w:val="22"/>
        </w:rPr>
        <w:t xml:space="preserve">stry operator is fulfilling its proposed </w:t>
      </w:r>
      <w:r w:rsidRPr="003611B7">
        <w:rPr>
          <w:rFonts w:ascii="Calibri" w:hAnsi="Calibri" w:cs="Calibri"/>
          <w:sz w:val="22"/>
          <w:szCs w:val="22"/>
        </w:rPr>
        <w:t xml:space="preserve">purpose and is complying with ICANN </w:t>
      </w:r>
      <w:r w:rsidRPr="00503D46">
        <w:rPr>
          <w:rFonts w:ascii="Calibri" w:hAnsi="Calibri" w:cs="Calibri"/>
          <w:sz w:val="22"/>
          <w:szCs w:val="22"/>
        </w:rPr>
        <w:t>policies and applicable national laws.</w:t>
      </w:r>
    </w:p>
    <w:p w14:paraId="2E498683" w14:textId="77777777" w:rsidR="0070200A" w:rsidRPr="003611B7" w:rsidRDefault="0070200A" w:rsidP="0070200A">
      <w:pPr>
        <w:widowControl w:val="0"/>
        <w:autoSpaceDE w:val="0"/>
        <w:autoSpaceDN w:val="0"/>
        <w:adjustRightInd w:val="0"/>
        <w:ind w:left="720"/>
        <w:rPr>
          <w:rFonts w:ascii="Calibri" w:hAnsi="Calibri" w:cs="Calibri"/>
          <w:sz w:val="22"/>
          <w:szCs w:val="22"/>
        </w:rPr>
      </w:pPr>
    </w:p>
    <w:p w14:paraId="2EC1A5F1" w14:textId="3FAD028A" w:rsidR="007D0AF0" w:rsidRPr="003611B7" w:rsidRDefault="007D0AF0" w:rsidP="007D0AF0">
      <w:pPr>
        <w:widowControl w:val="0"/>
        <w:autoSpaceDE w:val="0"/>
        <w:autoSpaceDN w:val="0"/>
        <w:adjustRightInd w:val="0"/>
        <w:ind w:left="720"/>
        <w:rPr>
          <w:rFonts w:ascii="Calibri" w:hAnsi="Calibri" w:cs="Calibri"/>
          <w:sz w:val="22"/>
          <w:szCs w:val="22"/>
        </w:rPr>
      </w:pPr>
      <w:r w:rsidRPr="00663C6B">
        <w:rPr>
          <w:rFonts w:ascii="Calibri" w:hAnsi="Calibri" w:cs="Calibri"/>
          <w:b/>
          <w:sz w:val="22"/>
          <w:szCs w:val="22"/>
        </w:rPr>
        <w:t>Consumer Choice </w:t>
      </w:r>
      <w:r w:rsidRPr="003611B7">
        <w:rPr>
          <w:rFonts w:ascii="Calibri" w:hAnsi="Calibri" w:cs="Calibri"/>
          <w:sz w:val="22"/>
          <w:szCs w:val="22"/>
        </w:rPr>
        <w:t xml:space="preserve">is </w:t>
      </w:r>
      <w:r w:rsidR="004B4383">
        <w:rPr>
          <w:rFonts w:ascii="Calibri" w:hAnsi="Calibri" w:cs="Calibri"/>
          <w:sz w:val="22"/>
          <w:szCs w:val="22"/>
        </w:rPr>
        <w:t>defined as</w:t>
      </w:r>
      <w:r w:rsidRPr="003611B7">
        <w:rPr>
          <w:rFonts w:ascii="Calibri" w:hAnsi="Calibri" w:cs="Calibri"/>
          <w:sz w:val="22"/>
          <w:szCs w:val="22"/>
        </w:rPr>
        <w:t xml:space="preserve"> the range of options available to registrants and users for domain scripts and languages, and for TLDs that offer cho</w:t>
      </w:r>
      <w:r>
        <w:rPr>
          <w:rFonts w:ascii="Calibri" w:hAnsi="Calibri" w:cs="Calibri"/>
          <w:sz w:val="22"/>
          <w:szCs w:val="22"/>
        </w:rPr>
        <w:t xml:space="preserve">ices as to the proposed purpose </w:t>
      </w:r>
      <w:r w:rsidRPr="003611B7">
        <w:rPr>
          <w:rFonts w:ascii="Calibri" w:hAnsi="Calibri" w:cs="Calibri"/>
          <w:sz w:val="22"/>
          <w:szCs w:val="22"/>
        </w:rPr>
        <w:t>and integrity of their domain name registrants.</w:t>
      </w:r>
    </w:p>
    <w:p w14:paraId="5607CA91" w14:textId="77777777" w:rsidR="007D0AF0" w:rsidRDefault="007D0AF0" w:rsidP="0070200A">
      <w:pPr>
        <w:widowControl w:val="0"/>
        <w:autoSpaceDE w:val="0"/>
        <w:autoSpaceDN w:val="0"/>
        <w:adjustRightInd w:val="0"/>
        <w:ind w:left="720"/>
        <w:rPr>
          <w:rFonts w:ascii="Calibri" w:hAnsi="Calibri" w:cs="Calibri"/>
          <w:b/>
          <w:sz w:val="22"/>
          <w:szCs w:val="22"/>
        </w:rPr>
      </w:pPr>
    </w:p>
    <w:p w14:paraId="55BA0862" w14:textId="6784C114" w:rsidR="0070200A" w:rsidRPr="003611B7" w:rsidRDefault="0070200A" w:rsidP="0070200A">
      <w:pPr>
        <w:widowControl w:val="0"/>
        <w:autoSpaceDE w:val="0"/>
        <w:autoSpaceDN w:val="0"/>
        <w:adjustRightInd w:val="0"/>
        <w:ind w:left="720"/>
        <w:rPr>
          <w:rFonts w:ascii="Calibri" w:hAnsi="Calibri" w:cs="Calibri"/>
          <w:sz w:val="22"/>
          <w:szCs w:val="22"/>
        </w:rPr>
      </w:pPr>
      <w:r w:rsidRPr="00663C6B">
        <w:rPr>
          <w:rFonts w:ascii="Calibri" w:hAnsi="Calibri" w:cs="Calibri"/>
          <w:b/>
          <w:sz w:val="22"/>
          <w:szCs w:val="22"/>
        </w:rPr>
        <w:t>Competition</w:t>
      </w:r>
      <w:r w:rsidRPr="003611B7">
        <w:rPr>
          <w:rFonts w:ascii="Calibri" w:hAnsi="Calibri" w:cs="Calibri"/>
          <w:sz w:val="22"/>
          <w:szCs w:val="22"/>
        </w:rPr>
        <w:t xml:space="preserve"> is </w:t>
      </w:r>
      <w:r w:rsidR="004B4383">
        <w:rPr>
          <w:rFonts w:ascii="Calibri" w:hAnsi="Calibri" w:cs="Calibri"/>
          <w:sz w:val="22"/>
          <w:szCs w:val="22"/>
        </w:rPr>
        <w:t xml:space="preserve">defined as the quantity, </w:t>
      </w:r>
      <w:r w:rsidRPr="003611B7">
        <w:rPr>
          <w:rFonts w:ascii="Calibri" w:hAnsi="Calibri" w:cs="Calibri"/>
          <w:sz w:val="22"/>
          <w:szCs w:val="22"/>
        </w:rPr>
        <w:t>diversity</w:t>
      </w:r>
      <w:r w:rsidR="004B4383">
        <w:rPr>
          <w:rFonts w:ascii="Calibri" w:hAnsi="Calibri" w:cs="Calibri"/>
          <w:sz w:val="22"/>
          <w:szCs w:val="22"/>
        </w:rPr>
        <w:t xml:space="preserve">, and </w:t>
      </w:r>
      <w:r w:rsidR="00301602">
        <w:rPr>
          <w:rFonts w:ascii="Calibri" w:hAnsi="Calibri" w:cs="Calibri"/>
          <w:sz w:val="22"/>
          <w:szCs w:val="22"/>
        </w:rPr>
        <w:t xml:space="preserve">the </w:t>
      </w:r>
      <w:r w:rsidR="004B4383">
        <w:rPr>
          <w:rFonts w:ascii="Calibri" w:hAnsi="Calibri" w:cs="Calibri"/>
          <w:sz w:val="22"/>
          <w:szCs w:val="22"/>
        </w:rPr>
        <w:t xml:space="preserve">potential </w:t>
      </w:r>
      <w:r w:rsidR="00301602">
        <w:rPr>
          <w:rFonts w:ascii="Calibri" w:hAnsi="Calibri" w:cs="Calibri"/>
          <w:sz w:val="22"/>
          <w:szCs w:val="22"/>
        </w:rPr>
        <w:t xml:space="preserve">for market </w:t>
      </w:r>
      <w:r w:rsidR="004B4383">
        <w:rPr>
          <w:rFonts w:ascii="Calibri" w:hAnsi="Calibri" w:cs="Calibri"/>
          <w:sz w:val="22"/>
          <w:szCs w:val="22"/>
        </w:rPr>
        <w:t xml:space="preserve">rivalry </w:t>
      </w:r>
      <w:r w:rsidR="00301602">
        <w:rPr>
          <w:rFonts w:ascii="Calibri" w:hAnsi="Calibri" w:cs="Calibri"/>
          <w:sz w:val="22"/>
          <w:szCs w:val="22"/>
        </w:rPr>
        <w:t>of</w:t>
      </w:r>
      <w:r w:rsidR="004B4383">
        <w:rPr>
          <w:rFonts w:ascii="Calibri" w:hAnsi="Calibri" w:cs="Calibri"/>
          <w:sz w:val="22"/>
          <w:szCs w:val="22"/>
        </w:rPr>
        <w:t xml:space="preserve"> </w:t>
      </w:r>
      <w:r w:rsidRPr="003611B7">
        <w:rPr>
          <w:rFonts w:ascii="Calibri" w:hAnsi="Calibri" w:cs="Calibri"/>
          <w:sz w:val="22"/>
          <w:szCs w:val="22"/>
        </w:rPr>
        <w:t>TLDs,</w:t>
      </w:r>
      <w:r>
        <w:rPr>
          <w:rFonts w:ascii="Calibri" w:hAnsi="Calibri" w:cs="Calibri"/>
          <w:sz w:val="22"/>
          <w:szCs w:val="22"/>
        </w:rPr>
        <w:t xml:space="preserve"> </w:t>
      </w:r>
      <w:r w:rsidRPr="003611B7">
        <w:rPr>
          <w:rFonts w:ascii="Calibri" w:hAnsi="Calibri" w:cs="Calibri"/>
          <w:sz w:val="22"/>
          <w:szCs w:val="22"/>
        </w:rPr>
        <w:t>TLD registry operators, and registrars.</w:t>
      </w:r>
    </w:p>
    <w:p w14:paraId="5CE08BAA" w14:textId="77777777" w:rsidR="0070200A" w:rsidRPr="003611B7" w:rsidRDefault="0070200A" w:rsidP="0070200A">
      <w:pPr>
        <w:widowControl w:val="0"/>
        <w:autoSpaceDE w:val="0"/>
        <w:autoSpaceDN w:val="0"/>
        <w:adjustRightInd w:val="0"/>
        <w:ind w:left="720"/>
        <w:rPr>
          <w:rFonts w:ascii="Calibri" w:hAnsi="Calibri" w:cs="Calibri"/>
          <w:sz w:val="22"/>
          <w:szCs w:val="22"/>
        </w:rPr>
      </w:pPr>
    </w:p>
    <w:p w14:paraId="63596123" w14:textId="3739BB1E" w:rsidR="0044303F" w:rsidRDefault="00166DCD" w:rsidP="00ED0485">
      <w:pPr>
        <w:widowControl w:val="0"/>
        <w:autoSpaceDE w:val="0"/>
        <w:autoSpaceDN w:val="0"/>
        <w:adjustRightInd w:val="0"/>
        <w:rPr>
          <w:rFonts w:ascii="Calibri" w:hAnsi="Calibri" w:cs="Calibri"/>
          <w:i/>
          <w:iCs/>
          <w:sz w:val="22"/>
          <w:szCs w:val="22"/>
        </w:rPr>
      </w:pPr>
      <w:r>
        <w:rPr>
          <w:rFonts w:ascii="Calibri" w:hAnsi="Calibri" w:cs="Calibri"/>
          <w:i/>
          <w:iCs/>
          <w:sz w:val="22"/>
          <w:szCs w:val="22"/>
        </w:rPr>
        <w:t>Note</w:t>
      </w:r>
      <w:r w:rsidR="0044303F">
        <w:rPr>
          <w:rFonts w:ascii="Calibri" w:hAnsi="Calibri" w:cs="Calibri"/>
          <w:i/>
          <w:iCs/>
          <w:sz w:val="22"/>
          <w:szCs w:val="22"/>
        </w:rPr>
        <w:t>s</w:t>
      </w:r>
      <w:r>
        <w:rPr>
          <w:rFonts w:ascii="Calibri" w:hAnsi="Calibri" w:cs="Calibri"/>
          <w:i/>
          <w:iCs/>
          <w:sz w:val="22"/>
          <w:szCs w:val="22"/>
        </w:rPr>
        <w:t xml:space="preserve"> on </w:t>
      </w:r>
      <w:r w:rsidR="00F92288">
        <w:rPr>
          <w:rFonts w:ascii="Calibri" w:hAnsi="Calibri" w:cs="Calibri"/>
          <w:i/>
          <w:iCs/>
          <w:sz w:val="22"/>
          <w:szCs w:val="22"/>
        </w:rPr>
        <w:t xml:space="preserve">these </w:t>
      </w:r>
      <w:r>
        <w:rPr>
          <w:rFonts w:ascii="Calibri" w:hAnsi="Calibri" w:cs="Calibri"/>
          <w:i/>
          <w:iCs/>
          <w:sz w:val="22"/>
          <w:szCs w:val="22"/>
        </w:rPr>
        <w:t xml:space="preserve">definitions:  </w:t>
      </w:r>
    </w:p>
    <w:p w14:paraId="7D037AC6" w14:textId="77777777" w:rsidR="0044303F" w:rsidRDefault="0044303F" w:rsidP="00ED0485">
      <w:pPr>
        <w:widowControl w:val="0"/>
        <w:autoSpaceDE w:val="0"/>
        <w:autoSpaceDN w:val="0"/>
        <w:adjustRightInd w:val="0"/>
        <w:rPr>
          <w:rFonts w:ascii="Calibri" w:hAnsi="Calibri" w:cs="Calibri"/>
          <w:i/>
          <w:iCs/>
          <w:sz w:val="22"/>
          <w:szCs w:val="22"/>
        </w:rPr>
      </w:pPr>
    </w:p>
    <w:p w14:paraId="59BB02D6" w14:textId="77777777" w:rsidR="00A015A9" w:rsidRDefault="007C7314" w:rsidP="00ED0485">
      <w:pPr>
        <w:widowControl w:val="0"/>
        <w:autoSpaceDE w:val="0"/>
        <w:autoSpaceDN w:val="0"/>
        <w:adjustRightInd w:val="0"/>
        <w:ind w:left="720"/>
        <w:rPr>
          <w:rFonts w:ascii="Calibri" w:hAnsi="Calibri" w:cs="Calibri"/>
          <w:i/>
          <w:iCs/>
          <w:sz w:val="22"/>
          <w:szCs w:val="22"/>
        </w:rPr>
      </w:pPr>
      <w:r>
        <w:rPr>
          <w:rFonts w:ascii="Calibri" w:hAnsi="Calibri" w:cs="Calibri"/>
          <w:i/>
          <w:iCs/>
          <w:sz w:val="22"/>
          <w:szCs w:val="22"/>
        </w:rPr>
        <w:t xml:space="preserve">Note 1. The Consumer Trust definition has two aspects:  </w:t>
      </w:r>
    </w:p>
    <w:p w14:paraId="2A9ED488" w14:textId="77777777" w:rsidR="00A015A9" w:rsidRDefault="007C7314" w:rsidP="00A015A9">
      <w:pPr>
        <w:widowControl w:val="0"/>
        <w:autoSpaceDE w:val="0"/>
        <w:autoSpaceDN w:val="0"/>
        <w:adjustRightInd w:val="0"/>
        <w:ind w:left="1440"/>
        <w:rPr>
          <w:rFonts w:ascii="Calibri" w:hAnsi="Calibri" w:cs="Calibri"/>
          <w:i/>
          <w:iCs/>
          <w:sz w:val="22"/>
          <w:szCs w:val="22"/>
        </w:rPr>
      </w:pPr>
      <w:r>
        <w:rPr>
          <w:rFonts w:ascii="Calibri" w:hAnsi="Calibri" w:cs="Calibri"/>
          <w:i/>
          <w:iCs/>
          <w:sz w:val="22"/>
          <w:szCs w:val="22"/>
        </w:rPr>
        <w:t xml:space="preserve">First, Internet users need confidence in the reliability and accuracy of the resolution of domain names they reference in email addresses, apps, and web browsing.  </w:t>
      </w:r>
    </w:p>
    <w:p w14:paraId="4765C51D" w14:textId="77777777" w:rsidR="00A015A9" w:rsidRDefault="00A015A9" w:rsidP="00A015A9">
      <w:pPr>
        <w:widowControl w:val="0"/>
        <w:autoSpaceDE w:val="0"/>
        <w:autoSpaceDN w:val="0"/>
        <w:adjustRightInd w:val="0"/>
        <w:ind w:left="1440"/>
        <w:rPr>
          <w:rFonts w:ascii="Calibri" w:hAnsi="Calibri" w:cs="Calibri"/>
          <w:i/>
          <w:iCs/>
          <w:sz w:val="22"/>
          <w:szCs w:val="22"/>
        </w:rPr>
      </w:pPr>
    </w:p>
    <w:p w14:paraId="091B8EB8" w14:textId="32EAC676" w:rsidR="007C7314" w:rsidRDefault="007C7314" w:rsidP="00A015A9">
      <w:pPr>
        <w:widowControl w:val="0"/>
        <w:autoSpaceDE w:val="0"/>
        <w:autoSpaceDN w:val="0"/>
        <w:adjustRightInd w:val="0"/>
        <w:ind w:left="1440"/>
        <w:rPr>
          <w:rFonts w:ascii="Calibri" w:hAnsi="Calibri" w:cs="Calibri"/>
          <w:i/>
          <w:iCs/>
          <w:sz w:val="22"/>
          <w:szCs w:val="22"/>
        </w:rPr>
      </w:pPr>
      <w:r>
        <w:rPr>
          <w:rFonts w:ascii="Calibri" w:hAnsi="Calibri" w:cs="Calibri"/>
          <w:i/>
          <w:iCs/>
          <w:sz w:val="22"/>
          <w:szCs w:val="22"/>
        </w:rPr>
        <w:t xml:space="preserve">Second, registrants of domain names need confidence that the TLD registry they have selected will actually fulfill </w:t>
      </w:r>
      <w:r w:rsidR="00A015A9">
        <w:rPr>
          <w:rFonts w:ascii="Calibri" w:hAnsi="Calibri" w:cs="Calibri"/>
          <w:i/>
          <w:iCs/>
          <w:sz w:val="22"/>
          <w:szCs w:val="22"/>
        </w:rPr>
        <w:t xml:space="preserve">its </w:t>
      </w:r>
      <w:r>
        <w:rPr>
          <w:rFonts w:ascii="Calibri" w:hAnsi="Calibri" w:cs="Calibri"/>
          <w:i/>
          <w:iCs/>
          <w:sz w:val="22"/>
          <w:szCs w:val="22"/>
        </w:rPr>
        <w:t>proposed purpose and promises</w:t>
      </w:r>
      <w:r w:rsidR="00A015A9">
        <w:rPr>
          <w:rFonts w:ascii="Calibri" w:hAnsi="Calibri" w:cs="Calibri"/>
          <w:i/>
          <w:iCs/>
          <w:sz w:val="22"/>
          <w:szCs w:val="22"/>
        </w:rPr>
        <w:t xml:space="preserve"> that drove their selection.   For example, a bank that invests in moving its registrations to the .bank gTLD wants to be able to trust that .bank will honor its promise to allow only legitimate banks to hold domain names.   The registrant will also trust that ICANN will hold the gTLD operator to its promises</w:t>
      </w:r>
      <w:r w:rsidR="004B4383">
        <w:rPr>
          <w:rFonts w:ascii="Calibri" w:hAnsi="Calibri" w:cs="Calibri"/>
          <w:i/>
          <w:iCs/>
          <w:sz w:val="22"/>
          <w:szCs w:val="22"/>
        </w:rPr>
        <w:t>, ICANN</w:t>
      </w:r>
      <w:r w:rsidR="00A015A9">
        <w:rPr>
          <w:rFonts w:ascii="Calibri" w:hAnsi="Calibri" w:cs="Calibri"/>
          <w:i/>
          <w:iCs/>
          <w:sz w:val="22"/>
          <w:szCs w:val="22"/>
        </w:rPr>
        <w:t xml:space="preserve"> policies</w:t>
      </w:r>
      <w:r w:rsidR="004B4383">
        <w:rPr>
          <w:rFonts w:ascii="Calibri" w:hAnsi="Calibri" w:cs="Calibri"/>
          <w:i/>
          <w:iCs/>
          <w:sz w:val="22"/>
          <w:szCs w:val="22"/>
        </w:rPr>
        <w:t>,</w:t>
      </w:r>
      <w:r w:rsidR="00A015A9">
        <w:rPr>
          <w:rFonts w:ascii="Calibri" w:hAnsi="Calibri" w:cs="Calibri"/>
          <w:i/>
          <w:iCs/>
          <w:sz w:val="22"/>
          <w:szCs w:val="22"/>
        </w:rPr>
        <w:t xml:space="preserve"> and any applicable national laws.</w:t>
      </w:r>
    </w:p>
    <w:p w14:paraId="64352059" w14:textId="77777777" w:rsidR="007C7314" w:rsidRDefault="007C7314" w:rsidP="00ED0485">
      <w:pPr>
        <w:widowControl w:val="0"/>
        <w:autoSpaceDE w:val="0"/>
        <w:autoSpaceDN w:val="0"/>
        <w:adjustRightInd w:val="0"/>
        <w:ind w:left="720"/>
        <w:rPr>
          <w:rFonts w:ascii="Calibri" w:hAnsi="Calibri" w:cs="Calibri"/>
          <w:i/>
          <w:iCs/>
          <w:sz w:val="22"/>
          <w:szCs w:val="22"/>
        </w:rPr>
      </w:pPr>
    </w:p>
    <w:p w14:paraId="30C61ECA" w14:textId="73CC773A" w:rsidR="00166DCD" w:rsidRDefault="002E7E35" w:rsidP="00ED0485">
      <w:pPr>
        <w:widowControl w:val="0"/>
        <w:autoSpaceDE w:val="0"/>
        <w:autoSpaceDN w:val="0"/>
        <w:adjustRightInd w:val="0"/>
        <w:ind w:left="720"/>
        <w:rPr>
          <w:rFonts w:ascii="Calibri" w:hAnsi="Calibri" w:cs="Calibri"/>
          <w:sz w:val="22"/>
          <w:szCs w:val="22"/>
        </w:rPr>
      </w:pPr>
      <w:r>
        <w:rPr>
          <w:rFonts w:ascii="Calibri" w:hAnsi="Calibri" w:cs="Calibri"/>
          <w:i/>
          <w:iCs/>
          <w:sz w:val="22"/>
          <w:szCs w:val="22"/>
        </w:rPr>
        <w:t xml:space="preserve">Note </w:t>
      </w:r>
      <w:r w:rsidR="007C7314">
        <w:rPr>
          <w:rFonts w:ascii="Calibri" w:hAnsi="Calibri" w:cs="Calibri"/>
          <w:i/>
          <w:iCs/>
          <w:sz w:val="22"/>
          <w:szCs w:val="22"/>
        </w:rPr>
        <w:t>2</w:t>
      </w:r>
      <w:r>
        <w:rPr>
          <w:rFonts w:ascii="Calibri" w:hAnsi="Calibri" w:cs="Calibri"/>
          <w:i/>
          <w:iCs/>
          <w:sz w:val="22"/>
          <w:szCs w:val="22"/>
        </w:rPr>
        <w:t xml:space="preserve">. </w:t>
      </w:r>
      <w:r w:rsidR="00166DCD" w:rsidRPr="00166DCD">
        <w:rPr>
          <w:rFonts w:ascii="Calibri" w:hAnsi="Calibri" w:cs="Calibri"/>
          <w:i/>
          <w:iCs/>
          <w:sz w:val="22"/>
          <w:szCs w:val="22"/>
        </w:rPr>
        <w:t>Competition is closely related to the idea of consumer choice.  In fact, competition and consumer choice can be seen as two parts of the same whole, since both touch providers and consumers of service</w:t>
      </w:r>
      <w:r w:rsidR="00A015A9">
        <w:rPr>
          <w:rFonts w:ascii="Calibri" w:hAnsi="Calibri" w:cs="Calibri"/>
          <w:i/>
          <w:iCs/>
          <w:sz w:val="22"/>
          <w:szCs w:val="22"/>
        </w:rPr>
        <w:t>s</w:t>
      </w:r>
      <w:r w:rsidR="00166DCD" w:rsidRPr="00166DCD">
        <w:rPr>
          <w:rFonts w:ascii="Calibri" w:hAnsi="Calibri" w:cs="Calibri"/>
          <w:i/>
          <w:iCs/>
          <w:sz w:val="22"/>
          <w:szCs w:val="22"/>
        </w:rPr>
        <w:t xml:space="preserve">.  All stakeholders </w:t>
      </w:r>
      <w:r w:rsidR="004B4383">
        <w:rPr>
          <w:rFonts w:ascii="Calibri" w:hAnsi="Calibri" w:cs="Calibri"/>
          <w:i/>
          <w:iCs/>
          <w:sz w:val="22"/>
          <w:szCs w:val="22"/>
        </w:rPr>
        <w:t xml:space="preserve">should </w:t>
      </w:r>
      <w:r w:rsidR="00166DCD" w:rsidRPr="00166DCD">
        <w:rPr>
          <w:rFonts w:ascii="Calibri" w:hAnsi="Calibri" w:cs="Calibri"/>
          <w:i/>
          <w:iCs/>
          <w:sz w:val="22"/>
          <w:szCs w:val="22"/>
        </w:rPr>
        <w:t>have an interest in providing choice and in avoiding monopoly in order to create an open and informed market for all participants.  </w:t>
      </w:r>
    </w:p>
    <w:p w14:paraId="6C03DADF" w14:textId="77777777" w:rsidR="00503D46" w:rsidRDefault="00503D46" w:rsidP="00ED0485">
      <w:pPr>
        <w:widowControl w:val="0"/>
        <w:autoSpaceDE w:val="0"/>
        <w:autoSpaceDN w:val="0"/>
        <w:adjustRightInd w:val="0"/>
        <w:rPr>
          <w:rFonts w:ascii="Calibri" w:hAnsi="Calibri" w:cs="Calibri"/>
          <w:b/>
          <w:sz w:val="22"/>
          <w:szCs w:val="22"/>
        </w:rPr>
      </w:pPr>
    </w:p>
    <w:p w14:paraId="5C45D4D9" w14:textId="337C0D14" w:rsidR="00BE1189" w:rsidRPr="002E7E35" w:rsidRDefault="007C7314" w:rsidP="00D966AB">
      <w:pPr>
        <w:widowControl w:val="0"/>
        <w:autoSpaceDE w:val="0"/>
        <w:autoSpaceDN w:val="0"/>
        <w:adjustRightInd w:val="0"/>
        <w:ind w:left="720"/>
        <w:rPr>
          <w:rFonts w:ascii="Calibri" w:hAnsi="Calibri" w:cs="Calibri"/>
          <w:i/>
          <w:sz w:val="22"/>
          <w:szCs w:val="22"/>
        </w:rPr>
      </w:pPr>
      <w:r>
        <w:rPr>
          <w:rFonts w:ascii="Calibri" w:hAnsi="Calibri" w:cs="Calibri"/>
          <w:i/>
          <w:sz w:val="22"/>
          <w:szCs w:val="22"/>
        </w:rPr>
        <w:t>Note 3</w:t>
      </w:r>
      <w:r w:rsidR="002E7E35" w:rsidRPr="002E7E35">
        <w:rPr>
          <w:rFonts w:ascii="Calibri" w:hAnsi="Calibri" w:cs="Calibri"/>
          <w:i/>
          <w:sz w:val="22"/>
          <w:szCs w:val="22"/>
        </w:rPr>
        <w:t xml:space="preserve">.  </w:t>
      </w:r>
      <w:r w:rsidR="008C345B">
        <w:rPr>
          <w:rFonts w:ascii="Calibri" w:hAnsi="Calibri" w:cs="Calibri"/>
          <w:i/>
          <w:sz w:val="22"/>
          <w:szCs w:val="22"/>
        </w:rPr>
        <w:t>A minority of</w:t>
      </w:r>
      <w:r w:rsidR="00BE1189" w:rsidRPr="002E7E35">
        <w:rPr>
          <w:rFonts w:ascii="Calibri" w:hAnsi="Calibri" w:cs="Calibri"/>
          <w:i/>
          <w:sz w:val="22"/>
          <w:szCs w:val="22"/>
        </w:rPr>
        <w:t xml:space="preserve"> WG members </w:t>
      </w:r>
      <w:r w:rsidR="002E7E35" w:rsidRPr="002E7E35">
        <w:rPr>
          <w:rFonts w:ascii="Calibri" w:hAnsi="Calibri" w:cs="Calibri"/>
          <w:i/>
          <w:sz w:val="22"/>
          <w:szCs w:val="22"/>
        </w:rPr>
        <w:t xml:space="preserve">objected to the </w:t>
      </w:r>
      <w:r w:rsidR="00BE1189" w:rsidRPr="002E7E35">
        <w:rPr>
          <w:rFonts w:ascii="Calibri" w:hAnsi="Calibri" w:cs="Calibri"/>
          <w:i/>
          <w:sz w:val="22"/>
          <w:szCs w:val="22"/>
        </w:rPr>
        <w:t xml:space="preserve">inclusion of “national laws” in the definition of Consumer Trust.   </w:t>
      </w:r>
      <w:r w:rsidR="002E7E35" w:rsidRPr="002E7E35">
        <w:rPr>
          <w:rFonts w:ascii="Calibri" w:hAnsi="Calibri" w:cs="Calibri"/>
          <w:i/>
          <w:sz w:val="22"/>
          <w:szCs w:val="22"/>
        </w:rPr>
        <w:t xml:space="preserve">Advocates of including the term </w:t>
      </w:r>
      <w:r w:rsidR="008C345B">
        <w:rPr>
          <w:rFonts w:ascii="Calibri" w:hAnsi="Calibri" w:cs="Calibri"/>
          <w:i/>
          <w:sz w:val="22"/>
          <w:szCs w:val="22"/>
        </w:rPr>
        <w:t>argued</w:t>
      </w:r>
      <w:r w:rsidR="002E7E35" w:rsidRPr="002E7E35">
        <w:rPr>
          <w:rFonts w:ascii="Calibri" w:hAnsi="Calibri" w:cs="Calibri"/>
          <w:i/>
          <w:sz w:val="22"/>
          <w:szCs w:val="22"/>
        </w:rPr>
        <w:t xml:space="preserve"> that </w:t>
      </w:r>
      <w:r w:rsidR="00BE1189" w:rsidRPr="002E7E35">
        <w:rPr>
          <w:rFonts w:ascii="Calibri" w:hAnsi="Calibri" w:cs="Calibri"/>
          <w:i/>
          <w:sz w:val="22"/>
          <w:szCs w:val="22"/>
        </w:rPr>
        <w:t>governments and the GAC</w:t>
      </w:r>
      <w:r w:rsidR="002E7E35" w:rsidRPr="002E7E35">
        <w:rPr>
          <w:rFonts w:ascii="Calibri" w:hAnsi="Calibri" w:cs="Calibri"/>
          <w:i/>
          <w:sz w:val="22"/>
          <w:szCs w:val="22"/>
        </w:rPr>
        <w:t xml:space="preserve"> </w:t>
      </w:r>
      <w:r w:rsidR="002E7E35">
        <w:rPr>
          <w:rFonts w:ascii="Calibri" w:hAnsi="Calibri" w:cs="Calibri"/>
          <w:i/>
          <w:sz w:val="22"/>
          <w:szCs w:val="22"/>
        </w:rPr>
        <w:t>expect</w:t>
      </w:r>
      <w:r w:rsidR="002E7E35" w:rsidRPr="002E7E35">
        <w:rPr>
          <w:rFonts w:ascii="Calibri" w:hAnsi="Calibri" w:cs="Calibri"/>
          <w:i/>
          <w:sz w:val="22"/>
          <w:szCs w:val="22"/>
        </w:rPr>
        <w:t xml:space="preserve"> ICANN </w:t>
      </w:r>
      <w:r w:rsidR="002E7E35">
        <w:rPr>
          <w:rFonts w:ascii="Calibri" w:hAnsi="Calibri" w:cs="Calibri"/>
          <w:i/>
          <w:sz w:val="22"/>
          <w:szCs w:val="22"/>
        </w:rPr>
        <w:t xml:space="preserve">and its contract parties to respect applicable national laws, citing several of </w:t>
      </w:r>
      <w:r w:rsidR="00BE1189" w:rsidRPr="002E7E35">
        <w:rPr>
          <w:rFonts w:ascii="Calibri" w:hAnsi="Calibri" w:cs="Calibri"/>
          <w:i/>
          <w:sz w:val="22"/>
          <w:szCs w:val="22"/>
        </w:rPr>
        <w:t>ICANN</w:t>
      </w:r>
      <w:r w:rsidR="002E7E35">
        <w:rPr>
          <w:rFonts w:ascii="Calibri" w:hAnsi="Calibri" w:cs="Calibri"/>
          <w:i/>
          <w:sz w:val="22"/>
          <w:szCs w:val="22"/>
        </w:rPr>
        <w:t>’s foundational documents:</w:t>
      </w:r>
    </w:p>
    <w:p w14:paraId="7E036F41" w14:textId="77777777" w:rsidR="00BE1189" w:rsidRPr="002E7E35" w:rsidRDefault="00BE1189" w:rsidP="00625E4B">
      <w:pPr>
        <w:widowControl w:val="0"/>
        <w:numPr>
          <w:ilvl w:val="0"/>
          <w:numId w:val="1"/>
        </w:numPr>
        <w:autoSpaceDE w:val="0"/>
        <w:autoSpaceDN w:val="0"/>
        <w:adjustRightInd w:val="0"/>
        <w:spacing w:before="120"/>
        <w:ind w:left="1440"/>
        <w:rPr>
          <w:rFonts w:ascii="Calibri" w:hAnsi="Calibri" w:cs="Calibri"/>
          <w:i/>
          <w:sz w:val="22"/>
          <w:szCs w:val="22"/>
        </w:rPr>
      </w:pPr>
      <w:r w:rsidRPr="002E7E35">
        <w:rPr>
          <w:rFonts w:ascii="Calibri" w:hAnsi="Calibri" w:cs="Calibri"/>
          <w:i/>
          <w:sz w:val="22"/>
          <w:szCs w:val="22"/>
        </w:rPr>
        <w:t>Articles of Incorporation: “The Corporation shall operate for the benefit of the Internet community as a whole, carrying out its activities in conformity with relevant principles of international law and applicable international conventions and local law"</w:t>
      </w:r>
    </w:p>
    <w:p w14:paraId="64D01C6D" w14:textId="77777777" w:rsidR="00BE1189" w:rsidRPr="002E7E35" w:rsidRDefault="00BE1189" w:rsidP="00625E4B">
      <w:pPr>
        <w:widowControl w:val="0"/>
        <w:numPr>
          <w:ilvl w:val="0"/>
          <w:numId w:val="1"/>
        </w:numPr>
        <w:autoSpaceDE w:val="0"/>
        <w:autoSpaceDN w:val="0"/>
        <w:adjustRightInd w:val="0"/>
        <w:spacing w:before="120"/>
        <w:ind w:left="1440"/>
        <w:rPr>
          <w:rFonts w:ascii="Calibri" w:hAnsi="Calibri" w:cs="Calibri"/>
          <w:i/>
          <w:sz w:val="22"/>
          <w:szCs w:val="22"/>
        </w:rPr>
      </w:pPr>
      <w:r w:rsidRPr="002E7E35">
        <w:rPr>
          <w:rFonts w:ascii="Calibri" w:hAnsi="Calibri" w:cs="Calibri"/>
          <w:i/>
          <w:sz w:val="22"/>
          <w:szCs w:val="22"/>
        </w:rPr>
        <w:lastRenderedPageBreak/>
        <w:t>Applicant Guidebook:  “National Law” is cited as potential basis for Government objections, GAC Early Warning, and/or GAC advice</w:t>
      </w:r>
    </w:p>
    <w:p w14:paraId="1EDF7FB4" w14:textId="77777777" w:rsidR="00BE1189" w:rsidRPr="002E7E35" w:rsidRDefault="00BE1189" w:rsidP="00625E4B">
      <w:pPr>
        <w:widowControl w:val="0"/>
        <w:numPr>
          <w:ilvl w:val="0"/>
          <w:numId w:val="1"/>
        </w:numPr>
        <w:autoSpaceDE w:val="0"/>
        <w:autoSpaceDN w:val="0"/>
        <w:adjustRightInd w:val="0"/>
        <w:spacing w:before="120"/>
        <w:ind w:left="1440"/>
        <w:rPr>
          <w:rFonts w:ascii="Calibri" w:hAnsi="Calibri" w:cs="Calibri"/>
          <w:i/>
          <w:sz w:val="22"/>
          <w:szCs w:val="22"/>
        </w:rPr>
      </w:pPr>
      <w:r w:rsidRPr="002E7E35">
        <w:rPr>
          <w:rFonts w:ascii="Calibri" w:hAnsi="Calibri" w:cs="Calibri"/>
          <w:i/>
          <w:sz w:val="22"/>
          <w:szCs w:val="22"/>
        </w:rPr>
        <w:t>Affirmation of Commitments:  “9.3.1 ICANN additionally commits to enforcing its existing policy relating to WHOIS, subject to applicable laws”</w:t>
      </w:r>
    </w:p>
    <w:p w14:paraId="7F32EAC3" w14:textId="77777777" w:rsidR="00BE1189" w:rsidRPr="002E7E35" w:rsidRDefault="00BE1189" w:rsidP="00625E4B">
      <w:pPr>
        <w:widowControl w:val="0"/>
        <w:numPr>
          <w:ilvl w:val="0"/>
          <w:numId w:val="1"/>
        </w:numPr>
        <w:autoSpaceDE w:val="0"/>
        <w:autoSpaceDN w:val="0"/>
        <w:adjustRightInd w:val="0"/>
        <w:spacing w:before="120"/>
        <w:ind w:left="1440"/>
        <w:rPr>
          <w:rFonts w:ascii="Calibri" w:hAnsi="Calibri" w:cs="Calibri"/>
          <w:i/>
          <w:sz w:val="22"/>
          <w:szCs w:val="22"/>
        </w:rPr>
      </w:pPr>
      <w:r w:rsidRPr="002E7E35">
        <w:rPr>
          <w:rFonts w:ascii="Calibri" w:hAnsi="Calibri" w:cs="Calibri"/>
          <w:i/>
          <w:sz w:val="22"/>
          <w:szCs w:val="22"/>
        </w:rPr>
        <w:t xml:space="preserve">Bylaws: regarding </w:t>
      </w:r>
      <w:proofErr w:type="spellStart"/>
      <w:r w:rsidRPr="002E7E35">
        <w:rPr>
          <w:rFonts w:ascii="Calibri" w:hAnsi="Calibri" w:cs="Calibri"/>
          <w:i/>
          <w:sz w:val="22"/>
          <w:szCs w:val="22"/>
        </w:rPr>
        <w:t>ccTLDs</w:t>
      </w:r>
      <w:proofErr w:type="spellEnd"/>
      <w:r w:rsidRPr="002E7E35">
        <w:rPr>
          <w:rFonts w:ascii="Calibri" w:hAnsi="Calibri" w:cs="Calibri"/>
          <w:i/>
          <w:sz w:val="22"/>
          <w:szCs w:val="22"/>
        </w:rPr>
        <w:t xml:space="preserve">: “provided that such policies do not conflict with the law applicable to the </w:t>
      </w:r>
      <w:proofErr w:type="spellStart"/>
      <w:r w:rsidRPr="002E7E35">
        <w:rPr>
          <w:rFonts w:ascii="Calibri" w:hAnsi="Calibri" w:cs="Calibri"/>
          <w:i/>
          <w:sz w:val="22"/>
          <w:szCs w:val="22"/>
        </w:rPr>
        <w:t>ccTLD</w:t>
      </w:r>
      <w:proofErr w:type="spellEnd"/>
      <w:r w:rsidRPr="002E7E35">
        <w:rPr>
          <w:rFonts w:ascii="Calibri" w:hAnsi="Calibri" w:cs="Calibri"/>
          <w:i/>
          <w:sz w:val="22"/>
          <w:szCs w:val="22"/>
        </w:rPr>
        <w:t xml:space="preserve"> manager”</w:t>
      </w:r>
    </w:p>
    <w:p w14:paraId="5F653AE4" w14:textId="77777777" w:rsidR="00BE1189" w:rsidRPr="002E7E35" w:rsidRDefault="00BE1189" w:rsidP="00ED0485">
      <w:pPr>
        <w:widowControl w:val="0"/>
        <w:autoSpaceDE w:val="0"/>
        <w:autoSpaceDN w:val="0"/>
        <w:adjustRightInd w:val="0"/>
        <w:ind w:left="720"/>
        <w:rPr>
          <w:rFonts w:ascii="Calibri" w:hAnsi="Calibri" w:cs="Calibri"/>
          <w:i/>
          <w:sz w:val="22"/>
          <w:szCs w:val="22"/>
        </w:rPr>
      </w:pPr>
    </w:p>
    <w:p w14:paraId="60921399" w14:textId="60CAF9FC" w:rsidR="00BE1189" w:rsidRDefault="002E7E35" w:rsidP="00ED0485">
      <w:pPr>
        <w:widowControl w:val="0"/>
        <w:autoSpaceDE w:val="0"/>
        <w:autoSpaceDN w:val="0"/>
        <w:adjustRightInd w:val="0"/>
        <w:ind w:left="720"/>
        <w:rPr>
          <w:rFonts w:ascii="Calibri" w:hAnsi="Calibri" w:cs="Calibri"/>
          <w:i/>
          <w:sz w:val="22"/>
          <w:szCs w:val="22"/>
        </w:rPr>
      </w:pPr>
      <w:r w:rsidRPr="002E7E35">
        <w:rPr>
          <w:rFonts w:ascii="Calibri" w:hAnsi="Calibri" w:cs="Calibri"/>
          <w:i/>
          <w:sz w:val="22"/>
          <w:szCs w:val="22"/>
        </w:rPr>
        <w:t xml:space="preserve">In addition, </w:t>
      </w:r>
      <w:r>
        <w:rPr>
          <w:rFonts w:ascii="Calibri" w:hAnsi="Calibri" w:cs="Calibri"/>
          <w:i/>
          <w:sz w:val="22"/>
          <w:szCs w:val="22"/>
        </w:rPr>
        <w:t xml:space="preserve">a set of 2011 </w:t>
      </w:r>
      <w:r w:rsidRPr="002E7E35">
        <w:rPr>
          <w:rFonts w:ascii="Calibri" w:hAnsi="Calibri" w:cs="Calibri"/>
          <w:i/>
          <w:sz w:val="22"/>
          <w:szCs w:val="22"/>
        </w:rPr>
        <w:t xml:space="preserve">working papers from the European Commission also cited the importance of national </w:t>
      </w:r>
      <w:proofErr w:type="gramStart"/>
      <w:r w:rsidRPr="002E7E35">
        <w:rPr>
          <w:rFonts w:ascii="Calibri" w:hAnsi="Calibri" w:cs="Calibri"/>
          <w:i/>
          <w:sz w:val="22"/>
          <w:szCs w:val="22"/>
        </w:rPr>
        <w:t>laws,</w:t>
      </w:r>
      <w:proofErr w:type="gramEnd"/>
      <w:r w:rsidRPr="002E7E35">
        <w:rPr>
          <w:rFonts w:ascii="Calibri" w:hAnsi="Calibri" w:cs="Calibri"/>
          <w:i/>
          <w:sz w:val="22"/>
          <w:szCs w:val="22"/>
        </w:rPr>
        <w:t xml:space="preserve"> indicate the political lens through which the new gTLD program will be judged by governments.</w:t>
      </w:r>
    </w:p>
    <w:p w14:paraId="5CEE0D2B" w14:textId="77777777" w:rsidR="00D966AB" w:rsidRDefault="00D966AB" w:rsidP="00ED0485">
      <w:pPr>
        <w:widowControl w:val="0"/>
        <w:autoSpaceDE w:val="0"/>
        <w:autoSpaceDN w:val="0"/>
        <w:adjustRightInd w:val="0"/>
        <w:ind w:left="720"/>
        <w:rPr>
          <w:rFonts w:ascii="Calibri" w:hAnsi="Calibri" w:cs="Calibri"/>
          <w:i/>
          <w:sz w:val="22"/>
          <w:szCs w:val="22"/>
        </w:rPr>
      </w:pPr>
    </w:p>
    <w:p w14:paraId="231A5D57" w14:textId="58D56EDA" w:rsidR="00D966AB" w:rsidRDefault="00D966AB" w:rsidP="00ED0485">
      <w:pPr>
        <w:widowControl w:val="0"/>
        <w:autoSpaceDE w:val="0"/>
        <w:autoSpaceDN w:val="0"/>
        <w:adjustRightInd w:val="0"/>
        <w:ind w:left="720"/>
        <w:rPr>
          <w:rFonts w:ascii="Calibri" w:hAnsi="Calibri" w:cs="Calibri"/>
          <w:i/>
          <w:sz w:val="22"/>
          <w:szCs w:val="22"/>
        </w:rPr>
      </w:pPr>
      <w:r>
        <w:rPr>
          <w:rFonts w:ascii="Calibri" w:hAnsi="Calibri" w:cs="Calibri"/>
          <w:i/>
          <w:sz w:val="22"/>
          <w:szCs w:val="22"/>
        </w:rPr>
        <w:t xml:space="preserve">Note 4.  The definition of Competition looks at all TLDs, not just </w:t>
      </w:r>
      <w:proofErr w:type="spellStart"/>
      <w:r>
        <w:rPr>
          <w:rFonts w:ascii="Calibri" w:hAnsi="Calibri" w:cs="Calibri"/>
          <w:i/>
          <w:sz w:val="22"/>
          <w:szCs w:val="22"/>
        </w:rPr>
        <w:t>gTLDs</w:t>
      </w:r>
      <w:proofErr w:type="spellEnd"/>
      <w:r>
        <w:rPr>
          <w:rFonts w:ascii="Calibri" w:hAnsi="Calibri" w:cs="Calibri"/>
          <w:i/>
          <w:sz w:val="22"/>
          <w:szCs w:val="22"/>
        </w:rPr>
        <w:t xml:space="preserve">.  The working group recognizes that </w:t>
      </w:r>
      <w:proofErr w:type="spellStart"/>
      <w:r>
        <w:rPr>
          <w:rFonts w:ascii="Calibri" w:hAnsi="Calibri" w:cs="Calibri"/>
          <w:i/>
          <w:sz w:val="22"/>
          <w:szCs w:val="22"/>
        </w:rPr>
        <w:t>ccTLDs</w:t>
      </w:r>
      <w:proofErr w:type="spellEnd"/>
      <w:r>
        <w:rPr>
          <w:rFonts w:ascii="Calibri" w:hAnsi="Calibri" w:cs="Calibri"/>
          <w:i/>
          <w:sz w:val="22"/>
          <w:szCs w:val="22"/>
        </w:rPr>
        <w:t xml:space="preserve"> are competitors to </w:t>
      </w:r>
      <w:proofErr w:type="spellStart"/>
      <w:r>
        <w:rPr>
          <w:rFonts w:ascii="Calibri" w:hAnsi="Calibri" w:cs="Calibri"/>
          <w:i/>
          <w:sz w:val="22"/>
          <w:szCs w:val="22"/>
        </w:rPr>
        <w:t>gTLDs</w:t>
      </w:r>
      <w:proofErr w:type="spellEnd"/>
      <w:r>
        <w:rPr>
          <w:rFonts w:ascii="Calibri" w:hAnsi="Calibri" w:cs="Calibri"/>
          <w:i/>
          <w:sz w:val="22"/>
          <w:szCs w:val="22"/>
        </w:rPr>
        <w:t xml:space="preserve">, particularly where the </w:t>
      </w:r>
      <w:proofErr w:type="spellStart"/>
      <w:r>
        <w:rPr>
          <w:rFonts w:ascii="Calibri" w:hAnsi="Calibri" w:cs="Calibri"/>
          <w:i/>
          <w:sz w:val="22"/>
          <w:szCs w:val="22"/>
        </w:rPr>
        <w:t>ccTLD</w:t>
      </w:r>
      <w:proofErr w:type="spellEnd"/>
      <w:r>
        <w:rPr>
          <w:rFonts w:ascii="Calibri" w:hAnsi="Calibri" w:cs="Calibri"/>
          <w:i/>
          <w:sz w:val="22"/>
          <w:szCs w:val="22"/>
        </w:rPr>
        <w:t xml:space="preserve"> is marketed to registrants around the world (e.g. .me and .</w:t>
      </w:r>
      <w:proofErr w:type="gramStart"/>
      <w:r>
        <w:rPr>
          <w:rFonts w:ascii="Calibri" w:hAnsi="Calibri" w:cs="Calibri"/>
          <w:i/>
          <w:sz w:val="22"/>
          <w:szCs w:val="22"/>
        </w:rPr>
        <w:t>co )</w:t>
      </w:r>
      <w:proofErr w:type="gramEnd"/>
      <w:r>
        <w:rPr>
          <w:rFonts w:ascii="Calibri" w:hAnsi="Calibri" w:cs="Calibri"/>
          <w:i/>
          <w:sz w:val="22"/>
          <w:szCs w:val="22"/>
        </w:rPr>
        <w:t>.</w:t>
      </w:r>
    </w:p>
    <w:p w14:paraId="26C7E556" w14:textId="77777777" w:rsidR="00343FD0" w:rsidRDefault="00343FD0" w:rsidP="00343FD0">
      <w:pPr>
        <w:rPr>
          <w:rFonts w:ascii="Calibri" w:hAnsi="Calibri" w:cs="Calibri"/>
          <w:b/>
          <w:sz w:val="22"/>
          <w:szCs w:val="22"/>
        </w:rPr>
      </w:pPr>
    </w:p>
    <w:p w14:paraId="411A61A8" w14:textId="77777777" w:rsidR="00E55ECE" w:rsidRDefault="00E55ECE">
      <w:pPr>
        <w:rPr>
          <w:rFonts w:ascii="Calibri" w:hAnsi="Calibri" w:cs="Calibri"/>
          <w:b/>
          <w:sz w:val="22"/>
          <w:szCs w:val="22"/>
        </w:rPr>
      </w:pPr>
      <w:r>
        <w:rPr>
          <w:rFonts w:ascii="Calibri" w:hAnsi="Calibri" w:cs="Calibri"/>
          <w:b/>
          <w:sz w:val="22"/>
          <w:szCs w:val="22"/>
        </w:rPr>
        <w:br w:type="page"/>
      </w:r>
    </w:p>
    <w:p w14:paraId="41260E3F" w14:textId="5889FF77" w:rsidR="003B3E2A" w:rsidRPr="00AC4FF1" w:rsidRDefault="005026D1" w:rsidP="00343FD0">
      <w:pPr>
        <w:rPr>
          <w:rFonts w:ascii="Calibri" w:hAnsi="Calibri" w:cs="Calibri"/>
          <w:b/>
          <w:sz w:val="22"/>
          <w:szCs w:val="22"/>
        </w:rPr>
      </w:pPr>
      <w:r>
        <w:rPr>
          <w:rFonts w:ascii="Calibri" w:hAnsi="Calibri" w:cs="Calibri"/>
          <w:b/>
          <w:sz w:val="22"/>
          <w:szCs w:val="22"/>
        </w:rPr>
        <w:lastRenderedPageBreak/>
        <w:t xml:space="preserve">Advice on </w:t>
      </w:r>
      <w:r w:rsidR="0070200A" w:rsidRPr="00AC4FF1">
        <w:rPr>
          <w:rFonts w:ascii="Calibri" w:hAnsi="Calibri" w:cs="Calibri"/>
          <w:b/>
          <w:sz w:val="22"/>
          <w:szCs w:val="22"/>
        </w:rPr>
        <w:t>Measures</w:t>
      </w:r>
      <w:r>
        <w:rPr>
          <w:rFonts w:ascii="Calibri" w:hAnsi="Calibri" w:cs="Calibri"/>
          <w:b/>
          <w:sz w:val="22"/>
          <w:szCs w:val="22"/>
        </w:rPr>
        <w:t xml:space="preserve"> </w:t>
      </w:r>
      <w:r w:rsidR="004B4383">
        <w:rPr>
          <w:rFonts w:ascii="Calibri" w:hAnsi="Calibri" w:cs="Calibri"/>
          <w:b/>
          <w:sz w:val="22"/>
          <w:szCs w:val="22"/>
        </w:rPr>
        <w:t xml:space="preserve">and 3-Year Targets </w:t>
      </w:r>
      <w:r>
        <w:rPr>
          <w:rFonts w:ascii="Calibri" w:hAnsi="Calibri" w:cs="Calibri"/>
          <w:b/>
          <w:sz w:val="22"/>
          <w:szCs w:val="22"/>
        </w:rPr>
        <w:t>for Defined Terms</w:t>
      </w:r>
    </w:p>
    <w:p w14:paraId="5CD93AE0" w14:textId="77777777" w:rsidR="0070200A" w:rsidRDefault="0070200A" w:rsidP="00D00805">
      <w:pPr>
        <w:widowControl w:val="0"/>
        <w:autoSpaceDE w:val="0"/>
        <w:autoSpaceDN w:val="0"/>
        <w:adjustRightInd w:val="0"/>
        <w:rPr>
          <w:rFonts w:ascii="Calibri" w:hAnsi="Calibri" w:cs="Calibri"/>
          <w:sz w:val="22"/>
          <w:szCs w:val="22"/>
        </w:rPr>
      </w:pPr>
    </w:p>
    <w:p w14:paraId="159D51ED" w14:textId="69349C98" w:rsidR="00ED0485" w:rsidRDefault="007F4A74" w:rsidP="00D00805">
      <w:pPr>
        <w:widowControl w:val="0"/>
        <w:autoSpaceDE w:val="0"/>
        <w:autoSpaceDN w:val="0"/>
        <w:adjustRightInd w:val="0"/>
        <w:rPr>
          <w:rFonts w:ascii="Calibri" w:hAnsi="Calibri" w:cs="Calibri"/>
          <w:sz w:val="22"/>
          <w:szCs w:val="22"/>
        </w:rPr>
      </w:pPr>
      <w:r>
        <w:rPr>
          <w:rFonts w:ascii="Calibri" w:hAnsi="Calibri" w:cs="Calibri"/>
          <w:sz w:val="22"/>
          <w:szCs w:val="22"/>
        </w:rPr>
        <w:t>The board resolution requests advice on measures for each of the three defined terms.   Below are the working group’s recom</w:t>
      </w:r>
      <w:r w:rsidR="00553269">
        <w:rPr>
          <w:rFonts w:ascii="Calibri" w:hAnsi="Calibri" w:cs="Calibri"/>
          <w:sz w:val="22"/>
          <w:szCs w:val="22"/>
        </w:rPr>
        <w:t>mended measures, including columns indicating ICANN staff assessment of difficulty in obtaining and reporting each measure, along with the source of data.</w:t>
      </w:r>
    </w:p>
    <w:p w14:paraId="76C11AF8" w14:textId="77777777" w:rsidR="00553269" w:rsidRDefault="00553269" w:rsidP="00D00805">
      <w:pPr>
        <w:widowControl w:val="0"/>
        <w:autoSpaceDE w:val="0"/>
        <w:autoSpaceDN w:val="0"/>
        <w:adjustRightInd w:val="0"/>
        <w:rPr>
          <w:rFonts w:ascii="Calibri" w:hAnsi="Calibri" w:cs="Calibri"/>
          <w:sz w:val="22"/>
          <w:szCs w:val="22"/>
        </w:rPr>
      </w:pPr>
    </w:p>
    <w:p w14:paraId="1F33CA43" w14:textId="796A1EEA" w:rsidR="007516A3" w:rsidRDefault="007516A3" w:rsidP="007516A3">
      <w:pPr>
        <w:widowControl w:val="0"/>
        <w:autoSpaceDE w:val="0"/>
        <w:autoSpaceDN w:val="0"/>
        <w:adjustRightInd w:val="0"/>
        <w:rPr>
          <w:rFonts w:ascii="Calibri" w:hAnsi="Calibri" w:cs="Calibri"/>
          <w:sz w:val="22"/>
          <w:szCs w:val="22"/>
        </w:rPr>
      </w:pPr>
      <w:r>
        <w:rPr>
          <w:rFonts w:ascii="Calibri" w:hAnsi="Calibri" w:cs="Calibri"/>
          <w:sz w:val="22"/>
          <w:szCs w:val="22"/>
        </w:rPr>
        <w:t xml:space="preserve">The Board resolution </w:t>
      </w:r>
      <w:r w:rsidR="004B4383">
        <w:rPr>
          <w:rFonts w:ascii="Calibri" w:hAnsi="Calibri" w:cs="Calibri"/>
          <w:sz w:val="22"/>
          <w:szCs w:val="22"/>
        </w:rPr>
        <w:t xml:space="preserve">also </w:t>
      </w:r>
      <w:r>
        <w:rPr>
          <w:rFonts w:ascii="Calibri" w:hAnsi="Calibri" w:cs="Calibri"/>
          <w:sz w:val="22"/>
          <w:szCs w:val="22"/>
        </w:rPr>
        <w:t>requested advice on 3-year targets for these measures.   For some measures, an appropriate target would be an improvement on performance in the pre-expansion gTLD space.   For other measures, such as URS complaints, there is no equivalent data in the pre-expansion gTLD environment.</w:t>
      </w:r>
    </w:p>
    <w:p w14:paraId="20E323F0" w14:textId="77777777" w:rsidR="007516A3" w:rsidRDefault="007516A3" w:rsidP="007516A3">
      <w:pPr>
        <w:widowControl w:val="0"/>
        <w:autoSpaceDE w:val="0"/>
        <w:autoSpaceDN w:val="0"/>
        <w:adjustRightInd w:val="0"/>
        <w:rPr>
          <w:rFonts w:ascii="Calibri" w:hAnsi="Calibri" w:cs="Calibri"/>
          <w:sz w:val="22"/>
          <w:szCs w:val="22"/>
        </w:rPr>
      </w:pPr>
    </w:p>
    <w:p w14:paraId="44E67F7C" w14:textId="77777777" w:rsidR="007516A3" w:rsidRDefault="007516A3" w:rsidP="007516A3">
      <w:pPr>
        <w:widowControl w:val="0"/>
        <w:autoSpaceDE w:val="0"/>
        <w:autoSpaceDN w:val="0"/>
        <w:adjustRightInd w:val="0"/>
        <w:rPr>
          <w:rFonts w:ascii="Calibri" w:hAnsi="Calibri" w:cs="Calibri"/>
          <w:sz w:val="22"/>
          <w:szCs w:val="22"/>
        </w:rPr>
      </w:pPr>
      <w:r>
        <w:rPr>
          <w:rFonts w:ascii="Calibri" w:hAnsi="Calibri" w:cs="Calibri"/>
          <w:sz w:val="22"/>
          <w:szCs w:val="22"/>
        </w:rPr>
        <w:t>The Working Group asked ICANN staff to identify baseline values for any measure that applies to the pre-expansion gTLD space, so that future targets could be stated in terms of improvements relative to present performance.</w:t>
      </w:r>
    </w:p>
    <w:p w14:paraId="59B594F5" w14:textId="77777777" w:rsidR="007516A3" w:rsidRDefault="007516A3" w:rsidP="007516A3">
      <w:pPr>
        <w:widowControl w:val="0"/>
        <w:autoSpaceDE w:val="0"/>
        <w:autoSpaceDN w:val="0"/>
        <w:adjustRightInd w:val="0"/>
        <w:rPr>
          <w:rFonts w:ascii="Calibri" w:hAnsi="Calibri" w:cs="Calibri"/>
          <w:sz w:val="22"/>
          <w:szCs w:val="22"/>
        </w:rPr>
      </w:pPr>
    </w:p>
    <w:p w14:paraId="26205DD6" w14:textId="77777777" w:rsidR="007516A3" w:rsidRDefault="007516A3" w:rsidP="007516A3">
      <w:pPr>
        <w:widowControl w:val="0"/>
        <w:autoSpaceDE w:val="0"/>
        <w:autoSpaceDN w:val="0"/>
        <w:adjustRightInd w:val="0"/>
        <w:rPr>
          <w:rFonts w:ascii="Calibri" w:hAnsi="Calibri" w:cs="Calibri"/>
          <w:sz w:val="22"/>
          <w:szCs w:val="22"/>
        </w:rPr>
      </w:pPr>
      <w:r>
        <w:rPr>
          <w:rFonts w:ascii="Calibri" w:hAnsi="Calibri" w:cs="Calibri"/>
          <w:sz w:val="22"/>
          <w:szCs w:val="22"/>
        </w:rPr>
        <w:t xml:space="preserve">For example, a 3-year target for UDRP Complaints in new </w:t>
      </w:r>
      <w:proofErr w:type="spellStart"/>
      <w:r>
        <w:rPr>
          <w:rFonts w:ascii="Calibri" w:hAnsi="Calibri" w:cs="Calibri"/>
          <w:sz w:val="22"/>
          <w:szCs w:val="22"/>
        </w:rPr>
        <w:t>gTLDs</w:t>
      </w:r>
      <w:proofErr w:type="spellEnd"/>
      <w:r>
        <w:rPr>
          <w:rFonts w:ascii="Calibri" w:hAnsi="Calibri" w:cs="Calibri"/>
          <w:sz w:val="22"/>
          <w:szCs w:val="22"/>
        </w:rPr>
        <w:t xml:space="preserve"> could be any of these:</w:t>
      </w:r>
    </w:p>
    <w:p w14:paraId="42BCA49F" w14:textId="77777777" w:rsidR="007516A3" w:rsidRDefault="007516A3" w:rsidP="007516A3">
      <w:pPr>
        <w:widowControl w:val="0"/>
        <w:autoSpaceDE w:val="0"/>
        <w:autoSpaceDN w:val="0"/>
        <w:adjustRightInd w:val="0"/>
        <w:rPr>
          <w:rFonts w:ascii="Calibri" w:hAnsi="Calibri" w:cs="Calibri"/>
          <w:sz w:val="22"/>
          <w:szCs w:val="22"/>
        </w:rPr>
      </w:pPr>
    </w:p>
    <w:tbl>
      <w:tblPr>
        <w:tblStyle w:val="TableGrid"/>
        <w:tblW w:w="0" w:type="auto"/>
        <w:tblInd w:w="468" w:type="dxa"/>
        <w:tblLook w:val="04A0" w:firstRow="1" w:lastRow="0" w:firstColumn="1" w:lastColumn="0" w:noHBand="0" w:noVBand="1"/>
      </w:tblPr>
      <w:tblGrid>
        <w:gridCol w:w="2700"/>
        <w:gridCol w:w="5688"/>
      </w:tblGrid>
      <w:tr w:rsidR="007516A3" w:rsidRPr="00A36343" w14:paraId="25416F53" w14:textId="77777777" w:rsidTr="00E267B5">
        <w:tc>
          <w:tcPr>
            <w:tcW w:w="2700" w:type="dxa"/>
          </w:tcPr>
          <w:p w14:paraId="5A044559" w14:textId="77777777" w:rsidR="007516A3" w:rsidRPr="00A36343" w:rsidRDefault="007516A3" w:rsidP="00E267B5">
            <w:pPr>
              <w:widowControl w:val="0"/>
              <w:autoSpaceDE w:val="0"/>
              <w:autoSpaceDN w:val="0"/>
              <w:adjustRightInd w:val="0"/>
              <w:rPr>
                <w:rFonts w:ascii="Calibri" w:hAnsi="Calibri" w:cs="Calibri"/>
                <w:sz w:val="20"/>
                <w:szCs w:val="22"/>
              </w:rPr>
            </w:pPr>
            <w:r w:rsidRPr="00A36343">
              <w:rPr>
                <w:rFonts w:ascii="Calibri" w:hAnsi="Calibri" w:cs="Calibri"/>
                <w:sz w:val="20"/>
                <w:szCs w:val="22"/>
              </w:rPr>
              <w:t>Type of Target</w:t>
            </w:r>
          </w:p>
        </w:tc>
        <w:tc>
          <w:tcPr>
            <w:tcW w:w="5688" w:type="dxa"/>
          </w:tcPr>
          <w:p w14:paraId="70E53C26" w14:textId="77777777" w:rsidR="007516A3" w:rsidRPr="00A36343" w:rsidRDefault="007516A3" w:rsidP="00E267B5">
            <w:pPr>
              <w:widowControl w:val="0"/>
              <w:autoSpaceDE w:val="0"/>
              <w:autoSpaceDN w:val="0"/>
              <w:adjustRightInd w:val="0"/>
              <w:rPr>
                <w:rFonts w:ascii="Calibri" w:hAnsi="Calibri" w:cs="Calibri"/>
                <w:sz w:val="20"/>
                <w:szCs w:val="22"/>
              </w:rPr>
            </w:pPr>
            <w:r w:rsidRPr="00A36343">
              <w:rPr>
                <w:rFonts w:ascii="Calibri" w:hAnsi="Calibri" w:cs="Calibri"/>
                <w:sz w:val="20"/>
                <w:szCs w:val="22"/>
              </w:rPr>
              <w:t>Example of target for UDRP complaints</w:t>
            </w:r>
          </w:p>
        </w:tc>
      </w:tr>
      <w:tr w:rsidR="007516A3" w:rsidRPr="00A36343" w14:paraId="166543CA" w14:textId="77777777" w:rsidTr="00E267B5">
        <w:tc>
          <w:tcPr>
            <w:tcW w:w="2700" w:type="dxa"/>
          </w:tcPr>
          <w:p w14:paraId="5A587DD2" w14:textId="77777777" w:rsidR="007516A3" w:rsidRPr="00A36343" w:rsidRDefault="007516A3" w:rsidP="00E267B5">
            <w:pPr>
              <w:widowControl w:val="0"/>
              <w:autoSpaceDE w:val="0"/>
              <w:autoSpaceDN w:val="0"/>
              <w:adjustRightInd w:val="0"/>
              <w:spacing w:before="60" w:after="60"/>
              <w:rPr>
                <w:rFonts w:ascii="Calibri" w:hAnsi="Calibri" w:cs="Calibri"/>
                <w:sz w:val="20"/>
                <w:szCs w:val="22"/>
              </w:rPr>
            </w:pPr>
            <w:r w:rsidRPr="00A36343">
              <w:rPr>
                <w:rFonts w:ascii="Calibri" w:hAnsi="Calibri" w:cs="Calibri"/>
                <w:sz w:val="20"/>
                <w:szCs w:val="22"/>
              </w:rPr>
              <w:t xml:space="preserve">Annual total for all new </w:t>
            </w:r>
            <w:proofErr w:type="spellStart"/>
            <w:r w:rsidRPr="00A36343">
              <w:rPr>
                <w:rFonts w:ascii="Calibri" w:hAnsi="Calibri" w:cs="Calibri"/>
                <w:sz w:val="20"/>
                <w:szCs w:val="22"/>
              </w:rPr>
              <w:t>gTLDs</w:t>
            </w:r>
            <w:proofErr w:type="spellEnd"/>
          </w:p>
        </w:tc>
        <w:tc>
          <w:tcPr>
            <w:tcW w:w="5688" w:type="dxa"/>
          </w:tcPr>
          <w:p w14:paraId="0FDFC3C0" w14:textId="77777777" w:rsidR="007516A3" w:rsidRPr="00A36343" w:rsidRDefault="007516A3" w:rsidP="00E267B5">
            <w:pPr>
              <w:widowControl w:val="0"/>
              <w:autoSpaceDE w:val="0"/>
              <w:autoSpaceDN w:val="0"/>
              <w:adjustRightInd w:val="0"/>
              <w:spacing w:before="60" w:after="60"/>
              <w:rPr>
                <w:rFonts w:ascii="Calibri" w:hAnsi="Calibri" w:cs="Calibri"/>
                <w:sz w:val="20"/>
                <w:szCs w:val="22"/>
              </w:rPr>
            </w:pPr>
            <w:r w:rsidRPr="00A36343">
              <w:rPr>
                <w:rFonts w:ascii="Calibri" w:hAnsi="Calibri" w:cs="Calibri"/>
                <w:sz w:val="20"/>
                <w:szCs w:val="22"/>
              </w:rPr>
              <w:t xml:space="preserve">Total UDRP complaints regarding new </w:t>
            </w:r>
            <w:proofErr w:type="spellStart"/>
            <w:r w:rsidRPr="00A36343">
              <w:rPr>
                <w:rFonts w:ascii="Calibri" w:hAnsi="Calibri" w:cs="Calibri"/>
                <w:sz w:val="20"/>
                <w:szCs w:val="22"/>
              </w:rPr>
              <w:t>gTLDs</w:t>
            </w:r>
            <w:proofErr w:type="spellEnd"/>
            <w:r w:rsidRPr="00A36343">
              <w:rPr>
                <w:rFonts w:ascii="Calibri" w:hAnsi="Calibri" w:cs="Calibri"/>
                <w:sz w:val="20"/>
                <w:szCs w:val="22"/>
              </w:rPr>
              <w:t xml:space="preserve"> should be fewer than 1000 per year.</w:t>
            </w:r>
          </w:p>
        </w:tc>
      </w:tr>
      <w:tr w:rsidR="007516A3" w:rsidRPr="00A36343" w14:paraId="21271B13" w14:textId="77777777" w:rsidTr="00E267B5">
        <w:tc>
          <w:tcPr>
            <w:tcW w:w="2700" w:type="dxa"/>
          </w:tcPr>
          <w:p w14:paraId="45E66836" w14:textId="77777777" w:rsidR="007516A3" w:rsidRPr="00A36343" w:rsidRDefault="007516A3" w:rsidP="00E267B5">
            <w:pPr>
              <w:widowControl w:val="0"/>
              <w:autoSpaceDE w:val="0"/>
              <w:autoSpaceDN w:val="0"/>
              <w:adjustRightInd w:val="0"/>
              <w:spacing w:before="60" w:after="60"/>
              <w:rPr>
                <w:rFonts w:ascii="Calibri" w:hAnsi="Calibri" w:cs="Calibri"/>
                <w:sz w:val="20"/>
                <w:szCs w:val="22"/>
              </w:rPr>
            </w:pPr>
            <w:r w:rsidRPr="00A36343">
              <w:rPr>
                <w:rFonts w:ascii="Calibri" w:hAnsi="Calibri" w:cs="Calibri"/>
                <w:sz w:val="20"/>
                <w:szCs w:val="22"/>
              </w:rPr>
              <w:t xml:space="preserve">Rate of incidence for new </w:t>
            </w:r>
            <w:proofErr w:type="spellStart"/>
            <w:r w:rsidRPr="00A36343">
              <w:rPr>
                <w:rFonts w:ascii="Calibri" w:hAnsi="Calibri" w:cs="Calibri"/>
                <w:sz w:val="20"/>
                <w:szCs w:val="22"/>
              </w:rPr>
              <w:t>gTLDs</w:t>
            </w:r>
            <w:proofErr w:type="spellEnd"/>
            <w:r>
              <w:rPr>
                <w:rFonts w:ascii="Calibri" w:hAnsi="Calibri" w:cs="Calibri"/>
                <w:sz w:val="20"/>
                <w:szCs w:val="22"/>
              </w:rPr>
              <w:t xml:space="preserve"> (per 1000 registrations)</w:t>
            </w:r>
          </w:p>
        </w:tc>
        <w:tc>
          <w:tcPr>
            <w:tcW w:w="5688" w:type="dxa"/>
          </w:tcPr>
          <w:p w14:paraId="3338B290" w14:textId="77777777" w:rsidR="007516A3" w:rsidRPr="00A36343" w:rsidRDefault="007516A3" w:rsidP="00E267B5">
            <w:pPr>
              <w:widowControl w:val="0"/>
              <w:autoSpaceDE w:val="0"/>
              <w:autoSpaceDN w:val="0"/>
              <w:adjustRightInd w:val="0"/>
              <w:spacing w:before="60" w:after="60"/>
              <w:rPr>
                <w:rFonts w:ascii="Calibri" w:hAnsi="Calibri" w:cs="Calibri"/>
                <w:sz w:val="20"/>
                <w:szCs w:val="22"/>
              </w:rPr>
            </w:pPr>
            <w:r w:rsidRPr="00A36343">
              <w:rPr>
                <w:rFonts w:ascii="Calibri" w:hAnsi="Calibri" w:cs="Calibri"/>
                <w:sz w:val="20"/>
                <w:szCs w:val="22"/>
              </w:rPr>
              <w:t xml:space="preserve">The rate of UDRP complaints in new </w:t>
            </w:r>
            <w:proofErr w:type="spellStart"/>
            <w:r w:rsidRPr="00A36343">
              <w:rPr>
                <w:rFonts w:ascii="Calibri" w:hAnsi="Calibri" w:cs="Calibri"/>
                <w:sz w:val="20"/>
                <w:szCs w:val="22"/>
              </w:rPr>
              <w:t>gTLDs</w:t>
            </w:r>
            <w:proofErr w:type="spellEnd"/>
            <w:r w:rsidRPr="00A36343">
              <w:rPr>
                <w:rFonts w:ascii="Calibri" w:hAnsi="Calibri" w:cs="Calibri"/>
                <w:sz w:val="20"/>
                <w:szCs w:val="22"/>
              </w:rPr>
              <w:t xml:space="preserve"> should be less than 1 for every 1000 registrations. </w:t>
            </w:r>
          </w:p>
        </w:tc>
      </w:tr>
      <w:tr w:rsidR="007516A3" w:rsidRPr="00A36343" w14:paraId="43946445" w14:textId="77777777" w:rsidTr="00E267B5">
        <w:tc>
          <w:tcPr>
            <w:tcW w:w="2700" w:type="dxa"/>
          </w:tcPr>
          <w:p w14:paraId="74467CCB" w14:textId="77777777" w:rsidR="007516A3" w:rsidRPr="00A36343" w:rsidRDefault="007516A3" w:rsidP="00E267B5">
            <w:pPr>
              <w:widowControl w:val="0"/>
              <w:autoSpaceDE w:val="0"/>
              <w:autoSpaceDN w:val="0"/>
              <w:adjustRightInd w:val="0"/>
              <w:spacing w:before="60" w:after="60"/>
              <w:rPr>
                <w:rFonts w:ascii="Calibri" w:hAnsi="Calibri" w:cs="Calibri"/>
                <w:sz w:val="20"/>
                <w:szCs w:val="22"/>
              </w:rPr>
            </w:pPr>
            <w:r w:rsidRPr="00A36343">
              <w:rPr>
                <w:rFonts w:ascii="Calibri" w:hAnsi="Calibri" w:cs="Calibri"/>
                <w:sz w:val="20"/>
                <w:szCs w:val="22"/>
              </w:rPr>
              <w:t>Relative to prior periods</w:t>
            </w:r>
          </w:p>
        </w:tc>
        <w:tc>
          <w:tcPr>
            <w:tcW w:w="5688" w:type="dxa"/>
          </w:tcPr>
          <w:p w14:paraId="4F2E703B" w14:textId="77777777" w:rsidR="007516A3" w:rsidRPr="00A36343" w:rsidRDefault="007516A3" w:rsidP="00E267B5">
            <w:pPr>
              <w:widowControl w:val="0"/>
              <w:autoSpaceDE w:val="0"/>
              <w:autoSpaceDN w:val="0"/>
              <w:adjustRightInd w:val="0"/>
              <w:spacing w:before="60" w:after="60"/>
              <w:rPr>
                <w:rFonts w:ascii="Calibri" w:hAnsi="Calibri" w:cs="Calibri"/>
                <w:sz w:val="20"/>
                <w:szCs w:val="22"/>
              </w:rPr>
            </w:pPr>
            <w:r w:rsidRPr="00A36343">
              <w:rPr>
                <w:rFonts w:ascii="Calibri" w:hAnsi="Calibri" w:cs="Calibri"/>
                <w:sz w:val="20"/>
                <w:szCs w:val="22"/>
              </w:rPr>
              <w:t xml:space="preserve">The number of URS complaints for new </w:t>
            </w:r>
            <w:proofErr w:type="spellStart"/>
            <w:r w:rsidRPr="00A36343">
              <w:rPr>
                <w:rFonts w:ascii="Calibri" w:hAnsi="Calibri" w:cs="Calibri"/>
                <w:sz w:val="20"/>
                <w:szCs w:val="22"/>
              </w:rPr>
              <w:t>gTLDs</w:t>
            </w:r>
            <w:proofErr w:type="spellEnd"/>
            <w:r w:rsidRPr="00A36343">
              <w:rPr>
                <w:rFonts w:ascii="Calibri" w:hAnsi="Calibri" w:cs="Calibri"/>
                <w:sz w:val="20"/>
                <w:szCs w:val="22"/>
              </w:rPr>
              <w:t xml:space="preserve"> in 2015 should be less than 10% of the number of URS complaints in 2014.</w:t>
            </w:r>
          </w:p>
        </w:tc>
      </w:tr>
      <w:tr w:rsidR="007516A3" w:rsidRPr="00A36343" w14:paraId="0CB05A15" w14:textId="77777777" w:rsidTr="00E267B5">
        <w:tc>
          <w:tcPr>
            <w:tcW w:w="2700" w:type="dxa"/>
          </w:tcPr>
          <w:p w14:paraId="2ED786EE" w14:textId="77777777" w:rsidR="007516A3" w:rsidRPr="00A36343" w:rsidRDefault="007516A3" w:rsidP="00E267B5">
            <w:pPr>
              <w:widowControl w:val="0"/>
              <w:autoSpaceDE w:val="0"/>
              <w:autoSpaceDN w:val="0"/>
              <w:adjustRightInd w:val="0"/>
              <w:spacing w:before="60" w:after="60"/>
              <w:rPr>
                <w:rFonts w:ascii="Calibri" w:hAnsi="Calibri" w:cs="Calibri"/>
                <w:sz w:val="20"/>
                <w:szCs w:val="22"/>
              </w:rPr>
            </w:pPr>
            <w:r w:rsidRPr="00A36343">
              <w:rPr>
                <w:rFonts w:ascii="Calibri" w:hAnsi="Calibri" w:cs="Calibri"/>
                <w:sz w:val="20"/>
                <w:szCs w:val="22"/>
              </w:rPr>
              <w:t xml:space="preserve">Relative to legacy </w:t>
            </w:r>
            <w:proofErr w:type="spellStart"/>
            <w:r w:rsidRPr="00A36343">
              <w:rPr>
                <w:rFonts w:ascii="Calibri" w:hAnsi="Calibri" w:cs="Calibri"/>
                <w:sz w:val="20"/>
                <w:szCs w:val="22"/>
              </w:rPr>
              <w:t>gTLDs</w:t>
            </w:r>
            <w:proofErr w:type="spellEnd"/>
            <w:r w:rsidRPr="00A36343">
              <w:rPr>
                <w:rFonts w:ascii="Calibri" w:hAnsi="Calibri" w:cs="Calibri"/>
                <w:sz w:val="20"/>
                <w:szCs w:val="22"/>
              </w:rPr>
              <w:t xml:space="preserve"> </w:t>
            </w:r>
          </w:p>
        </w:tc>
        <w:tc>
          <w:tcPr>
            <w:tcW w:w="5688" w:type="dxa"/>
          </w:tcPr>
          <w:p w14:paraId="1D602677" w14:textId="77777777" w:rsidR="007516A3" w:rsidRPr="00A36343" w:rsidRDefault="007516A3" w:rsidP="00E267B5">
            <w:pPr>
              <w:widowControl w:val="0"/>
              <w:autoSpaceDE w:val="0"/>
              <w:autoSpaceDN w:val="0"/>
              <w:adjustRightInd w:val="0"/>
              <w:spacing w:before="60" w:after="60"/>
              <w:rPr>
                <w:rFonts w:ascii="Calibri" w:hAnsi="Calibri" w:cs="Calibri"/>
                <w:sz w:val="20"/>
                <w:szCs w:val="22"/>
              </w:rPr>
            </w:pPr>
            <w:r w:rsidRPr="00A36343">
              <w:rPr>
                <w:rFonts w:ascii="Calibri" w:hAnsi="Calibri" w:cs="Calibri"/>
                <w:sz w:val="20"/>
                <w:szCs w:val="22"/>
              </w:rPr>
              <w:t xml:space="preserve">In 2015, the rate of UDRP complaints (per 1000 registrations ) in the new </w:t>
            </w:r>
            <w:proofErr w:type="spellStart"/>
            <w:r w:rsidRPr="00A36343">
              <w:rPr>
                <w:rFonts w:ascii="Calibri" w:hAnsi="Calibri" w:cs="Calibri"/>
                <w:sz w:val="20"/>
                <w:szCs w:val="22"/>
              </w:rPr>
              <w:t>gTLDs</w:t>
            </w:r>
            <w:proofErr w:type="spellEnd"/>
            <w:r w:rsidRPr="00A36343">
              <w:rPr>
                <w:rFonts w:ascii="Calibri" w:hAnsi="Calibri" w:cs="Calibri"/>
                <w:sz w:val="20"/>
                <w:szCs w:val="22"/>
              </w:rPr>
              <w:t xml:space="preserve"> should be 50% lower than the rate in legacy </w:t>
            </w:r>
            <w:proofErr w:type="spellStart"/>
            <w:r w:rsidRPr="00A36343">
              <w:rPr>
                <w:rFonts w:ascii="Calibri" w:hAnsi="Calibri" w:cs="Calibri"/>
                <w:sz w:val="20"/>
                <w:szCs w:val="22"/>
              </w:rPr>
              <w:t>gTLDs</w:t>
            </w:r>
            <w:proofErr w:type="spellEnd"/>
            <w:r w:rsidRPr="00A36343">
              <w:rPr>
                <w:rFonts w:ascii="Calibri" w:hAnsi="Calibri" w:cs="Calibri"/>
                <w:sz w:val="20"/>
                <w:szCs w:val="22"/>
              </w:rPr>
              <w:t xml:space="preserve"> </w:t>
            </w:r>
          </w:p>
        </w:tc>
      </w:tr>
    </w:tbl>
    <w:p w14:paraId="647C899B" w14:textId="77777777" w:rsidR="007516A3" w:rsidRDefault="007516A3" w:rsidP="007516A3">
      <w:pPr>
        <w:widowControl w:val="0"/>
        <w:autoSpaceDE w:val="0"/>
        <w:autoSpaceDN w:val="0"/>
        <w:adjustRightInd w:val="0"/>
        <w:rPr>
          <w:rFonts w:ascii="Calibri" w:hAnsi="Calibri" w:cs="Calibri"/>
          <w:sz w:val="22"/>
          <w:szCs w:val="22"/>
        </w:rPr>
      </w:pPr>
    </w:p>
    <w:p w14:paraId="5A76A425" w14:textId="5AF0EB1E" w:rsidR="007F4A74" w:rsidRDefault="007516A3" w:rsidP="00D00805">
      <w:pPr>
        <w:widowControl w:val="0"/>
        <w:autoSpaceDE w:val="0"/>
        <w:autoSpaceDN w:val="0"/>
        <w:adjustRightInd w:val="0"/>
        <w:rPr>
          <w:rFonts w:ascii="Calibri" w:hAnsi="Calibri" w:cs="Calibri"/>
          <w:sz w:val="22"/>
          <w:szCs w:val="22"/>
        </w:rPr>
      </w:pPr>
      <w:r>
        <w:rPr>
          <w:rFonts w:ascii="Calibri" w:hAnsi="Calibri" w:cs="Calibri"/>
          <w:sz w:val="22"/>
          <w:szCs w:val="22"/>
        </w:rPr>
        <w:t xml:space="preserve">In the </w:t>
      </w:r>
      <w:r w:rsidR="004B4383">
        <w:rPr>
          <w:rFonts w:ascii="Calibri" w:hAnsi="Calibri" w:cs="Calibri"/>
          <w:sz w:val="22"/>
          <w:szCs w:val="22"/>
        </w:rPr>
        <w:t xml:space="preserve">last column of the </w:t>
      </w:r>
      <w:r>
        <w:rPr>
          <w:rFonts w:ascii="Calibri" w:hAnsi="Calibri" w:cs="Calibri"/>
          <w:sz w:val="22"/>
          <w:szCs w:val="22"/>
        </w:rPr>
        <w:t xml:space="preserve">table below, the working group recommends 3-year targets for measures where we had sufficient information to </w:t>
      </w:r>
      <w:r w:rsidR="004B4383">
        <w:rPr>
          <w:rFonts w:ascii="Calibri" w:hAnsi="Calibri" w:cs="Calibri"/>
          <w:sz w:val="22"/>
          <w:szCs w:val="22"/>
        </w:rPr>
        <w:t>suggest</w:t>
      </w:r>
      <w:r>
        <w:rPr>
          <w:rFonts w:ascii="Calibri" w:hAnsi="Calibri" w:cs="Calibri"/>
          <w:sz w:val="22"/>
          <w:szCs w:val="22"/>
        </w:rPr>
        <w:t xml:space="preserve"> a</w:t>
      </w:r>
      <w:r w:rsidR="004B4383">
        <w:rPr>
          <w:rFonts w:ascii="Calibri" w:hAnsi="Calibri" w:cs="Calibri"/>
          <w:sz w:val="22"/>
          <w:szCs w:val="22"/>
        </w:rPr>
        <w:t>pplicable</w:t>
      </w:r>
      <w:r>
        <w:rPr>
          <w:rFonts w:ascii="Calibri" w:hAnsi="Calibri" w:cs="Calibri"/>
          <w:sz w:val="22"/>
          <w:szCs w:val="22"/>
        </w:rPr>
        <w:t xml:space="preserve"> target</w:t>
      </w:r>
      <w:r w:rsidR="004B4383">
        <w:rPr>
          <w:rFonts w:ascii="Calibri" w:hAnsi="Calibri" w:cs="Calibri"/>
          <w:sz w:val="22"/>
          <w:szCs w:val="22"/>
        </w:rPr>
        <w:t>s</w:t>
      </w:r>
      <w:r>
        <w:rPr>
          <w:rFonts w:ascii="Calibri" w:hAnsi="Calibri" w:cs="Calibri"/>
          <w:sz w:val="22"/>
          <w:szCs w:val="22"/>
        </w:rPr>
        <w:t xml:space="preserve">. </w:t>
      </w:r>
    </w:p>
    <w:p w14:paraId="36323A88" w14:textId="77777777" w:rsidR="007516A3" w:rsidRDefault="007516A3" w:rsidP="00D00805">
      <w:pPr>
        <w:widowControl w:val="0"/>
        <w:autoSpaceDE w:val="0"/>
        <w:autoSpaceDN w:val="0"/>
        <w:adjustRightInd w:val="0"/>
        <w:rPr>
          <w:rFonts w:ascii="Calibri" w:hAnsi="Calibri" w:cs="Calibri"/>
          <w:sz w:val="22"/>
          <w:szCs w:val="22"/>
        </w:rPr>
      </w:pPr>
    </w:p>
    <w:p w14:paraId="4901CB8A" w14:textId="6778C85F" w:rsidR="007516A3" w:rsidRDefault="007516A3" w:rsidP="00D00805">
      <w:pPr>
        <w:widowControl w:val="0"/>
        <w:autoSpaceDE w:val="0"/>
        <w:autoSpaceDN w:val="0"/>
        <w:adjustRightInd w:val="0"/>
        <w:rPr>
          <w:rFonts w:ascii="Calibri" w:hAnsi="Calibri" w:cs="Calibri"/>
          <w:sz w:val="22"/>
          <w:szCs w:val="22"/>
        </w:rPr>
      </w:pPr>
      <w:r>
        <w:rPr>
          <w:rFonts w:ascii="Calibri" w:hAnsi="Calibri" w:cs="Calibri"/>
          <w:sz w:val="22"/>
          <w:szCs w:val="22"/>
        </w:rPr>
        <w:t xml:space="preserve">Notes about </w:t>
      </w:r>
      <w:r w:rsidR="004B4383">
        <w:rPr>
          <w:rFonts w:ascii="Calibri" w:hAnsi="Calibri" w:cs="Calibri"/>
          <w:sz w:val="22"/>
          <w:szCs w:val="22"/>
        </w:rPr>
        <w:t xml:space="preserve">terms used in </w:t>
      </w:r>
      <w:r>
        <w:rPr>
          <w:rFonts w:ascii="Calibri" w:hAnsi="Calibri" w:cs="Calibri"/>
          <w:sz w:val="22"/>
          <w:szCs w:val="22"/>
        </w:rPr>
        <w:t>the tables of measures:</w:t>
      </w:r>
    </w:p>
    <w:p w14:paraId="6B152138" w14:textId="3FA6847A" w:rsidR="004B4383" w:rsidRDefault="006100B5" w:rsidP="006100B5">
      <w:pPr>
        <w:widowControl w:val="0"/>
        <w:autoSpaceDE w:val="0"/>
        <w:autoSpaceDN w:val="0"/>
        <w:adjustRightInd w:val="0"/>
        <w:spacing w:before="120"/>
        <w:ind w:left="720"/>
        <w:rPr>
          <w:rFonts w:ascii="Calibri" w:hAnsi="Calibri" w:cs="Calibri"/>
          <w:sz w:val="22"/>
          <w:szCs w:val="22"/>
        </w:rPr>
      </w:pPr>
      <w:r>
        <w:rPr>
          <w:rFonts w:ascii="Calibri" w:hAnsi="Calibri" w:cs="Calibri"/>
          <w:sz w:val="22"/>
          <w:szCs w:val="22"/>
        </w:rPr>
        <w:t>“</w:t>
      </w:r>
      <w:r w:rsidR="00301602">
        <w:rPr>
          <w:rFonts w:ascii="Calibri" w:hAnsi="Calibri" w:cs="Calibri"/>
          <w:sz w:val="22"/>
          <w:szCs w:val="22"/>
        </w:rPr>
        <w:t>Obtaining</w:t>
      </w:r>
      <w:r>
        <w:rPr>
          <w:rFonts w:ascii="Calibri" w:hAnsi="Calibri" w:cs="Calibri"/>
          <w:sz w:val="22"/>
          <w:szCs w:val="22"/>
        </w:rPr>
        <w:t xml:space="preserve">” </w:t>
      </w:r>
      <w:r w:rsidR="00301602">
        <w:rPr>
          <w:rFonts w:ascii="Calibri" w:hAnsi="Calibri" w:cs="Calibri"/>
          <w:sz w:val="22"/>
          <w:szCs w:val="22"/>
        </w:rPr>
        <w:t xml:space="preserve">refers </w:t>
      </w:r>
      <w:r>
        <w:rPr>
          <w:rFonts w:ascii="Calibri" w:hAnsi="Calibri" w:cs="Calibri"/>
          <w:sz w:val="22"/>
          <w:szCs w:val="22"/>
        </w:rPr>
        <w:t xml:space="preserve">the </w:t>
      </w:r>
      <w:r w:rsidR="00301602">
        <w:rPr>
          <w:rFonts w:ascii="Calibri" w:hAnsi="Calibri" w:cs="Calibri"/>
          <w:sz w:val="22"/>
          <w:szCs w:val="22"/>
        </w:rPr>
        <w:t xml:space="preserve">availability and </w:t>
      </w:r>
      <w:r>
        <w:rPr>
          <w:rFonts w:ascii="Calibri" w:hAnsi="Calibri" w:cs="Calibri"/>
          <w:sz w:val="22"/>
          <w:szCs w:val="22"/>
        </w:rPr>
        <w:t xml:space="preserve">level of effort </w:t>
      </w:r>
      <w:r w:rsidR="00301602">
        <w:rPr>
          <w:rFonts w:ascii="Calibri" w:hAnsi="Calibri" w:cs="Calibri"/>
          <w:sz w:val="22"/>
          <w:szCs w:val="22"/>
        </w:rPr>
        <w:t>to gather</w:t>
      </w:r>
      <w:r>
        <w:rPr>
          <w:rFonts w:ascii="Calibri" w:hAnsi="Calibri" w:cs="Calibri"/>
          <w:sz w:val="22"/>
          <w:szCs w:val="22"/>
        </w:rPr>
        <w:t xml:space="preserve"> raw data needed for each measure in the table.</w:t>
      </w:r>
    </w:p>
    <w:p w14:paraId="05ED055D" w14:textId="1440045A" w:rsidR="006100B5" w:rsidRDefault="006100B5" w:rsidP="006100B5">
      <w:pPr>
        <w:widowControl w:val="0"/>
        <w:autoSpaceDE w:val="0"/>
        <w:autoSpaceDN w:val="0"/>
        <w:adjustRightInd w:val="0"/>
        <w:spacing w:before="120"/>
        <w:ind w:left="720"/>
        <w:rPr>
          <w:rFonts w:ascii="Calibri" w:hAnsi="Calibri" w:cs="Calibri"/>
          <w:sz w:val="22"/>
          <w:szCs w:val="22"/>
        </w:rPr>
      </w:pPr>
      <w:r>
        <w:rPr>
          <w:rFonts w:ascii="Calibri" w:hAnsi="Calibri" w:cs="Calibri"/>
          <w:sz w:val="22"/>
          <w:szCs w:val="22"/>
        </w:rPr>
        <w:t>“</w:t>
      </w:r>
      <w:r w:rsidR="00347843">
        <w:rPr>
          <w:rFonts w:ascii="Calibri" w:hAnsi="Calibri" w:cs="Calibri"/>
          <w:sz w:val="22"/>
          <w:szCs w:val="22"/>
        </w:rPr>
        <w:t>Reporting</w:t>
      </w:r>
      <w:r>
        <w:rPr>
          <w:rFonts w:ascii="Calibri" w:hAnsi="Calibri" w:cs="Calibri"/>
          <w:sz w:val="22"/>
          <w:szCs w:val="22"/>
        </w:rPr>
        <w:t>”</w:t>
      </w:r>
      <w:r w:rsidRPr="006100B5">
        <w:rPr>
          <w:rFonts w:ascii="Calibri" w:hAnsi="Calibri" w:cs="Calibri"/>
          <w:sz w:val="22"/>
          <w:szCs w:val="22"/>
        </w:rPr>
        <w:t xml:space="preserve"> </w:t>
      </w:r>
      <w:r w:rsidR="00347843">
        <w:rPr>
          <w:rFonts w:ascii="Calibri" w:hAnsi="Calibri" w:cs="Calibri"/>
          <w:sz w:val="22"/>
          <w:szCs w:val="22"/>
        </w:rPr>
        <w:t xml:space="preserve">refers to </w:t>
      </w:r>
      <w:r>
        <w:rPr>
          <w:rFonts w:ascii="Calibri" w:hAnsi="Calibri" w:cs="Calibri"/>
          <w:sz w:val="22"/>
          <w:szCs w:val="22"/>
        </w:rPr>
        <w:t>any challenges in compiling and publicly disclosing each measure in the table.</w:t>
      </w:r>
    </w:p>
    <w:p w14:paraId="7730E034" w14:textId="0A770D54" w:rsidR="004B4383" w:rsidRDefault="006100B5" w:rsidP="006100B5">
      <w:pPr>
        <w:widowControl w:val="0"/>
        <w:autoSpaceDE w:val="0"/>
        <w:autoSpaceDN w:val="0"/>
        <w:adjustRightInd w:val="0"/>
        <w:spacing w:before="120"/>
        <w:ind w:left="720"/>
        <w:rPr>
          <w:rFonts w:ascii="Calibri" w:hAnsi="Calibri" w:cs="Calibri"/>
          <w:sz w:val="22"/>
          <w:szCs w:val="22"/>
        </w:rPr>
      </w:pPr>
      <w:r>
        <w:rPr>
          <w:rFonts w:ascii="Calibri" w:hAnsi="Calibri" w:cs="Calibri"/>
          <w:sz w:val="22"/>
          <w:szCs w:val="22"/>
        </w:rPr>
        <w:t xml:space="preserve"> “R</w:t>
      </w:r>
      <w:r w:rsidR="004B4383">
        <w:rPr>
          <w:rFonts w:ascii="Calibri" w:hAnsi="Calibri" w:cs="Calibri"/>
          <w:sz w:val="22"/>
          <w:szCs w:val="22"/>
        </w:rPr>
        <w:t xml:space="preserve">elative incidence” of a particular measure would divide the raw data by the total number of registrations in each gTLD zone evaluated.  This is intended to put small or new </w:t>
      </w:r>
      <w:proofErr w:type="spellStart"/>
      <w:r>
        <w:rPr>
          <w:rFonts w:ascii="Calibri" w:hAnsi="Calibri" w:cs="Calibri"/>
          <w:sz w:val="22"/>
          <w:szCs w:val="22"/>
        </w:rPr>
        <w:t>gTLDs</w:t>
      </w:r>
      <w:proofErr w:type="spellEnd"/>
      <w:r w:rsidR="004B4383">
        <w:rPr>
          <w:rFonts w:ascii="Calibri" w:hAnsi="Calibri" w:cs="Calibri"/>
          <w:sz w:val="22"/>
          <w:szCs w:val="22"/>
        </w:rPr>
        <w:t xml:space="preserve"> on a comparable basis with experience in larger </w:t>
      </w:r>
      <w:r>
        <w:rPr>
          <w:rFonts w:ascii="Calibri" w:hAnsi="Calibri" w:cs="Calibri"/>
          <w:sz w:val="22"/>
          <w:szCs w:val="22"/>
        </w:rPr>
        <w:t>or</w:t>
      </w:r>
      <w:r w:rsidR="004B4383">
        <w:rPr>
          <w:rFonts w:ascii="Calibri" w:hAnsi="Calibri" w:cs="Calibri"/>
          <w:sz w:val="22"/>
          <w:szCs w:val="22"/>
        </w:rPr>
        <w:t xml:space="preserve"> more established </w:t>
      </w:r>
      <w:proofErr w:type="spellStart"/>
      <w:r>
        <w:rPr>
          <w:rFonts w:ascii="Calibri" w:hAnsi="Calibri" w:cs="Calibri"/>
          <w:sz w:val="22"/>
          <w:szCs w:val="22"/>
        </w:rPr>
        <w:t>gTLDs</w:t>
      </w:r>
      <w:proofErr w:type="spellEnd"/>
      <w:r w:rsidR="004B4383">
        <w:rPr>
          <w:rFonts w:ascii="Calibri" w:hAnsi="Calibri" w:cs="Calibri"/>
          <w:sz w:val="22"/>
          <w:szCs w:val="22"/>
        </w:rPr>
        <w:t xml:space="preserve">.  </w:t>
      </w:r>
    </w:p>
    <w:p w14:paraId="3A48E95D" w14:textId="77777777" w:rsidR="007516A3" w:rsidRDefault="007516A3" w:rsidP="00D00805">
      <w:pPr>
        <w:widowControl w:val="0"/>
        <w:autoSpaceDE w:val="0"/>
        <w:autoSpaceDN w:val="0"/>
        <w:adjustRightInd w:val="0"/>
        <w:rPr>
          <w:rFonts w:ascii="Calibri" w:hAnsi="Calibri" w:cs="Calibri"/>
          <w:sz w:val="22"/>
          <w:szCs w:val="22"/>
        </w:rPr>
      </w:pPr>
    </w:p>
    <w:p w14:paraId="677A291D" w14:textId="77777777" w:rsidR="00DB3F97" w:rsidRDefault="00DB3F97">
      <w:pPr>
        <w:rPr>
          <w:rFonts w:ascii="Calibri" w:hAnsi="Calibri" w:cs="Calibri"/>
          <w:b/>
          <w:sz w:val="22"/>
          <w:szCs w:val="22"/>
        </w:rPr>
      </w:pPr>
      <w:r>
        <w:rPr>
          <w:rFonts w:ascii="Calibri" w:hAnsi="Calibri" w:cs="Calibri"/>
          <w:b/>
          <w:sz w:val="22"/>
          <w:szCs w:val="22"/>
        </w:rPr>
        <w:br w:type="page"/>
      </w:r>
    </w:p>
    <w:p w14:paraId="27F631BA" w14:textId="7C3A6679" w:rsidR="00553269" w:rsidRDefault="00553269" w:rsidP="00ED0485">
      <w:pPr>
        <w:widowControl w:val="0"/>
        <w:autoSpaceDE w:val="0"/>
        <w:autoSpaceDN w:val="0"/>
        <w:adjustRightInd w:val="0"/>
        <w:rPr>
          <w:rFonts w:ascii="Calibri" w:hAnsi="Calibri" w:cs="Calibri"/>
          <w:b/>
          <w:sz w:val="22"/>
          <w:szCs w:val="22"/>
        </w:rPr>
      </w:pPr>
      <w:r>
        <w:rPr>
          <w:rFonts w:ascii="Calibri" w:hAnsi="Calibri" w:cs="Calibri"/>
          <w:b/>
          <w:sz w:val="22"/>
          <w:szCs w:val="22"/>
        </w:rPr>
        <w:lastRenderedPageBreak/>
        <w:t xml:space="preserve">Measures of </w:t>
      </w:r>
      <w:r w:rsidR="00ED0485" w:rsidRPr="00663C6B">
        <w:rPr>
          <w:rFonts w:ascii="Calibri" w:hAnsi="Calibri" w:cs="Calibri"/>
          <w:b/>
          <w:sz w:val="22"/>
          <w:szCs w:val="22"/>
        </w:rPr>
        <w:t>Consumer Trust </w:t>
      </w:r>
    </w:p>
    <w:p w14:paraId="33C6539D" w14:textId="77777777" w:rsidR="00553269" w:rsidRDefault="00553269" w:rsidP="00ED0485">
      <w:pPr>
        <w:widowControl w:val="0"/>
        <w:autoSpaceDE w:val="0"/>
        <w:autoSpaceDN w:val="0"/>
        <w:adjustRightInd w:val="0"/>
        <w:rPr>
          <w:rFonts w:ascii="Calibri" w:hAnsi="Calibri" w:cs="Calibri"/>
          <w:b/>
          <w:sz w:val="22"/>
          <w:szCs w:val="22"/>
        </w:rPr>
      </w:pPr>
    </w:p>
    <w:p w14:paraId="3E197D87" w14:textId="03C5414A" w:rsidR="00553269" w:rsidRDefault="00553269" w:rsidP="00ED0485">
      <w:pPr>
        <w:widowControl w:val="0"/>
        <w:autoSpaceDE w:val="0"/>
        <w:autoSpaceDN w:val="0"/>
        <w:adjustRightInd w:val="0"/>
        <w:rPr>
          <w:rFonts w:ascii="Calibri" w:hAnsi="Calibri" w:cs="Calibri"/>
          <w:sz w:val="22"/>
          <w:szCs w:val="22"/>
        </w:rPr>
      </w:pPr>
      <w:r w:rsidRPr="00553269">
        <w:rPr>
          <w:rFonts w:ascii="Calibri" w:hAnsi="Calibri" w:cs="Calibri"/>
          <w:sz w:val="22"/>
          <w:szCs w:val="22"/>
        </w:rPr>
        <w:t>For reference, the definition</w:t>
      </w:r>
      <w:r w:rsidR="00EB40C9">
        <w:rPr>
          <w:rFonts w:ascii="Calibri" w:hAnsi="Calibri" w:cs="Calibri"/>
          <w:sz w:val="22"/>
          <w:szCs w:val="22"/>
        </w:rPr>
        <w:t>s</w:t>
      </w:r>
      <w:r w:rsidRPr="00553269">
        <w:rPr>
          <w:rFonts w:ascii="Calibri" w:hAnsi="Calibri" w:cs="Calibri"/>
          <w:sz w:val="22"/>
          <w:szCs w:val="22"/>
        </w:rPr>
        <w:t xml:space="preserve"> of Consumer </w:t>
      </w:r>
      <w:r w:rsidR="00EB40C9">
        <w:rPr>
          <w:rFonts w:ascii="Calibri" w:hAnsi="Calibri" w:cs="Calibri"/>
          <w:sz w:val="22"/>
          <w:szCs w:val="22"/>
        </w:rPr>
        <w:t xml:space="preserve">and Consumer </w:t>
      </w:r>
      <w:r w:rsidRPr="00553269">
        <w:rPr>
          <w:rFonts w:ascii="Calibri" w:hAnsi="Calibri" w:cs="Calibri"/>
          <w:sz w:val="22"/>
          <w:szCs w:val="22"/>
        </w:rPr>
        <w:t xml:space="preserve">Trust </w:t>
      </w:r>
      <w:r w:rsidR="00EB40C9">
        <w:rPr>
          <w:rFonts w:ascii="Calibri" w:hAnsi="Calibri" w:cs="Calibri"/>
          <w:sz w:val="22"/>
          <w:szCs w:val="22"/>
        </w:rPr>
        <w:t>are</w:t>
      </w:r>
      <w:r w:rsidRPr="00553269">
        <w:rPr>
          <w:rFonts w:ascii="Calibri" w:hAnsi="Calibri" w:cs="Calibri"/>
          <w:sz w:val="22"/>
          <w:szCs w:val="22"/>
        </w:rPr>
        <w:t xml:space="preserve"> repeated here:</w:t>
      </w:r>
    </w:p>
    <w:p w14:paraId="1BE7513F" w14:textId="77777777" w:rsidR="00553269" w:rsidRPr="00553269" w:rsidRDefault="00553269" w:rsidP="00ED0485">
      <w:pPr>
        <w:widowControl w:val="0"/>
        <w:autoSpaceDE w:val="0"/>
        <w:autoSpaceDN w:val="0"/>
        <w:adjustRightInd w:val="0"/>
        <w:rPr>
          <w:rFonts w:ascii="Calibri" w:hAnsi="Calibri" w:cs="Calibri"/>
          <w:sz w:val="22"/>
          <w:szCs w:val="22"/>
        </w:rPr>
      </w:pPr>
    </w:p>
    <w:p w14:paraId="0DFD241A" w14:textId="51803750" w:rsidR="00EB40C9" w:rsidRDefault="0033140F" w:rsidP="0033140F">
      <w:pPr>
        <w:widowControl w:val="0"/>
        <w:autoSpaceDE w:val="0"/>
        <w:autoSpaceDN w:val="0"/>
        <w:adjustRightInd w:val="0"/>
        <w:ind w:left="720"/>
        <w:rPr>
          <w:rFonts w:ascii="Calibri" w:hAnsi="Calibri"/>
          <w:color w:val="000000"/>
          <w:sz w:val="22"/>
          <w:szCs w:val="22"/>
        </w:rPr>
      </w:pPr>
      <w:r w:rsidRPr="007D6351">
        <w:rPr>
          <w:rFonts w:ascii="Calibri" w:hAnsi="Calibri"/>
          <w:b/>
          <w:color w:val="000000"/>
          <w:sz w:val="22"/>
          <w:szCs w:val="22"/>
        </w:rPr>
        <w:t>Consumer</w:t>
      </w:r>
      <w:r>
        <w:rPr>
          <w:rFonts w:ascii="Calibri" w:hAnsi="Calibri"/>
          <w:color w:val="000000"/>
          <w:sz w:val="22"/>
          <w:szCs w:val="22"/>
        </w:rPr>
        <w:t xml:space="preserve"> is defined as actual and potential Internet users and r</w:t>
      </w:r>
      <w:r w:rsidRPr="007D6351">
        <w:rPr>
          <w:rFonts w:ascii="Calibri" w:hAnsi="Calibri"/>
          <w:color w:val="000000"/>
          <w:sz w:val="22"/>
          <w:szCs w:val="22"/>
        </w:rPr>
        <w:t>egistrants</w:t>
      </w:r>
      <w:r>
        <w:rPr>
          <w:rFonts w:ascii="Calibri" w:hAnsi="Calibri"/>
          <w:color w:val="000000"/>
          <w:sz w:val="22"/>
          <w:szCs w:val="22"/>
        </w:rPr>
        <w:t>.</w:t>
      </w:r>
    </w:p>
    <w:p w14:paraId="3ED6CB3C" w14:textId="77777777" w:rsidR="0033140F" w:rsidRPr="00AC4FF1" w:rsidRDefault="0033140F" w:rsidP="00EB40C9">
      <w:pPr>
        <w:widowControl w:val="0"/>
        <w:autoSpaceDE w:val="0"/>
        <w:autoSpaceDN w:val="0"/>
        <w:adjustRightInd w:val="0"/>
        <w:rPr>
          <w:rFonts w:ascii="Calibri" w:hAnsi="Calibri" w:cs="Calibri"/>
          <w:b/>
          <w:sz w:val="22"/>
          <w:szCs w:val="22"/>
        </w:rPr>
      </w:pPr>
    </w:p>
    <w:p w14:paraId="435EA979" w14:textId="77777777" w:rsidR="00EB40C9" w:rsidRPr="00503D46" w:rsidRDefault="00EB40C9" w:rsidP="00EB40C9">
      <w:pPr>
        <w:widowControl w:val="0"/>
        <w:autoSpaceDE w:val="0"/>
        <w:autoSpaceDN w:val="0"/>
        <w:adjustRightInd w:val="0"/>
        <w:ind w:left="720"/>
        <w:rPr>
          <w:rFonts w:ascii="Calibri" w:hAnsi="Calibri" w:cs="Calibri"/>
          <w:sz w:val="22"/>
          <w:szCs w:val="22"/>
        </w:rPr>
      </w:pPr>
      <w:r w:rsidRPr="00663C6B">
        <w:rPr>
          <w:rFonts w:ascii="Calibri" w:hAnsi="Calibri" w:cs="Calibri"/>
          <w:b/>
          <w:sz w:val="22"/>
          <w:szCs w:val="22"/>
        </w:rPr>
        <w:t>Consumer Trust </w:t>
      </w:r>
      <w:r>
        <w:rPr>
          <w:rFonts w:ascii="Calibri" w:hAnsi="Calibri" w:cs="Calibri"/>
          <w:sz w:val="22"/>
          <w:szCs w:val="22"/>
        </w:rPr>
        <w:t xml:space="preserve">is defined as </w:t>
      </w:r>
      <w:r w:rsidRPr="003611B7">
        <w:rPr>
          <w:rFonts w:ascii="Calibri" w:hAnsi="Calibri" w:cs="Calibri"/>
          <w:sz w:val="22"/>
          <w:szCs w:val="22"/>
        </w:rPr>
        <w:t>the confidence registrants and users have in the consistency of name resolution and the degree of confidence among registrants and users that a TLD regi</w:t>
      </w:r>
      <w:r>
        <w:rPr>
          <w:rFonts w:ascii="Calibri" w:hAnsi="Calibri" w:cs="Calibri"/>
          <w:sz w:val="22"/>
          <w:szCs w:val="22"/>
        </w:rPr>
        <w:t xml:space="preserve">stry operator is fulfilling its proposed </w:t>
      </w:r>
      <w:r w:rsidRPr="003611B7">
        <w:rPr>
          <w:rFonts w:ascii="Calibri" w:hAnsi="Calibri" w:cs="Calibri"/>
          <w:sz w:val="22"/>
          <w:szCs w:val="22"/>
        </w:rPr>
        <w:t xml:space="preserve">purpose and is complying with ICANN </w:t>
      </w:r>
      <w:r w:rsidRPr="00503D46">
        <w:rPr>
          <w:rFonts w:ascii="Calibri" w:hAnsi="Calibri" w:cs="Calibri"/>
          <w:sz w:val="22"/>
          <w:szCs w:val="22"/>
        </w:rPr>
        <w:t>policies and applicable national laws.</w:t>
      </w:r>
    </w:p>
    <w:p w14:paraId="3C7F72BB" w14:textId="77777777" w:rsidR="0084344C" w:rsidRDefault="0084344C" w:rsidP="00ED0485">
      <w:pPr>
        <w:widowControl w:val="0"/>
        <w:autoSpaceDE w:val="0"/>
        <w:autoSpaceDN w:val="0"/>
        <w:adjustRightInd w:val="0"/>
        <w:ind w:left="720"/>
        <w:rPr>
          <w:rFonts w:ascii="Calibri" w:hAnsi="Calibri" w:cs="Calibri"/>
          <w:sz w:val="22"/>
          <w:szCs w:val="22"/>
        </w:rPr>
      </w:pPr>
    </w:p>
    <w:tbl>
      <w:tblPr>
        <w:tblW w:w="9185"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5"/>
        <w:gridCol w:w="1080"/>
        <w:gridCol w:w="2790"/>
        <w:gridCol w:w="1530"/>
      </w:tblGrid>
      <w:tr w:rsidR="00AB5398" w:rsidRPr="0084344C" w14:paraId="3995D147" w14:textId="77777777" w:rsidTr="000F60A7">
        <w:trPr>
          <w:trHeight w:val="690"/>
          <w:tblHeader/>
        </w:trPr>
        <w:tc>
          <w:tcPr>
            <w:tcW w:w="3785" w:type="dxa"/>
            <w:shd w:val="clear" w:color="auto" w:fill="auto"/>
            <w:noWrap/>
            <w:vAlign w:val="center"/>
            <w:hideMark/>
          </w:tcPr>
          <w:p w14:paraId="3A130EFD" w14:textId="77777777" w:rsidR="00AB5398" w:rsidRPr="0084344C" w:rsidRDefault="00AB5398" w:rsidP="005F63A9">
            <w:pPr>
              <w:spacing w:before="60" w:after="60"/>
              <w:rPr>
                <w:rFonts w:ascii="Calibri" w:eastAsia="Times New Roman" w:hAnsi="Calibri" w:cs="Times New Roman"/>
                <w:b/>
                <w:color w:val="000000"/>
                <w:sz w:val="20"/>
                <w:szCs w:val="22"/>
              </w:rPr>
            </w:pPr>
            <w:r w:rsidRPr="0084344C">
              <w:rPr>
                <w:rFonts w:ascii="Calibri" w:eastAsia="Times New Roman" w:hAnsi="Calibri" w:cs="Times New Roman"/>
                <w:b/>
                <w:color w:val="000000"/>
                <w:sz w:val="20"/>
                <w:szCs w:val="22"/>
              </w:rPr>
              <w:t>Measure</w:t>
            </w:r>
            <w:r>
              <w:rPr>
                <w:rFonts w:ascii="Calibri" w:eastAsia="Times New Roman" w:hAnsi="Calibri" w:cs="Times New Roman"/>
                <w:b/>
                <w:color w:val="000000"/>
                <w:sz w:val="20"/>
                <w:szCs w:val="22"/>
              </w:rPr>
              <w:t xml:space="preserve"> of Consumer Trust</w:t>
            </w:r>
          </w:p>
        </w:tc>
        <w:tc>
          <w:tcPr>
            <w:tcW w:w="1080" w:type="dxa"/>
            <w:shd w:val="clear" w:color="auto" w:fill="auto"/>
            <w:noWrap/>
            <w:vAlign w:val="center"/>
            <w:hideMark/>
          </w:tcPr>
          <w:p w14:paraId="45929861" w14:textId="77777777" w:rsidR="00AB5398" w:rsidRPr="00694981" w:rsidRDefault="00AB5398" w:rsidP="005F63A9">
            <w:pPr>
              <w:spacing w:before="60" w:after="60"/>
              <w:jc w:val="center"/>
              <w:rPr>
                <w:rFonts w:ascii="Calibri" w:eastAsia="Times New Roman" w:hAnsi="Calibri" w:cs="Times New Roman"/>
                <w:b/>
                <w:color w:val="000000"/>
                <w:sz w:val="20"/>
                <w:szCs w:val="22"/>
              </w:rPr>
            </w:pPr>
            <w:r w:rsidRPr="00694981">
              <w:rPr>
                <w:rFonts w:ascii="Calibri" w:eastAsia="Times New Roman" w:hAnsi="Calibri" w:cs="Times New Roman"/>
                <w:b/>
                <w:color w:val="000000"/>
                <w:sz w:val="20"/>
                <w:szCs w:val="22"/>
              </w:rPr>
              <w:t>Source</w:t>
            </w:r>
          </w:p>
        </w:tc>
        <w:tc>
          <w:tcPr>
            <w:tcW w:w="2790" w:type="dxa"/>
            <w:vAlign w:val="center"/>
          </w:tcPr>
          <w:p w14:paraId="79FF65AC" w14:textId="1DCD699D" w:rsidR="00AB5398" w:rsidRDefault="00AB5398" w:rsidP="005F63A9">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Anticipated Difficulties in Obtaining and</w:t>
            </w:r>
            <w:r w:rsidR="00535897">
              <w:rPr>
                <w:rFonts w:ascii="Calibri" w:eastAsia="Times New Roman" w:hAnsi="Calibri" w:cs="Times New Roman"/>
                <w:b/>
                <w:color w:val="000000"/>
                <w:sz w:val="20"/>
                <w:szCs w:val="22"/>
              </w:rPr>
              <w:t>/or</w:t>
            </w:r>
            <w:r>
              <w:rPr>
                <w:rFonts w:ascii="Calibri" w:eastAsia="Times New Roman" w:hAnsi="Calibri" w:cs="Times New Roman"/>
                <w:b/>
                <w:color w:val="000000"/>
                <w:sz w:val="20"/>
                <w:szCs w:val="22"/>
              </w:rPr>
              <w:t xml:space="preserve"> Reporting </w:t>
            </w:r>
          </w:p>
        </w:tc>
        <w:tc>
          <w:tcPr>
            <w:tcW w:w="1530" w:type="dxa"/>
            <w:shd w:val="clear" w:color="auto" w:fill="auto"/>
            <w:vAlign w:val="center"/>
          </w:tcPr>
          <w:p w14:paraId="23EC9310" w14:textId="36C3361A" w:rsidR="00AB5398" w:rsidRDefault="00AB5398" w:rsidP="005F63A9">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3-year</w:t>
            </w:r>
          </w:p>
          <w:p w14:paraId="45D28DC6" w14:textId="77777777" w:rsidR="00AB5398" w:rsidRPr="0084344C" w:rsidRDefault="00AB5398" w:rsidP="005F63A9">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Target</w:t>
            </w:r>
          </w:p>
        </w:tc>
      </w:tr>
      <w:tr w:rsidR="000F60A7" w:rsidRPr="00AD5C36" w14:paraId="6265E574" w14:textId="77777777" w:rsidTr="000F60A7">
        <w:tc>
          <w:tcPr>
            <w:tcW w:w="9185" w:type="dxa"/>
            <w:gridSpan w:val="4"/>
            <w:shd w:val="clear" w:color="auto" w:fill="auto"/>
            <w:noWrap/>
            <w:vAlign w:val="center"/>
          </w:tcPr>
          <w:p w14:paraId="2520478E" w14:textId="5F9378AB" w:rsidR="000F60A7" w:rsidRDefault="000F60A7" w:rsidP="005F63A9">
            <w:pPr>
              <w:spacing w:before="60" w:after="60"/>
              <w:rPr>
                <w:rFonts w:ascii="Calibri" w:eastAsia="Times New Roman" w:hAnsi="Calibri" w:cs="Times New Roman"/>
                <w:color w:val="000000"/>
                <w:sz w:val="20"/>
                <w:szCs w:val="22"/>
              </w:rPr>
            </w:pPr>
            <w:r w:rsidRPr="00B34398">
              <w:rPr>
                <w:rFonts w:ascii="Calibri" w:eastAsia="Times New Roman" w:hAnsi="Calibri" w:cs="Times New Roman"/>
                <w:i/>
                <w:color w:val="000000"/>
                <w:sz w:val="20"/>
                <w:szCs w:val="22"/>
              </w:rPr>
              <w:t xml:space="preserve">Measures related to </w:t>
            </w:r>
            <w:r>
              <w:rPr>
                <w:rFonts w:ascii="Calibri" w:eastAsia="Times New Roman" w:hAnsi="Calibri" w:cs="Times New Roman"/>
                <w:i/>
                <w:color w:val="000000"/>
                <w:sz w:val="20"/>
                <w:szCs w:val="22"/>
              </w:rPr>
              <w:t xml:space="preserve">confidence in </w:t>
            </w:r>
            <w:r w:rsidRPr="00B34398">
              <w:rPr>
                <w:rFonts w:ascii="Calibri" w:eastAsia="Times New Roman" w:hAnsi="Calibri" w:cs="Times New Roman"/>
                <w:i/>
                <w:color w:val="000000"/>
                <w:sz w:val="20"/>
                <w:szCs w:val="22"/>
              </w:rPr>
              <w:t>registrations and resolutions</w:t>
            </w:r>
            <w:r>
              <w:rPr>
                <w:rFonts w:ascii="Calibri" w:eastAsia="Times New Roman" w:hAnsi="Calibri" w:cs="Times New Roman"/>
                <w:i/>
                <w:color w:val="000000"/>
                <w:sz w:val="20"/>
                <w:szCs w:val="22"/>
              </w:rPr>
              <w:t>:</w:t>
            </w:r>
          </w:p>
        </w:tc>
      </w:tr>
      <w:tr w:rsidR="000F60A7" w:rsidRPr="00AD5C36" w14:paraId="1B931847" w14:textId="77777777" w:rsidTr="000F60A7">
        <w:trPr>
          <w:trHeight w:val="690"/>
        </w:trPr>
        <w:tc>
          <w:tcPr>
            <w:tcW w:w="3785" w:type="dxa"/>
            <w:shd w:val="clear" w:color="auto" w:fill="auto"/>
            <w:noWrap/>
            <w:vAlign w:val="center"/>
            <w:hideMark/>
          </w:tcPr>
          <w:p w14:paraId="1A243F89" w14:textId="77777777" w:rsidR="000F60A7" w:rsidRPr="00AD5C36" w:rsidRDefault="000F60A7" w:rsidP="005F63A9">
            <w:pPr>
              <w:spacing w:before="60" w:after="60"/>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 DNS Service Availability</w:t>
            </w:r>
            <w:r>
              <w:rPr>
                <w:rFonts w:ascii="Calibri" w:eastAsia="Times New Roman" w:hAnsi="Calibri" w:cs="Times New Roman"/>
                <w:color w:val="000000"/>
                <w:sz w:val="20"/>
                <w:szCs w:val="22"/>
              </w:rPr>
              <w:t xml:space="preserve"> (present SLA is 100%)</w:t>
            </w:r>
          </w:p>
        </w:tc>
        <w:tc>
          <w:tcPr>
            <w:tcW w:w="1080" w:type="dxa"/>
            <w:shd w:val="clear" w:color="auto" w:fill="auto"/>
            <w:noWrap/>
            <w:vAlign w:val="center"/>
            <w:hideMark/>
          </w:tcPr>
          <w:p w14:paraId="4FD11FB6"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ICANN</w:t>
            </w:r>
          </w:p>
        </w:tc>
        <w:tc>
          <w:tcPr>
            <w:tcW w:w="2790" w:type="dxa"/>
            <w:vAlign w:val="center"/>
          </w:tcPr>
          <w:p w14:paraId="60E2E38D" w14:textId="2963891E" w:rsidR="000F60A7" w:rsidRDefault="00296991"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None noted</w:t>
            </w:r>
          </w:p>
        </w:tc>
        <w:tc>
          <w:tcPr>
            <w:tcW w:w="1530" w:type="dxa"/>
            <w:shd w:val="clear" w:color="auto" w:fill="auto"/>
            <w:vAlign w:val="center"/>
          </w:tcPr>
          <w:p w14:paraId="24BA5672" w14:textId="799EEC79"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100%</w:t>
            </w:r>
          </w:p>
        </w:tc>
      </w:tr>
      <w:tr w:rsidR="000F60A7" w:rsidRPr="00AD5C36" w14:paraId="255668A0" w14:textId="77777777" w:rsidTr="000F60A7">
        <w:trPr>
          <w:trHeight w:val="690"/>
        </w:trPr>
        <w:tc>
          <w:tcPr>
            <w:tcW w:w="3785" w:type="dxa"/>
            <w:shd w:val="clear" w:color="auto" w:fill="auto"/>
            <w:noWrap/>
            <w:vAlign w:val="center"/>
            <w:hideMark/>
          </w:tcPr>
          <w:p w14:paraId="75170C7E" w14:textId="00188AD6" w:rsidR="000F60A7" w:rsidRPr="00AD5C36" w:rsidRDefault="000F60A7" w:rsidP="003F10B2">
            <w:pPr>
              <w:spacing w:before="60" w:after="60"/>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 Availability</w:t>
            </w:r>
            <w:r>
              <w:rPr>
                <w:rFonts w:ascii="Calibri" w:eastAsia="Times New Roman" w:hAnsi="Calibri" w:cs="Times New Roman"/>
                <w:color w:val="000000"/>
                <w:sz w:val="20"/>
                <w:szCs w:val="22"/>
              </w:rPr>
              <w:t xml:space="preserve"> for </w:t>
            </w:r>
            <w:r w:rsidRPr="008571FE">
              <w:rPr>
                <w:rFonts w:ascii="Calibri" w:eastAsia="Times New Roman" w:hAnsi="Calibri" w:cs="Times New Roman"/>
                <w:color w:val="000000"/>
                <w:sz w:val="20"/>
                <w:szCs w:val="22"/>
              </w:rPr>
              <w:t>Registration Data Directory Services</w:t>
            </w:r>
            <w:r w:rsidR="003F10B2">
              <w:rPr>
                <w:rFonts w:ascii="Calibri" w:eastAsia="Times New Roman" w:hAnsi="Calibri" w:cs="Times New Roman"/>
                <w:color w:val="000000"/>
                <w:sz w:val="20"/>
                <w:szCs w:val="22"/>
              </w:rPr>
              <w:t xml:space="preserve"> (RDDS).   (</w:t>
            </w:r>
            <w:r>
              <w:rPr>
                <w:rFonts w:ascii="Calibri" w:eastAsia="Times New Roman" w:hAnsi="Calibri" w:cs="Times New Roman"/>
                <w:color w:val="000000"/>
                <w:sz w:val="20"/>
                <w:szCs w:val="22"/>
              </w:rPr>
              <w:t xml:space="preserve">SLA </w:t>
            </w:r>
            <w:r w:rsidR="003F10B2">
              <w:rPr>
                <w:rFonts w:ascii="Calibri" w:eastAsia="Times New Roman" w:hAnsi="Calibri" w:cs="Times New Roman"/>
                <w:color w:val="000000"/>
                <w:sz w:val="20"/>
                <w:szCs w:val="22"/>
              </w:rPr>
              <w:t xml:space="preserve">is </w:t>
            </w:r>
            <w:r>
              <w:rPr>
                <w:rFonts w:ascii="Calibri" w:eastAsia="Times New Roman" w:hAnsi="Calibri" w:cs="Times New Roman"/>
                <w:color w:val="000000"/>
                <w:sz w:val="20"/>
                <w:szCs w:val="22"/>
              </w:rPr>
              <w:t>98%)</w:t>
            </w:r>
          </w:p>
        </w:tc>
        <w:tc>
          <w:tcPr>
            <w:tcW w:w="1080" w:type="dxa"/>
            <w:shd w:val="clear" w:color="auto" w:fill="auto"/>
            <w:noWrap/>
            <w:vAlign w:val="center"/>
            <w:hideMark/>
          </w:tcPr>
          <w:p w14:paraId="7B68B850"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ICANN</w:t>
            </w:r>
          </w:p>
        </w:tc>
        <w:tc>
          <w:tcPr>
            <w:tcW w:w="2790" w:type="dxa"/>
            <w:vAlign w:val="center"/>
          </w:tcPr>
          <w:p w14:paraId="7760E810" w14:textId="31DDDADB" w:rsidR="000F60A7" w:rsidRDefault="00296991"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None noted</w:t>
            </w:r>
          </w:p>
        </w:tc>
        <w:tc>
          <w:tcPr>
            <w:tcW w:w="1530" w:type="dxa"/>
            <w:shd w:val="clear" w:color="auto" w:fill="auto"/>
            <w:vAlign w:val="center"/>
          </w:tcPr>
          <w:p w14:paraId="7B73D244" w14:textId="7B409354"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98%</w:t>
            </w:r>
          </w:p>
        </w:tc>
      </w:tr>
      <w:tr w:rsidR="000F60A7" w:rsidRPr="00AD5C36" w14:paraId="4EE14687" w14:textId="77777777" w:rsidTr="000F60A7">
        <w:trPr>
          <w:trHeight w:val="690"/>
        </w:trPr>
        <w:tc>
          <w:tcPr>
            <w:tcW w:w="3785" w:type="dxa"/>
            <w:shd w:val="clear" w:color="auto" w:fill="auto"/>
            <w:noWrap/>
            <w:vAlign w:val="center"/>
            <w:hideMark/>
          </w:tcPr>
          <w:p w14:paraId="7EF88794" w14:textId="4892F1EF" w:rsidR="000F60A7" w:rsidRPr="000812DC" w:rsidRDefault="000F60A7" w:rsidP="003F10B2">
            <w:pPr>
              <w:spacing w:before="60" w:after="60"/>
              <w:rPr>
                <w:rFonts w:ascii="Calibri" w:eastAsia="Times New Roman" w:hAnsi="Calibri" w:cs="Times New Roman"/>
                <w:bCs/>
                <w:color w:val="000000"/>
                <w:sz w:val="20"/>
                <w:szCs w:val="22"/>
              </w:rPr>
            </w:pPr>
            <w:r w:rsidRPr="00AD5C36">
              <w:rPr>
                <w:rFonts w:ascii="Calibri" w:eastAsia="Times New Roman" w:hAnsi="Calibri" w:cs="Times New Roman"/>
                <w:color w:val="000000"/>
                <w:sz w:val="20"/>
                <w:szCs w:val="22"/>
              </w:rPr>
              <w:t xml:space="preserve">% </w:t>
            </w:r>
            <w:r>
              <w:rPr>
                <w:rFonts w:ascii="Calibri" w:eastAsia="Times New Roman" w:hAnsi="Calibri" w:cs="Times New Roman"/>
                <w:color w:val="000000"/>
                <w:sz w:val="20"/>
                <w:szCs w:val="22"/>
              </w:rPr>
              <w:t>of</w:t>
            </w:r>
            <w:r w:rsidRPr="00AD5C36">
              <w:rPr>
                <w:rFonts w:ascii="Calibri" w:eastAsia="Times New Roman" w:hAnsi="Calibri" w:cs="Times New Roman"/>
                <w:color w:val="000000"/>
                <w:sz w:val="20"/>
                <w:szCs w:val="22"/>
              </w:rPr>
              <w:t xml:space="preserve"> Service Availability</w:t>
            </w:r>
            <w:r>
              <w:rPr>
                <w:rFonts w:ascii="Calibri" w:eastAsia="Times New Roman" w:hAnsi="Calibri" w:cs="Times New Roman"/>
                <w:color w:val="000000"/>
                <w:sz w:val="20"/>
                <w:szCs w:val="22"/>
              </w:rPr>
              <w:t xml:space="preserve"> </w:t>
            </w:r>
            <w:r w:rsidRPr="008571FE">
              <w:rPr>
                <w:rFonts w:ascii="Calibri" w:eastAsia="Times New Roman" w:hAnsi="Calibri" w:cs="Times New Roman"/>
                <w:color w:val="000000"/>
                <w:sz w:val="20"/>
                <w:szCs w:val="22"/>
              </w:rPr>
              <w:t xml:space="preserve">for </w:t>
            </w:r>
            <w:r w:rsidRPr="008571FE">
              <w:rPr>
                <w:rFonts w:ascii="Calibri" w:eastAsia="Times New Roman" w:hAnsi="Calibri" w:cs="Times New Roman"/>
                <w:bCs/>
                <w:color w:val="000000"/>
                <w:sz w:val="20"/>
                <w:szCs w:val="22"/>
              </w:rPr>
              <w:t>Extensible Provisioning Protocol</w:t>
            </w:r>
            <w:r>
              <w:rPr>
                <w:rFonts w:ascii="Calibri" w:eastAsia="Times New Roman" w:hAnsi="Calibri" w:cs="Times New Roman"/>
                <w:bCs/>
                <w:color w:val="000000"/>
                <w:sz w:val="20"/>
                <w:szCs w:val="22"/>
              </w:rPr>
              <w:t xml:space="preserve"> (EPP).  (SLA is 98%)</w:t>
            </w:r>
          </w:p>
        </w:tc>
        <w:tc>
          <w:tcPr>
            <w:tcW w:w="1080" w:type="dxa"/>
            <w:shd w:val="clear" w:color="auto" w:fill="auto"/>
            <w:noWrap/>
            <w:vAlign w:val="center"/>
            <w:hideMark/>
          </w:tcPr>
          <w:p w14:paraId="2A66C804"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ICANN</w:t>
            </w:r>
          </w:p>
        </w:tc>
        <w:tc>
          <w:tcPr>
            <w:tcW w:w="2790" w:type="dxa"/>
            <w:vAlign w:val="center"/>
          </w:tcPr>
          <w:p w14:paraId="131CCFC3" w14:textId="2721D5C2" w:rsidR="000F60A7" w:rsidRDefault="00296991"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None noted</w:t>
            </w:r>
          </w:p>
        </w:tc>
        <w:tc>
          <w:tcPr>
            <w:tcW w:w="1530" w:type="dxa"/>
            <w:shd w:val="clear" w:color="auto" w:fill="auto"/>
            <w:vAlign w:val="center"/>
          </w:tcPr>
          <w:p w14:paraId="441403C4" w14:textId="5BB3930A"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98%</w:t>
            </w:r>
          </w:p>
        </w:tc>
      </w:tr>
      <w:tr w:rsidR="000F60A7" w:rsidRPr="00AD5C36" w14:paraId="3B4875C7" w14:textId="77777777" w:rsidTr="000F60A7">
        <w:trPr>
          <w:trHeight w:val="690"/>
        </w:trPr>
        <w:tc>
          <w:tcPr>
            <w:tcW w:w="3785" w:type="dxa"/>
            <w:shd w:val="clear" w:color="auto" w:fill="auto"/>
            <w:noWrap/>
            <w:vAlign w:val="center"/>
            <w:hideMark/>
          </w:tcPr>
          <w:p w14:paraId="335B7818" w14:textId="77777777" w:rsidR="000F60A7" w:rsidRPr="00AD5C36" w:rsidRDefault="000F60A7" w:rsidP="005F63A9">
            <w:pPr>
              <w:spacing w:before="60" w:after="60"/>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Survey</w:t>
            </w:r>
            <w:r>
              <w:rPr>
                <w:rFonts w:ascii="Calibri" w:eastAsia="Times New Roman" w:hAnsi="Calibri" w:cs="Times New Roman"/>
                <w:color w:val="000000"/>
                <w:sz w:val="20"/>
                <w:szCs w:val="22"/>
              </w:rPr>
              <w:t xml:space="preserve"> of perceived consumer trust in DNS, relative to experiences before the gTLD expansion.  Survey could measure experiences with malware and spam; c</w:t>
            </w:r>
            <w:r w:rsidRPr="009F24F1">
              <w:rPr>
                <w:rFonts w:ascii="Calibri" w:eastAsia="Times New Roman" w:hAnsi="Calibri" w:cs="Times New Roman"/>
                <w:color w:val="000000"/>
                <w:sz w:val="20"/>
                <w:szCs w:val="22"/>
              </w:rPr>
              <w:t>onfusion</w:t>
            </w:r>
            <w:r>
              <w:rPr>
                <w:rFonts w:ascii="Calibri" w:eastAsia="Times New Roman" w:hAnsi="Calibri" w:cs="Times New Roman"/>
                <w:color w:val="000000"/>
                <w:sz w:val="20"/>
                <w:szCs w:val="22"/>
              </w:rPr>
              <w:t xml:space="preserve"> about new </w:t>
            </w:r>
            <w:proofErr w:type="spellStart"/>
            <w:r>
              <w:rPr>
                <w:rFonts w:ascii="Calibri" w:eastAsia="Times New Roman" w:hAnsi="Calibri" w:cs="Times New Roman"/>
                <w:color w:val="000000"/>
                <w:sz w:val="20"/>
                <w:szCs w:val="22"/>
              </w:rPr>
              <w:t>gTLDs</w:t>
            </w:r>
            <w:proofErr w:type="spellEnd"/>
            <w:r>
              <w:rPr>
                <w:rFonts w:ascii="Calibri" w:eastAsia="Times New Roman" w:hAnsi="Calibri" w:cs="Times New Roman"/>
                <w:color w:val="000000"/>
                <w:sz w:val="20"/>
                <w:szCs w:val="22"/>
              </w:rPr>
              <w:t xml:space="preserve">; </w:t>
            </w:r>
            <w:r w:rsidRPr="009F24F1">
              <w:rPr>
                <w:rFonts w:ascii="Calibri" w:eastAsia="Times New Roman" w:hAnsi="Calibri" w:cs="Times New Roman"/>
                <w:color w:val="000000"/>
                <w:sz w:val="20"/>
                <w:szCs w:val="22"/>
              </w:rPr>
              <w:t xml:space="preserve"> </w:t>
            </w:r>
          </w:p>
        </w:tc>
        <w:tc>
          <w:tcPr>
            <w:tcW w:w="1080" w:type="dxa"/>
            <w:shd w:val="clear" w:color="auto" w:fill="auto"/>
            <w:noWrap/>
            <w:vAlign w:val="center"/>
            <w:hideMark/>
          </w:tcPr>
          <w:p w14:paraId="72903CD0" w14:textId="77777777"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Survey Vendor</w:t>
            </w:r>
          </w:p>
        </w:tc>
        <w:tc>
          <w:tcPr>
            <w:tcW w:w="2790" w:type="dxa"/>
            <w:vAlign w:val="center"/>
          </w:tcPr>
          <w:p w14:paraId="35C135B1" w14:textId="77777777" w:rsidR="00296991" w:rsidRDefault="00296991" w:rsidP="00296991">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Moderate </w:t>
            </w:r>
            <w:r w:rsidR="000F60A7">
              <w:rPr>
                <w:rFonts w:ascii="Calibri" w:eastAsia="Times New Roman" w:hAnsi="Calibri" w:cs="Times New Roman"/>
                <w:color w:val="000000"/>
                <w:sz w:val="20"/>
                <w:szCs w:val="22"/>
              </w:rPr>
              <w:t>difficult</w:t>
            </w:r>
            <w:r>
              <w:rPr>
                <w:rFonts w:ascii="Calibri" w:eastAsia="Times New Roman" w:hAnsi="Calibri" w:cs="Times New Roman"/>
                <w:color w:val="000000"/>
                <w:sz w:val="20"/>
                <w:szCs w:val="22"/>
              </w:rPr>
              <w:t>y</w:t>
            </w:r>
            <w:r w:rsidR="000F60A7">
              <w:rPr>
                <w:rFonts w:ascii="Calibri" w:eastAsia="Times New Roman" w:hAnsi="Calibri" w:cs="Times New Roman"/>
                <w:color w:val="000000"/>
                <w:sz w:val="20"/>
                <w:szCs w:val="22"/>
              </w:rPr>
              <w:t xml:space="preserve"> to gain consensus on survey questions.  </w:t>
            </w:r>
          </w:p>
          <w:p w14:paraId="68E46292" w14:textId="5035AA81" w:rsidR="000F60A7" w:rsidRDefault="000F60A7" w:rsidP="00296991">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Survey cost </w:t>
            </w:r>
            <w:r w:rsidR="00296991">
              <w:rPr>
                <w:rFonts w:ascii="Calibri" w:eastAsia="Times New Roman" w:hAnsi="Calibri" w:cs="Times New Roman"/>
                <w:color w:val="000000"/>
                <w:sz w:val="20"/>
                <w:szCs w:val="22"/>
              </w:rPr>
              <w:t xml:space="preserve">is </w:t>
            </w:r>
            <w:r>
              <w:rPr>
                <w:rFonts w:ascii="Calibri" w:eastAsia="Times New Roman" w:hAnsi="Calibri" w:cs="Times New Roman"/>
                <w:color w:val="000000"/>
                <w:sz w:val="20"/>
                <w:szCs w:val="22"/>
              </w:rPr>
              <w:t>approx. $100K.</w:t>
            </w:r>
          </w:p>
        </w:tc>
        <w:tc>
          <w:tcPr>
            <w:tcW w:w="1530" w:type="dxa"/>
            <w:shd w:val="clear" w:color="auto" w:fill="auto"/>
            <w:vAlign w:val="center"/>
          </w:tcPr>
          <w:p w14:paraId="2279F213" w14:textId="6438AE0E" w:rsidR="000F60A7"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Should show improvement on all survey measures</w:t>
            </w:r>
          </w:p>
        </w:tc>
      </w:tr>
      <w:tr w:rsidR="000F60A7" w:rsidRPr="00AD5C36" w14:paraId="49D4667B" w14:textId="77777777" w:rsidTr="000F60A7">
        <w:trPr>
          <w:trHeight w:val="690"/>
        </w:trPr>
        <w:tc>
          <w:tcPr>
            <w:tcW w:w="3785" w:type="dxa"/>
            <w:shd w:val="clear" w:color="auto" w:fill="auto"/>
            <w:noWrap/>
            <w:vAlign w:val="center"/>
          </w:tcPr>
          <w:p w14:paraId="65DB39F1" w14:textId="77777777" w:rsidR="000F60A7" w:rsidRPr="00AD5C36" w:rsidRDefault="000F60A7" w:rsidP="005F63A9">
            <w:pPr>
              <w:spacing w:before="60" w:after="60"/>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 xml:space="preserve">% Uptime </w:t>
            </w:r>
            <w:r>
              <w:rPr>
                <w:rFonts w:ascii="Calibri" w:eastAsia="Times New Roman" w:hAnsi="Calibri" w:cs="Times New Roman"/>
                <w:color w:val="000000"/>
                <w:sz w:val="20"/>
                <w:szCs w:val="22"/>
              </w:rPr>
              <w:t xml:space="preserve">for </w:t>
            </w:r>
            <w:r w:rsidRPr="00AD5C36">
              <w:rPr>
                <w:rFonts w:ascii="Calibri" w:eastAsia="Times New Roman" w:hAnsi="Calibri" w:cs="Times New Roman"/>
                <w:color w:val="000000"/>
                <w:sz w:val="20"/>
                <w:szCs w:val="22"/>
              </w:rPr>
              <w:t>Registrar</w:t>
            </w:r>
            <w:r>
              <w:rPr>
                <w:rFonts w:ascii="Calibri" w:eastAsia="Times New Roman" w:hAnsi="Calibri" w:cs="Times New Roman"/>
                <w:color w:val="000000"/>
                <w:sz w:val="20"/>
                <w:szCs w:val="22"/>
              </w:rPr>
              <w:t xml:space="preserve"> services such as WHOIS, contact info, and complaints, assuming that SLAs are established for these measures in the new RAA</w:t>
            </w:r>
          </w:p>
        </w:tc>
        <w:tc>
          <w:tcPr>
            <w:tcW w:w="1080" w:type="dxa"/>
            <w:shd w:val="clear" w:color="auto" w:fill="auto"/>
            <w:noWrap/>
            <w:vAlign w:val="center"/>
          </w:tcPr>
          <w:p w14:paraId="0DB73FF1" w14:textId="77777777" w:rsidR="000F60A7"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Registrar</w:t>
            </w:r>
          </w:p>
        </w:tc>
        <w:tc>
          <w:tcPr>
            <w:tcW w:w="2790" w:type="dxa"/>
            <w:vAlign w:val="center"/>
          </w:tcPr>
          <w:p w14:paraId="3809BFC2" w14:textId="4C60E3C0" w:rsidR="000F60A7"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Doubtful that Registrars will compile and disclose uptime stats unless required by RAA</w:t>
            </w:r>
          </w:p>
        </w:tc>
        <w:tc>
          <w:tcPr>
            <w:tcW w:w="1530" w:type="dxa"/>
            <w:shd w:val="clear" w:color="auto" w:fill="auto"/>
            <w:vAlign w:val="center"/>
          </w:tcPr>
          <w:p w14:paraId="4A1CB18E" w14:textId="1CA66F55" w:rsidR="000F60A7"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SLA in RAA</w:t>
            </w:r>
          </w:p>
        </w:tc>
      </w:tr>
      <w:tr w:rsidR="005F63A9" w:rsidRPr="00AD5C36" w14:paraId="3654843C" w14:textId="77777777" w:rsidTr="005F63A9">
        <w:tc>
          <w:tcPr>
            <w:tcW w:w="9185" w:type="dxa"/>
            <w:gridSpan w:val="4"/>
            <w:shd w:val="clear" w:color="auto" w:fill="auto"/>
            <w:noWrap/>
            <w:vAlign w:val="center"/>
          </w:tcPr>
          <w:p w14:paraId="1BA2243A" w14:textId="4446AA55" w:rsidR="005F63A9" w:rsidRDefault="005F63A9" w:rsidP="005F63A9">
            <w:pPr>
              <w:spacing w:before="60" w:after="60"/>
              <w:rPr>
                <w:rFonts w:ascii="Calibri" w:eastAsia="Times New Roman" w:hAnsi="Calibri" w:cs="Times New Roman"/>
                <w:color w:val="000000"/>
                <w:sz w:val="20"/>
                <w:szCs w:val="22"/>
              </w:rPr>
            </w:pPr>
            <w:r w:rsidRPr="00B34398">
              <w:rPr>
                <w:rFonts w:ascii="Calibri" w:eastAsia="Times New Roman" w:hAnsi="Calibri" w:cs="Times New Roman"/>
                <w:i/>
                <w:color w:val="000000"/>
                <w:sz w:val="20"/>
                <w:szCs w:val="22"/>
              </w:rPr>
              <w:t xml:space="preserve">Measures related to </w:t>
            </w:r>
            <w:r>
              <w:rPr>
                <w:rFonts w:ascii="Calibri" w:eastAsia="Times New Roman" w:hAnsi="Calibri" w:cs="Times New Roman"/>
                <w:i/>
                <w:color w:val="000000"/>
                <w:sz w:val="20"/>
                <w:szCs w:val="22"/>
              </w:rPr>
              <w:t>confidence that TLD operators are fulfilling promises and complying with ICANN policies and applicable national laws:</w:t>
            </w:r>
          </w:p>
        </w:tc>
      </w:tr>
      <w:tr w:rsidR="000F60A7" w:rsidRPr="00AD5C36" w14:paraId="6C9172E2" w14:textId="77777777" w:rsidTr="000F60A7">
        <w:trPr>
          <w:trHeight w:val="690"/>
        </w:trPr>
        <w:tc>
          <w:tcPr>
            <w:tcW w:w="3785" w:type="dxa"/>
            <w:shd w:val="clear" w:color="auto" w:fill="auto"/>
            <w:noWrap/>
            <w:vAlign w:val="center"/>
            <w:hideMark/>
          </w:tcPr>
          <w:p w14:paraId="7FD6564F" w14:textId="77777777" w:rsidR="000F60A7" w:rsidRPr="00AD5C36"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Relative incidence of</w:t>
            </w:r>
            <w:r w:rsidRPr="00AD5C36">
              <w:rPr>
                <w:rFonts w:ascii="Calibri" w:eastAsia="Times New Roman" w:hAnsi="Calibri" w:cs="Times New Roman"/>
                <w:color w:val="000000"/>
                <w:sz w:val="20"/>
                <w:szCs w:val="22"/>
              </w:rPr>
              <w:t xml:space="preserve"> notices</w:t>
            </w:r>
            <w:r>
              <w:rPr>
                <w:rFonts w:ascii="Calibri" w:eastAsia="Times New Roman" w:hAnsi="Calibri" w:cs="Times New Roman"/>
                <w:color w:val="000000"/>
                <w:sz w:val="20"/>
                <w:szCs w:val="22"/>
              </w:rPr>
              <w:t xml:space="preserve"> issued to</w:t>
            </w:r>
            <w:r w:rsidRPr="00AD5C36">
              <w:rPr>
                <w:rFonts w:ascii="Calibri" w:eastAsia="Times New Roman" w:hAnsi="Calibri" w:cs="Times New Roman"/>
                <w:color w:val="000000"/>
                <w:sz w:val="20"/>
                <w:szCs w:val="22"/>
              </w:rPr>
              <w:t xml:space="preserve"> Registry </w:t>
            </w:r>
            <w:r>
              <w:rPr>
                <w:rFonts w:ascii="Calibri" w:eastAsia="Times New Roman" w:hAnsi="Calibri" w:cs="Times New Roman"/>
                <w:color w:val="000000"/>
                <w:sz w:val="20"/>
                <w:szCs w:val="22"/>
              </w:rPr>
              <w:t>operators, for contract or policy compliance matters</w:t>
            </w:r>
          </w:p>
        </w:tc>
        <w:tc>
          <w:tcPr>
            <w:tcW w:w="1080" w:type="dxa"/>
            <w:shd w:val="clear" w:color="auto" w:fill="auto"/>
            <w:noWrap/>
            <w:vAlign w:val="center"/>
            <w:hideMark/>
          </w:tcPr>
          <w:p w14:paraId="30E96A7C"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ICANN</w:t>
            </w:r>
          </w:p>
        </w:tc>
        <w:tc>
          <w:tcPr>
            <w:tcW w:w="2790" w:type="dxa"/>
            <w:vAlign w:val="center"/>
          </w:tcPr>
          <w:p w14:paraId="309E0748" w14:textId="581230EB" w:rsidR="000F60A7" w:rsidRDefault="00296991"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None noted</w:t>
            </w:r>
          </w:p>
        </w:tc>
        <w:tc>
          <w:tcPr>
            <w:tcW w:w="1530" w:type="dxa"/>
            <w:shd w:val="clear" w:color="auto" w:fill="auto"/>
            <w:vAlign w:val="center"/>
          </w:tcPr>
          <w:p w14:paraId="05A6D6F7" w14:textId="38AF1AA5"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Lower than incidence in legacy </w:t>
            </w:r>
            <w:proofErr w:type="spellStart"/>
            <w:r>
              <w:rPr>
                <w:rFonts w:ascii="Calibri" w:eastAsia="Times New Roman" w:hAnsi="Calibri" w:cs="Times New Roman"/>
                <w:color w:val="000000"/>
                <w:sz w:val="20"/>
                <w:szCs w:val="22"/>
              </w:rPr>
              <w:t>gTLDs</w:t>
            </w:r>
            <w:proofErr w:type="spellEnd"/>
          </w:p>
        </w:tc>
      </w:tr>
      <w:tr w:rsidR="000F60A7" w:rsidRPr="00AD5C36" w14:paraId="34E91D01" w14:textId="77777777" w:rsidTr="000F60A7">
        <w:trPr>
          <w:trHeight w:val="690"/>
        </w:trPr>
        <w:tc>
          <w:tcPr>
            <w:tcW w:w="3785" w:type="dxa"/>
            <w:shd w:val="clear" w:color="auto" w:fill="auto"/>
            <w:noWrap/>
            <w:vAlign w:val="center"/>
            <w:hideMark/>
          </w:tcPr>
          <w:p w14:paraId="22F127F0" w14:textId="77777777" w:rsidR="000F60A7" w:rsidRPr="00AD5C36"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Relative incidence of </w:t>
            </w:r>
            <w:r w:rsidRPr="00AD5C36">
              <w:rPr>
                <w:rFonts w:ascii="Calibri" w:eastAsia="Times New Roman" w:hAnsi="Calibri" w:cs="Times New Roman"/>
                <w:color w:val="000000"/>
                <w:sz w:val="20"/>
                <w:szCs w:val="22"/>
              </w:rPr>
              <w:t>bre</w:t>
            </w:r>
            <w:r>
              <w:rPr>
                <w:rFonts w:ascii="Calibri" w:eastAsia="Times New Roman" w:hAnsi="Calibri" w:cs="Times New Roman"/>
                <w:color w:val="000000"/>
                <w:sz w:val="20"/>
                <w:szCs w:val="22"/>
              </w:rPr>
              <w:t xml:space="preserve">ach notices issued to </w:t>
            </w:r>
            <w:r w:rsidRPr="00AD5C36">
              <w:rPr>
                <w:rFonts w:ascii="Calibri" w:eastAsia="Times New Roman" w:hAnsi="Calibri" w:cs="Times New Roman"/>
                <w:color w:val="000000"/>
                <w:sz w:val="20"/>
                <w:szCs w:val="22"/>
              </w:rPr>
              <w:t>Registrar</w:t>
            </w:r>
            <w:r>
              <w:rPr>
                <w:rFonts w:ascii="Calibri" w:eastAsia="Times New Roman" w:hAnsi="Calibri" w:cs="Times New Roman"/>
                <w:color w:val="000000"/>
                <w:sz w:val="20"/>
                <w:szCs w:val="22"/>
              </w:rPr>
              <w:t>s, for contract or policy compliance matters</w:t>
            </w:r>
          </w:p>
        </w:tc>
        <w:tc>
          <w:tcPr>
            <w:tcW w:w="1080" w:type="dxa"/>
            <w:shd w:val="clear" w:color="auto" w:fill="auto"/>
            <w:noWrap/>
            <w:vAlign w:val="center"/>
            <w:hideMark/>
          </w:tcPr>
          <w:p w14:paraId="2329A76C"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ICANN</w:t>
            </w:r>
          </w:p>
        </w:tc>
        <w:tc>
          <w:tcPr>
            <w:tcW w:w="2790" w:type="dxa"/>
            <w:vAlign w:val="center"/>
          </w:tcPr>
          <w:p w14:paraId="01E404B9" w14:textId="4CEB7F1D" w:rsidR="000F60A7" w:rsidRDefault="00296991"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None noted</w:t>
            </w:r>
          </w:p>
        </w:tc>
        <w:tc>
          <w:tcPr>
            <w:tcW w:w="1530" w:type="dxa"/>
            <w:shd w:val="clear" w:color="auto" w:fill="auto"/>
            <w:vAlign w:val="center"/>
          </w:tcPr>
          <w:p w14:paraId="1008992D" w14:textId="398A18BE"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Lower than incidence in legacy </w:t>
            </w:r>
            <w:proofErr w:type="spellStart"/>
            <w:r>
              <w:rPr>
                <w:rFonts w:ascii="Calibri" w:eastAsia="Times New Roman" w:hAnsi="Calibri" w:cs="Times New Roman"/>
                <w:color w:val="000000"/>
                <w:sz w:val="20"/>
                <w:szCs w:val="22"/>
              </w:rPr>
              <w:t>gTLDs</w:t>
            </w:r>
            <w:proofErr w:type="spellEnd"/>
          </w:p>
        </w:tc>
      </w:tr>
      <w:tr w:rsidR="000F60A7" w:rsidRPr="00AD5C36" w14:paraId="2F09A0C6" w14:textId="77777777" w:rsidTr="000F60A7">
        <w:trPr>
          <w:trHeight w:val="690"/>
        </w:trPr>
        <w:tc>
          <w:tcPr>
            <w:tcW w:w="3785" w:type="dxa"/>
            <w:shd w:val="clear" w:color="auto" w:fill="auto"/>
            <w:noWrap/>
            <w:vAlign w:val="center"/>
            <w:hideMark/>
          </w:tcPr>
          <w:p w14:paraId="6E0A780B" w14:textId="2D82F89B" w:rsidR="000F60A7" w:rsidRPr="00AD5C36" w:rsidRDefault="003F10B2" w:rsidP="003F10B2">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R</w:t>
            </w:r>
            <w:r w:rsidR="000F60A7">
              <w:rPr>
                <w:rFonts w:ascii="Calibri" w:eastAsia="Times New Roman" w:hAnsi="Calibri" w:cs="Times New Roman"/>
                <w:color w:val="000000"/>
                <w:sz w:val="20"/>
                <w:szCs w:val="22"/>
              </w:rPr>
              <w:t xml:space="preserve">elative incidence of </w:t>
            </w:r>
            <w:r w:rsidR="000F60A7" w:rsidRPr="00AD5C36">
              <w:rPr>
                <w:rFonts w:ascii="Calibri" w:eastAsia="Times New Roman" w:hAnsi="Calibri" w:cs="Times New Roman"/>
                <w:color w:val="000000"/>
                <w:sz w:val="20"/>
                <w:szCs w:val="22"/>
              </w:rPr>
              <w:t xml:space="preserve">UDRP </w:t>
            </w:r>
            <w:r w:rsidR="000F60A7" w:rsidRPr="008571FE">
              <w:rPr>
                <w:rFonts w:ascii="Calibri" w:eastAsia="Times New Roman" w:hAnsi="Calibri" w:cs="Times New Roman"/>
                <w:i/>
                <w:color w:val="000000"/>
                <w:sz w:val="20"/>
                <w:szCs w:val="22"/>
              </w:rPr>
              <w:t>Complaints</w:t>
            </w:r>
            <w:r w:rsidR="000F60A7">
              <w:rPr>
                <w:rFonts w:ascii="Calibri" w:eastAsia="Times New Roman" w:hAnsi="Calibri" w:cs="Times New Roman"/>
                <w:color w:val="000000"/>
                <w:sz w:val="20"/>
                <w:szCs w:val="22"/>
              </w:rPr>
              <w:t>, before and after expansion</w:t>
            </w:r>
          </w:p>
        </w:tc>
        <w:tc>
          <w:tcPr>
            <w:tcW w:w="1080" w:type="dxa"/>
            <w:shd w:val="clear" w:color="auto" w:fill="auto"/>
            <w:noWrap/>
            <w:vAlign w:val="center"/>
            <w:hideMark/>
          </w:tcPr>
          <w:p w14:paraId="4A2DAB0D"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RPM Providers</w:t>
            </w:r>
          </w:p>
        </w:tc>
        <w:tc>
          <w:tcPr>
            <w:tcW w:w="2790" w:type="dxa"/>
            <w:vAlign w:val="center"/>
          </w:tcPr>
          <w:p w14:paraId="473B525C" w14:textId="1E380352" w:rsidR="000F60A7"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Moderate difficulty obtaining data</w:t>
            </w:r>
          </w:p>
        </w:tc>
        <w:tc>
          <w:tcPr>
            <w:tcW w:w="1530" w:type="dxa"/>
            <w:shd w:val="clear" w:color="auto" w:fill="auto"/>
            <w:vAlign w:val="center"/>
          </w:tcPr>
          <w:p w14:paraId="5508008A" w14:textId="2395DC90"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Lower than incidence in legacy </w:t>
            </w:r>
            <w:proofErr w:type="spellStart"/>
            <w:r>
              <w:rPr>
                <w:rFonts w:ascii="Calibri" w:eastAsia="Times New Roman" w:hAnsi="Calibri" w:cs="Times New Roman"/>
                <w:color w:val="000000"/>
                <w:sz w:val="20"/>
                <w:szCs w:val="22"/>
              </w:rPr>
              <w:t>gTLDs</w:t>
            </w:r>
            <w:proofErr w:type="spellEnd"/>
          </w:p>
        </w:tc>
      </w:tr>
      <w:tr w:rsidR="000F60A7" w:rsidRPr="00AD5C36" w14:paraId="366D12B0" w14:textId="77777777" w:rsidTr="000F60A7">
        <w:trPr>
          <w:trHeight w:val="690"/>
        </w:trPr>
        <w:tc>
          <w:tcPr>
            <w:tcW w:w="3785" w:type="dxa"/>
            <w:shd w:val="clear" w:color="auto" w:fill="auto"/>
            <w:noWrap/>
            <w:vAlign w:val="center"/>
            <w:hideMark/>
          </w:tcPr>
          <w:p w14:paraId="1F69A253" w14:textId="46A26485" w:rsidR="000F60A7" w:rsidRPr="00AD5C36" w:rsidRDefault="003F10B2"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R</w:t>
            </w:r>
            <w:r w:rsidR="000F60A7">
              <w:rPr>
                <w:rFonts w:ascii="Calibri" w:eastAsia="Times New Roman" w:hAnsi="Calibri" w:cs="Times New Roman"/>
                <w:color w:val="000000"/>
                <w:sz w:val="20"/>
                <w:szCs w:val="22"/>
              </w:rPr>
              <w:t xml:space="preserve">elative incidence of </w:t>
            </w:r>
            <w:r w:rsidR="000F60A7" w:rsidRPr="00AD5C36">
              <w:rPr>
                <w:rFonts w:ascii="Calibri" w:eastAsia="Times New Roman" w:hAnsi="Calibri" w:cs="Times New Roman"/>
                <w:color w:val="000000"/>
                <w:sz w:val="20"/>
                <w:szCs w:val="22"/>
              </w:rPr>
              <w:t xml:space="preserve">UDRP </w:t>
            </w:r>
            <w:r w:rsidR="000F60A7">
              <w:rPr>
                <w:rFonts w:ascii="Calibri" w:eastAsia="Times New Roman" w:hAnsi="Calibri" w:cs="Times New Roman"/>
                <w:i/>
                <w:color w:val="000000"/>
                <w:sz w:val="20"/>
                <w:szCs w:val="22"/>
              </w:rPr>
              <w:t>D</w:t>
            </w:r>
            <w:r w:rsidR="000F60A7" w:rsidRPr="008571FE">
              <w:rPr>
                <w:rFonts w:ascii="Calibri" w:eastAsia="Times New Roman" w:hAnsi="Calibri" w:cs="Times New Roman"/>
                <w:i/>
                <w:color w:val="000000"/>
                <w:sz w:val="20"/>
                <w:szCs w:val="22"/>
              </w:rPr>
              <w:t>ecisions</w:t>
            </w:r>
            <w:r w:rsidR="000F60A7">
              <w:rPr>
                <w:rFonts w:ascii="Calibri" w:eastAsia="Times New Roman" w:hAnsi="Calibri" w:cs="Times New Roman"/>
                <w:i/>
                <w:color w:val="000000"/>
                <w:sz w:val="20"/>
                <w:szCs w:val="22"/>
              </w:rPr>
              <w:t xml:space="preserve"> against registrant</w:t>
            </w:r>
            <w:r w:rsidR="000F60A7">
              <w:rPr>
                <w:rFonts w:ascii="Calibri" w:eastAsia="Times New Roman" w:hAnsi="Calibri" w:cs="Times New Roman"/>
                <w:color w:val="000000"/>
                <w:sz w:val="20"/>
                <w:szCs w:val="22"/>
              </w:rPr>
              <w:t>, before and after expansion</w:t>
            </w:r>
          </w:p>
        </w:tc>
        <w:tc>
          <w:tcPr>
            <w:tcW w:w="1080" w:type="dxa"/>
            <w:shd w:val="clear" w:color="auto" w:fill="auto"/>
            <w:noWrap/>
            <w:vAlign w:val="center"/>
            <w:hideMark/>
          </w:tcPr>
          <w:p w14:paraId="4267F71F"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RPM Providers</w:t>
            </w:r>
          </w:p>
        </w:tc>
        <w:tc>
          <w:tcPr>
            <w:tcW w:w="2790" w:type="dxa"/>
            <w:vAlign w:val="center"/>
          </w:tcPr>
          <w:p w14:paraId="51ED942A" w14:textId="6EEE232B" w:rsidR="000F60A7"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Moderate difficulty obtaining data</w:t>
            </w:r>
          </w:p>
        </w:tc>
        <w:tc>
          <w:tcPr>
            <w:tcW w:w="1530" w:type="dxa"/>
            <w:shd w:val="clear" w:color="auto" w:fill="auto"/>
            <w:vAlign w:val="center"/>
          </w:tcPr>
          <w:p w14:paraId="2980348F" w14:textId="49D3804B"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Lower than incidence in legacy </w:t>
            </w:r>
            <w:proofErr w:type="spellStart"/>
            <w:r>
              <w:rPr>
                <w:rFonts w:ascii="Calibri" w:eastAsia="Times New Roman" w:hAnsi="Calibri" w:cs="Times New Roman"/>
                <w:color w:val="000000"/>
                <w:sz w:val="20"/>
                <w:szCs w:val="22"/>
              </w:rPr>
              <w:t>gTLDs</w:t>
            </w:r>
            <w:proofErr w:type="spellEnd"/>
          </w:p>
        </w:tc>
      </w:tr>
      <w:tr w:rsidR="000F60A7" w:rsidRPr="00AD5C36" w14:paraId="462444FE" w14:textId="77777777" w:rsidTr="000F60A7">
        <w:trPr>
          <w:trHeight w:val="690"/>
        </w:trPr>
        <w:tc>
          <w:tcPr>
            <w:tcW w:w="3785" w:type="dxa"/>
            <w:shd w:val="clear" w:color="auto" w:fill="auto"/>
            <w:noWrap/>
            <w:vAlign w:val="center"/>
            <w:hideMark/>
          </w:tcPr>
          <w:p w14:paraId="1172C162" w14:textId="77777777" w:rsidR="000F60A7" w:rsidRPr="00AD5C36"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lastRenderedPageBreak/>
              <w:t>Decisions against Registry Operator arising from R</w:t>
            </w:r>
            <w:r w:rsidRPr="00AD5C36">
              <w:rPr>
                <w:rFonts w:ascii="Calibri" w:eastAsia="Times New Roman" w:hAnsi="Calibri" w:cs="Times New Roman"/>
                <w:color w:val="000000"/>
                <w:sz w:val="20"/>
                <w:szCs w:val="22"/>
              </w:rPr>
              <w:t xml:space="preserve">egistry </w:t>
            </w:r>
            <w:r>
              <w:rPr>
                <w:rFonts w:ascii="Calibri" w:eastAsia="Times New Roman" w:hAnsi="Calibri" w:cs="Times New Roman"/>
                <w:color w:val="000000"/>
                <w:sz w:val="20"/>
                <w:szCs w:val="22"/>
              </w:rPr>
              <w:t xml:space="preserve">Restrictions Dispute Resolutions Procedure (RRDRP) </w:t>
            </w:r>
          </w:p>
        </w:tc>
        <w:tc>
          <w:tcPr>
            <w:tcW w:w="1080" w:type="dxa"/>
            <w:shd w:val="clear" w:color="auto" w:fill="auto"/>
            <w:noWrap/>
            <w:vAlign w:val="center"/>
            <w:hideMark/>
          </w:tcPr>
          <w:p w14:paraId="1DD98013" w14:textId="77777777"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RRDRP </w:t>
            </w:r>
            <w:r w:rsidRPr="00AD5C36">
              <w:rPr>
                <w:rFonts w:ascii="Calibri" w:eastAsia="Times New Roman" w:hAnsi="Calibri" w:cs="Times New Roman"/>
                <w:color w:val="000000"/>
                <w:sz w:val="20"/>
                <w:szCs w:val="22"/>
              </w:rPr>
              <w:t>Providers</w:t>
            </w:r>
          </w:p>
        </w:tc>
        <w:tc>
          <w:tcPr>
            <w:tcW w:w="2790" w:type="dxa"/>
            <w:vAlign w:val="center"/>
          </w:tcPr>
          <w:p w14:paraId="6C9B4969" w14:textId="6A0CAAA6" w:rsidR="000F60A7" w:rsidRDefault="00296991"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None noted</w:t>
            </w:r>
          </w:p>
        </w:tc>
        <w:tc>
          <w:tcPr>
            <w:tcW w:w="1530" w:type="dxa"/>
            <w:shd w:val="clear" w:color="auto" w:fill="auto"/>
            <w:vAlign w:val="center"/>
          </w:tcPr>
          <w:p w14:paraId="3C13294D" w14:textId="757FD621"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Any adverse decisions</w:t>
            </w:r>
          </w:p>
        </w:tc>
      </w:tr>
      <w:tr w:rsidR="000F60A7" w:rsidRPr="00AD5C36" w14:paraId="160D7D17" w14:textId="77777777" w:rsidTr="000F60A7">
        <w:trPr>
          <w:trHeight w:val="690"/>
        </w:trPr>
        <w:tc>
          <w:tcPr>
            <w:tcW w:w="3785" w:type="dxa"/>
            <w:shd w:val="clear" w:color="auto" w:fill="auto"/>
            <w:noWrap/>
            <w:vAlign w:val="center"/>
            <w:hideMark/>
          </w:tcPr>
          <w:p w14:paraId="78778BD4" w14:textId="77777777" w:rsidR="000F60A7" w:rsidRPr="00AD5C36" w:rsidRDefault="000F60A7" w:rsidP="005F63A9">
            <w:pPr>
              <w:spacing w:before="60" w:after="60"/>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Q</w:t>
            </w:r>
            <w:r>
              <w:rPr>
                <w:rFonts w:ascii="Calibri" w:eastAsia="Times New Roman" w:hAnsi="Calibri" w:cs="Times New Roman"/>
                <w:color w:val="000000"/>
                <w:sz w:val="20"/>
                <w:szCs w:val="22"/>
              </w:rPr>
              <w:t xml:space="preserve">uantity &amp; relative incidence of </w:t>
            </w:r>
            <w:r w:rsidRPr="00AD5C36">
              <w:rPr>
                <w:rFonts w:ascii="Calibri" w:eastAsia="Times New Roman" w:hAnsi="Calibri" w:cs="Times New Roman"/>
                <w:color w:val="000000"/>
                <w:sz w:val="20"/>
                <w:szCs w:val="22"/>
              </w:rPr>
              <w:t>U</w:t>
            </w:r>
            <w:r>
              <w:rPr>
                <w:rFonts w:ascii="Calibri" w:eastAsia="Times New Roman" w:hAnsi="Calibri" w:cs="Times New Roman"/>
                <w:color w:val="000000"/>
                <w:sz w:val="20"/>
                <w:szCs w:val="22"/>
              </w:rPr>
              <w:t xml:space="preserve">RS </w:t>
            </w:r>
            <w:r w:rsidRPr="008571FE">
              <w:rPr>
                <w:rFonts w:ascii="Calibri" w:eastAsia="Times New Roman" w:hAnsi="Calibri" w:cs="Times New Roman"/>
                <w:i/>
                <w:color w:val="000000"/>
                <w:sz w:val="20"/>
                <w:szCs w:val="22"/>
              </w:rPr>
              <w:t>Complaints</w:t>
            </w:r>
          </w:p>
        </w:tc>
        <w:tc>
          <w:tcPr>
            <w:tcW w:w="1080" w:type="dxa"/>
            <w:shd w:val="clear" w:color="auto" w:fill="auto"/>
            <w:noWrap/>
            <w:vAlign w:val="center"/>
            <w:hideMark/>
          </w:tcPr>
          <w:p w14:paraId="2D3A486F"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RPM Providers</w:t>
            </w:r>
          </w:p>
        </w:tc>
        <w:tc>
          <w:tcPr>
            <w:tcW w:w="2790" w:type="dxa"/>
            <w:vAlign w:val="center"/>
          </w:tcPr>
          <w:p w14:paraId="1655B259" w14:textId="3175CDAB" w:rsidR="000F60A7"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Moderate difficulty obtaining data. Cannot compare with legacy </w:t>
            </w:r>
            <w:proofErr w:type="spellStart"/>
            <w:r>
              <w:rPr>
                <w:rFonts w:ascii="Calibri" w:eastAsia="Times New Roman" w:hAnsi="Calibri" w:cs="Times New Roman"/>
                <w:color w:val="000000"/>
                <w:sz w:val="20"/>
                <w:szCs w:val="22"/>
              </w:rPr>
              <w:t>gTLDs</w:t>
            </w:r>
            <w:proofErr w:type="spellEnd"/>
            <w:r>
              <w:rPr>
                <w:rFonts w:ascii="Calibri" w:eastAsia="Times New Roman" w:hAnsi="Calibri" w:cs="Times New Roman"/>
                <w:color w:val="000000"/>
                <w:sz w:val="20"/>
                <w:szCs w:val="22"/>
              </w:rPr>
              <w:t>.</w:t>
            </w:r>
          </w:p>
        </w:tc>
        <w:tc>
          <w:tcPr>
            <w:tcW w:w="1530" w:type="dxa"/>
            <w:shd w:val="clear" w:color="auto" w:fill="auto"/>
            <w:vAlign w:val="center"/>
          </w:tcPr>
          <w:p w14:paraId="2FF99D1F" w14:textId="2BE7A342"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Declining incidence from Year 2 to 3</w:t>
            </w:r>
          </w:p>
        </w:tc>
      </w:tr>
      <w:tr w:rsidR="000F60A7" w:rsidRPr="00AD5C36" w14:paraId="12521C15" w14:textId="77777777" w:rsidTr="000F60A7">
        <w:trPr>
          <w:trHeight w:val="690"/>
        </w:trPr>
        <w:tc>
          <w:tcPr>
            <w:tcW w:w="3785" w:type="dxa"/>
            <w:shd w:val="clear" w:color="auto" w:fill="auto"/>
            <w:noWrap/>
            <w:vAlign w:val="center"/>
            <w:hideMark/>
          </w:tcPr>
          <w:p w14:paraId="1E849221" w14:textId="444695F7" w:rsidR="000F60A7" w:rsidRPr="00AD5C36" w:rsidRDefault="000F60A7" w:rsidP="005F63A9">
            <w:pPr>
              <w:spacing w:before="60" w:after="60"/>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Q</w:t>
            </w:r>
            <w:r>
              <w:rPr>
                <w:rFonts w:ascii="Calibri" w:eastAsia="Times New Roman" w:hAnsi="Calibri" w:cs="Times New Roman"/>
                <w:color w:val="000000"/>
                <w:sz w:val="20"/>
                <w:szCs w:val="22"/>
              </w:rPr>
              <w:t xml:space="preserve">uantity &amp; relative incidence of </w:t>
            </w:r>
            <w:r w:rsidRPr="00AD5C36">
              <w:rPr>
                <w:rFonts w:ascii="Calibri" w:eastAsia="Times New Roman" w:hAnsi="Calibri" w:cs="Times New Roman"/>
                <w:color w:val="000000"/>
                <w:sz w:val="20"/>
                <w:szCs w:val="22"/>
              </w:rPr>
              <w:t>U</w:t>
            </w:r>
            <w:r>
              <w:rPr>
                <w:rFonts w:ascii="Calibri" w:eastAsia="Times New Roman" w:hAnsi="Calibri" w:cs="Times New Roman"/>
                <w:color w:val="000000"/>
                <w:sz w:val="20"/>
                <w:szCs w:val="22"/>
              </w:rPr>
              <w:t xml:space="preserve">RS </w:t>
            </w:r>
            <w:r w:rsidRPr="008571FE">
              <w:rPr>
                <w:rFonts w:ascii="Calibri" w:eastAsia="Times New Roman" w:hAnsi="Calibri" w:cs="Times New Roman"/>
                <w:i/>
                <w:color w:val="000000"/>
                <w:sz w:val="20"/>
                <w:szCs w:val="22"/>
              </w:rPr>
              <w:t>Decisions</w:t>
            </w:r>
            <w:r>
              <w:rPr>
                <w:rFonts w:ascii="Calibri" w:eastAsia="Times New Roman" w:hAnsi="Calibri" w:cs="Times New Roman"/>
                <w:i/>
                <w:color w:val="000000"/>
                <w:sz w:val="20"/>
                <w:szCs w:val="22"/>
              </w:rPr>
              <w:t xml:space="preserve"> against registrant</w:t>
            </w:r>
          </w:p>
        </w:tc>
        <w:tc>
          <w:tcPr>
            <w:tcW w:w="1080" w:type="dxa"/>
            <w:shd w:val="clear" w:color="auto" w:fill="auto"/>
            <w:noWrap/>
            <w:vAlign w:val="center"/>
            <w:hideMark/>
          </w:tcPr>
          <w:p w14:paraId="450736AF"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RPM Providers</w:t>
            </w:r>
          </w:p>
        </w:tc>
        <w:tc>
          <w:tcPr>
            <w:tcW w:w="2790" w:type="dxa"/>
            <w:vAlign w:val="center"/>
          </w:tcPr>
          <w:p w14:paraId="6B53CD42" w14:textId="054664CE" w:rsidR="000F60A7"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Moderate difficulty obtaining data. Cannot compare with legacy </w:t>
            </w:r>
            <w:proofErr w:type="spellStart"/>
            <w:r>
              <w:rPr>
                <w:rFonts w:ascii="Calibri" w:eastAsia="Times New Roman" w:hAnsi="Calibri" w:cs="Times New Roman"/>
                <w:color w:val="000000"/>
                <w:sz w:val="20"/>
                <w:szCs w:val="22"/>
              </w:rPr>
              <w:t>gTLDs</w:t>
            </w:r>
            <w:proofErr w:type="spellEnd"/>
            <w:r>
              <w:rPr>
                <w:rFonts w:ascii="Calibri" w:eastAsia="Times New Roman" w:hAnsi="Calibri" w:cs="Times New Roman"/>
                <w:color w:val="000000"/>
                <w:sz w:val="20"/>
                <w:szCs w:val="22"/>
              </w:rPr>
              <w:t>.</w:t>
            </w:r>
          </w:p>
        </w:tc>
        <w:tc>
          <w:tcPr>
            <w:tcW w:w="1530" w:type="dxa"/>
            <w:shd w:val="clear" w:color="auto" w:fill="auto"/>
            <w:vAlign w:val="center"/>
          </w:tcPr>
          <w:p w14:paraId="40C9A1D4" w14:textId="29A87995"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Declining incidence from Year 2 to 3</w:t>
            </w:r>
          </w:p>
        </w:tc>
      </w:tr>
      <w:tr w:rsidR="000F60A7" w:rsidRPr="00AD5C36" w14:paraId="1A7EF119" w14:textId="77777777" w:rsidTr="000F60A7">
        <w:trPr>
          <w:trHeight w:val="690"/>
        </w:trPr>
        <w:tc>
          <w:tcPr>
            <w:tcW w:w="3785" w:type="dxa"/>
            <w:shd w:val="clear" w:color="auto" w:fill="auto"/>
            <w:noWrap/>
            <w:vAlign w:val="center"/>
            <w:hideMark/>
          </w:tcPr>
          <w:p w14:paraId="730C11D7" w14:textId="77777777" w:rsidR="000F60A7" w:rsidRPr="00AD5C36" w:rsidRDefault="000F60A7" w:rsidP="005F63A9">
            <w:pPr>
              <w:spacing w:before="60" w:after="60"/>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Q</w:t>
            </w:r>
            <w:r>
              <w:rPr>
                <w:rFonts w:ascii="Calibri" w:eastAsia="Times New Roman" w:hAnsi="Calibri" w:cs="Times New Roman"/>
                <w:color w:val="000000"/>
                <w:sz w:val="20"/>
                <w:szCs w:val="22"/>
              </w:rPr>
              <w:t xml:space="preserve">uantity of </w:t>
            </w:r>
            <w:r w:rsidRPr="00AD5C36">
              <w:rPr>
                <w:rFonts w:ascii="Calibri" w:eastAsia="Times New Roman" w:hAnsi="Calibri" w:cs="Times New Roman"/>
                <w:color w:val="000000"/>
                <w:sz w:val="20"/>
                <w:szCs w:val="22"/>
              </w:rPr>
              <w:t>Compliance Concerns w</w:t>
            </w:r>
            <w:r>
              <w:rPr>
                <w:rFonts w:ascii="Calibri" w:eastAsia="Times New Roman" w:hAnsi="Calibri" w:cs="Times New Roman"/>
                <w:color w:val="000000"/>
                <w:sz w:val="20"/>
                <w:szCs w:val="22"/>
              </w:rPr>
              <w:t>/r/t</w:t>
            </w:r>
            <w:r w:rsidRPr="00AD5C36">
              <w:rPr>
                <w:rFonts w:ascii="Calibri" w:eastAsia="Times New Roman" w:hAnsi="Calibri" w:cs="Times New Roman"/>
                <w:color w:val="000000"/>
                <w:sz w:val="20"/>
                <w:szCs w:val="22"/>
              </w:rPr>
              <w:t xml:space="preserve"> Applicable National Law</w:t>
            </w:r>
            <w:r>
              <w:rPr>
                <w:rFonts w:ascii="Calibri" w:eastAsia="Times New Roman" w:hAnsi="Calibri" w:cs="Times New Roman"/>
                <w:color w:val="000000"/>
                <w:sz w:val="20"/>
                <w:szCs w:val="22"/>
              </w:rPr>
              <w:t>s</w:t>
            </w:r>
            <w:r w:rsidRPr="00AD5C36">
              <w:rPr>
                <w:rFonts w:ascii="Calibri" w:eastAsia="Times New Roman" w:hAnsi="Calibri" w:cs="Times New Roman"/>
                <w:color w:val="000000"/>
                <w:sz w:val="20"/>
                <w:szCs w:val="22"/>
              </w:rPr>
              <w:t xml:space="preserve"> </w:t>
            </w:r>
          </w:p>
        </w:tc>
        <w:tc>
          <w:tcPr>
            <w:tcW w:w="1080" w:type="dxa"/>
            <w:shd w:val="clear" w:color="auto" w:fill="auto"/>
            <w:noWrap/>
            <w:vAlign w:val="center"/>
            <w:hideMark/>
          </w:tcPr>
          <w:p w14:paraId="2354AF9A"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LE</w:t>
            </w:r>
            <w:r>
              <w:rPr>
                <w:rFonts w:ascii="Calibri" w:eastAsia="Times New Roman" w:hAnsi="Calibri" w:cs="Times New Roman"/>
                <w:color w:val="000000"/>
                <w:sz w:val="20"/>
                <w:szCs w:val="22"/>
              </w:rPr>
              <w:t>A</w:t>
            </w:r>
            <w:r w:rsidRPr="00AD5C36">
              <w:rPr>
                <w:rFonts w:ascii="Calibri" w:eastAsia="Times New Roman" w:hAnsi="Calibri" w:cs="Times New Roman"/>
                <w:color w:val="000000"/>
                <w:sz w:val="20"/>
                <w:szCs w:val="22"/>
              </w:rPr>
              <w:t>/GAC</w:t>
            </w:r>
          </w:p>
        </w:tc>
        <w:tc>
          <w:tcPr>
            <w:tcW w:w="2790" w:type="dxa"/>
            <w:vAlign w:val="center"/>
          </w:tcPr>
          <w:p w14:paraId="6D140E75" w14:textId="6DFE4E2A" w:rsidR="000F60A7"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Difficult, because law enforcement and governments may not report this data </w:t>
            </w:r>
          </w:p>
        </w:tc>
        <w:tc>
          <w:tcPr>
            <w:tcW w:w="1530" w:type="dxa"/>
            <w:shd w:val="clear" w:color="auto" w:fill="auto"/>
            <w:vAlign w:val="center"/>
          </w:tcPr>
          <w:p w14:paraId="02E15B79" w14:textId="0A5DB723"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Declining incidence from Year 2 to 3</w:t>
            </w:r>
          </w:p>
        </w:tc>
      </w:tr>
      <w:tr w:rsidR="000F60A7" w:rsidRPr="00AD5C36" w14:paraId="3111A779" w14:textId="77777777" w:rsidTr="000F60A7">
        <w:trPr>
          <w:trHeight w:val="690"/>
        </w:trPr>
        <w:tc>
          <w:tcPr>
            <w:tcW w:w="3785" w:type="dxa"/>
            <w:shd w:val="clear" w:color="auto" w:fill="auto"/>
            <w:noWrap/>
            <w:vAlign w:val="center"/>
            <w:hideMark/>
          </w:tcPr>
          <w:p w14:paraId="12F41225" w14:textId="77777777" w:rsidR="000F60A7" w:rsidRPr="00AD5C36" w:rsidRDefault="000F60A7" w:rsidP="005F63A9">
            <w:pPr>
              <w:spacing w:before="60" w:after="60"/>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Q</w:t>
            </w:r>
            <w:r>
              <w:rPr>
                <w:rFonts w:ascii="Calibri" w:eastAsia="Times New Roman" w:hAnsi="Calibri" w:cs="Times New Roman"/>
                <w:color w:val="000000"/>
                <w:sz w:val="20"/>
                <w:szCs w:val="22"/>
              </w:rPr>
              <w:t xml:space="preserve">uantity and relative incidence of </w:t>
            </w:r>
            <w:r w:rsidRPr="00AD5C36">
              <w:rPr>
                <w:rFonts w:ascii="Calibri" w:eastAsia="Times New Roman" w:hAnsi="Calibri" w:cs="Times New Roman"/>
                <w:color w:val="000000"/>
                <w:sz w:val="20"/>
                <w:szCs w:val="22"/>
              </w:rPr>
              <w:t>Domain Takedowns</w:t>
            </w:r>
          </w:p>
        </w:tc>
        <w:tc>
          <w:tcPr>
            <w:tcW w:w="1080" w:type="dxa"/>
            <w:shd w:val="clear" w:color="auto" w:fill="auto"/>
            <w:noWrap/>
            <w:vAlign w:val="center"/>
            <w:hideMark/>
          </w:tcPr>
          <w:p w14:paraId="1BD4A01E"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Registry</w:t>
            </w:r>
          </w:p>
        </w:tc>
        <w:tc>
          <w:tcPr>
            <w:tcW w:w="2790" w:type="dxa"/>
            <w:vAlign w:val="center"/>
          </w:tcPr>
          <w:p w14:paraId="60651004" w14:textId="6B1BA418" w:rsidR="000F60A7"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Moderately difficult to obtain and report</w:t>
            </w:r>
          </w:p>
        </w:tc>
        <w:tc>
          <w:tcPr>
            <w:tcW w:w="1530" w:type="dxa"/>
            <w:shd w:val="clear" w:color="auto" w:fill="auto"/>
            <w:vAlign w:val="center"/>
          </w:tcPr>
          <w:p w14:paraId="470F4D34" w14:textId="357B908C"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Lower than incidence in legacy </w:t>
            </w:r>
            <w:proofErr w:type="spellStart"/>
            <w:r>
              <w:rPr>
                <w:rFonts w:ascii="Calibri" w:eastAsia="Times New Roman" w:hAnsi="Calibri" w:cs="Times New Roman"/>
                <w:color w:val="000000"/>
                <w:sz w:val="20"/>
                <w:szCs w:val="22"/>
              </w:rPr>
              <w:t>gTLDs</w:t>
            </w:r>
            <w:proofErr w:type="spellEnd"/>
          </w:p>
        </w:tc>
      </w:tr>
      <w:tr w:rsidR="000F60A7" w:rsidRPr="009F24F1" w14:paraId="3D63FF0D" w14:textId="77777777" w:rsidTr="000F60A7">
        <w:trPr>
          <w:trHeight w:val="690"/>
        </w:trPr>
        <w:tc>
          <w:tcPr>
            <w:tcW w:w="3785" w:type="dxa"/>
            <w:shd w:val="clear" w:color="auto" w:fill="auto"/>
            <w:noWrap/>
            <w:vAlign w:val="center"/>
            <w:hideMark/>
          </w:tcPr>
          <w:p w14:paraId="0D528FCC" w14:textId="77777777" w:rsidR="000F60A7" w:rsidRPr="009F24F1" w:rsidRDefault="000F60A7" w:rsidP="005F63A9">
            <w:pPr>
              <w:spacing w:before="60" w:after="60"/>
              <w:rPr>
                <w:rFonts w:ascii="Calibri" w:eastAsia="Times New Roman" w:hAnsi="Calibri" w:cs="Times New Roman"/>
                <w:color w:val="000000"/>
                <w:sz w:val="20"/>
                <w:szCs w:val="22"/>
              </w:rPr>
            </w:pPr>
            <w:r w:rsidRPr="009F24F1">
              <w:rPr>
                <w:rFonts w:ascii="Calibri" w:eastAsia="Times New Roman" w:hAnsi="Calibri" w:cs="Times New Roman"/>
                <w:color w:val="000000"/>
                <w:sz w:val="20"/>
                <w:szCs w:val="22"/>
              </w:rPr>
              <w:t>Quantity of spam received by a "honeypot" email address in each new gTLD</w:t>
            </w:r>
          </w:p>
        </w:tc>
        <w:tc>
          <w:tcPr>
            <w:tcW w:w="1080" w:type="dxa"/>
            <w:shd w:val="clear" w:color="auto" w:fill="auto"/>
            <w:noWrap/>
            <w:vAlign w:val="center"/>
            <w:hideMark/>
          </w:tcPr>
          <w:p w14:paraId="40B9AF56" w14:textId="77777777" w:rsidR="000F60A7" w:rsidRPr="009F24F1" w:rsidRDefault="000F60A7" w:rsidP="005F63A9">
            <w:pPr>
              <w:spacing w:before="60" w:after="60"/>
              <w:rPr>
                <w:rFonts w:ascii="Calibri" w:eastAsia="Times New Roman" w:hAnsi="Calibri" w:cs="Times New Roman"/>
                <w:color w:val="000000"/>
                <w:sz w:val="20"/>
                <w:szCs w:val="22"/>
              </w:rPr>
            </w:pPr>
            <w:proofErr w:type="spellStart"/>
            <w:r>
              <w:rPr>
                <w:rFonts w:ascii="Calibri" w:eastAsia="Times New Roman" w:hAnsi="Calibri" w:cs="Times New Roman"/>
                <w:color w:val="000000"/>
                <w:sz w:val="20"/>
                <w:szCs w:val="22"/>
              </w:rPr>
              <w:t>SpamHaus</w:t>
            </w:r>
            <w:proofErr w:type="spellEnd"/>
          </w:p>
        </w:tc>
        <w:tc>
          <w:tcPr>
            <w:tcW w:w="2790" w:type="dxa"/>
            <w:vAlign w:val="center"/>
          </w:tcPr>
          <w:p w14:paraId="2DF95A98" w14:textId="02FB8238" w:rsidR="000F60A7" w:rsidRDefault="00296991"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None noted</w:t>
            </w:r>
          </w:p>
        </w:tc>
        <w:tc>
          <w:tcPr>
            <w:tcW w:w="1530" w:type="dxa"/>
            <w:shd w:val="clear" w:color="auto" w:fill="auto"/>
            <w:vAlign w:val="center"/>
          </w:tcPr>
          <w:p w14:paraId="2E8848F7" w14:textId="20245C65" w:rsidR="000F60A7" w:rsidRPr="009F24F1"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Lower than incidence in legacy </w:t>
            </w:r>
            <w:proofErr w:type="spellStart"/>
            <w:r>
              <w:rPr>
                <w:rFonts w:ascii="Calibri" w:eastAsia="Times New Roman" w:hAnsi="Calibri" w:cs="Times New Roman"/>
                <w:color w:val="000000"/>
                <w:sz w:val="20"/>
                <w:szCs w:val="22"/>
              </w:rPr>
              <w:t>gTLDs</w:t>
            </w:r>
            <w:proofErr w:type="spellEnd"/>
          </w:p>
        </w:tc>
      </w:tr>
      <w:tr w:rsidR="000F60A7" w:rsidRPr="00AD5C36" w14:paraId="57EAE611" w14:textId="77777777" w:rsidTr="000F60A7">
        <w:trPr>
          <w:trHeight w:val="690"/>
        </w:trPr>
        <w:tc>
          <w:tcPr>
            <w:tcW w:w="3785" w:type="dxa"/>
            <w:shd w:val="clear" w:color="auto" w:fill="auto"/>
            <w:noWrap/>
            <w:vAlign w:val="center"/>
            <w:hideMark/>
          </w:tcPr>
          <w:p w14:paraId="403C6EF6" w14:textId="77777777" w:rsidR="000F60A7" w:rsidRPr="00AD5C36"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Quantity and relative incidence of </w:t>
            </w:r>
            <w:r w:rsidRPr="00AB2B4B">
              <w:rPr>
                <w:rFonts w:ascii="Calibri" w:eastAsia="Times New Roman" w:hAnsi="Calibri" w:cs="Times New Roman"/>
                <w:color w:val="000000"/>
                <w:sz w:val="20"/>
                <w:szCs w:val="22"/>
              </w:rPr>
              <w:t>fraudulent transactions caused by phishing sites</w:t>
            </w:r>
            <w:r>
              <w:rPr>
                <w:rFonts w:ascii="Calibri" w:eastAsia="Times New Roman" w:hAnsi="Calibri" w:cs="Times New Roman"/>
                <w:color w:val="000000"/>
                <w:sz w:val="20"/>
                <w:szCs w:val="22"/>
              </w:rPr>
              <w:t xml:space="preserve"> in new </w:t>
            </w:r>
            <w:proofErr w:type="spellStart"/>
            <w:r>
              <w:rPr>
                <w:rFonts w:ascii="Calibri" w:eastAsia="Times New Roman" w:hAnsi="Calibri" w:cs="Times New Roman"/>
                <w:color w:val="000000"/>
                <w:sz w:val="20"/>
                <w:szCs w:val="22"/>
              </w:rPr>
              <w:t>gTLDs</w:t>
            </w:r>
            <w:proofErr w:type="spellEnd"/>
          </w:p>
        </w:tc>
        <w:tc>
          <w:tcPr>
            <w:tcW w:w="1080" w:type="dxa"/>
            <w:shd w:val="clear" w:color="auto" w:fill="auto"/>
            <w:noWrap/>
            <w:vAlign w:val="center"/>
          </w:tcPr>
          <w:p w14:paraId="67D167CA" w14:textId="77777777"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APWG</w:t>
            </w:r>
          </w:p>
        </w:tc>
        <w:tc>
          <w:tcPr>
            <w:tcW w:w="2790" w:type="dxa"/>
            <w:vAlign w:val="center"/>
          </w:tcPr>
          <w:p w14:paraId="172317FF" w14:textId="05BF3EA4" w:rsidR="000F60A7" w:rsidRDefault="00296991"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None noted</w:t>
            </w:r>
          </w:p>
        </w:tc>
        <w:tc>
          <w:tcPr>
            <w:tcW w:w="1530" w:type="dxa"/>
            <w:shd w:val="clear" w:color="auto" w:fill="auto"/>
            <w:vAlign w:val="center"/>
          </w:tcPr>
          <w:p w14:paraId="6787984E" w14:textId="52155322"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Lower than incidence in legacy </w:t>
            </w:r>
            <w:proofErr w:type="spellStart"/>
            <w:r>
              <w:rPr>
                <w:rFonts w:ascii="Calibri" w:eastAsia="Times New Roman" w:hAnsi="Calibri" w:cs="Times New Roman"/>
                <w:color w:val="000000"/>
                <w:sz w:val="20"/>
                <w:szCs w:val="22"/>
              </w:rPr>
              <w:t>gTLDs</w:t>
            </w:r>
            <w:proofErr w:type="spellEnd"/>
          </w:p>
        </w:tc>
      </w:tr>
      <w:tr w:rsidR="000F60A7" w:rsidRPr="00AD5C36" w14:paraId="08B918A1" w14:textId="77777777" w:rsidTr="000F60A7">
        <w:trPr>
          <w:trHeight w:val="690"/>
        </w:trPr>
        <w:tc>
          <w:tcPr>
            <w:tcW w:w="3785" w:type="dxa"/>
            <w:shd w:val="clear" w:color="auto" w:fill="auto"/>
            <w:noWrap/>
            <w:vAlign w:val="center"/>
            <w:hideMark/>
          </w:tcPr>
          <w:p w14:paraId="6988EC12" w14:textId="77777777" w:rsidR="000F60A7" w:rsidRPr="00AD5C36"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Quantity and relative incidence of </w:t>
            </w:r>
            <w:r w:rsidRPr="00AB2B4B">
              <w:rPr>
                <w:rFonts w:ascii="Calibri" w:eastAsia="Times New Roman" w:hAnsi="Calibri" w:cs="Times New Roman"/>
                <w:color w:val="000000"/>
                <w:sz w:val="20"/>
                <w:szCs w:val="22"/>
              </w:rPr>
              <w:t xml:space="preserve">detected phishing sites using new </w:t>
            </w:r>
            <w:proofErr w:type="spellStart"/>
            <w:r w:rsidRPr="00AB2B4B">
              <w:rPr>
                <w:rFonts w:ascii="Calibri" w:eastAsia="Times New Roman" w:hAnsi="Calibri" w:cs="Times New Roman"/>
                <w:color w:val="000000"/>
                <w:sz w:val="20"/>
                <w:szCs w:val="22"/>
              </w:rPr>
              <w:t>gTLD</w:t>
            </w:r>
            <w:r>
              <w:rPr>
                <w:rFonts w:ascii="Calibri" w:eastAsia="Times New Roman" w:hAnsi="Calibri" w:cs="Times New Roman"/>
                <w:color w:val="000000"/>
                <w:sz w:val="20"/>
                <w:szCs w:val="22"/>
              </w:rPr>
              <w:t>s</w:t>
            </w:r>
            <w:proofErr w:type="spellEnd"/>
          </w:p>
        </w:tc>
        <w:tc>
          <w:tcPr>
            <w:tcW w:w="1080" w:type="dxa"/>
            <w:shd w:val="clear" w:color="auto" w:fill="auto"/>
            <w:noWrap/>
            <w:vAlign w:val="center"/>
          </w:tcPr>
          <w:p w14:paraId="562FEA2F" w14:textId="77777777"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APWG</w:t>
            </w:r>
          </w:p>
        </w:tc>
        <w:tc>
          <w:tcPr>
            <w:tcW w:w="2790" w:type="dxa"/>
            <w:vAlign w:val="center"/>
          </w:tcPr>
          <w:p w14:paraId="4624E319" w14:textId="14D2D813" w:rsidR="000F60A7" w:rsidRDefault="00296991"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None noted</w:t>
            </w:r>
          </w:p>
        </w:tc>
        <w:tc>
          <w:tcPr>
            <w:tcW w:w="1530" w:type="dxa"/>
            <w:shd w:val="clear" w:color="auto" w:fill="auto"/>
            <w:vAlign w:val="center"/>
          </w:tcPr>
          <w:p w14:paraId="0737F4DB" w14:textId="385C408B"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Lower than incidence in legacy </w:t>
            </w:r>
            <w:proofErr w:type="spellStart"/>
            <w:r>
              <w:rPr>
                <w:rFonts w:ascii="Calibri" w:eastAsia="Times New Roman" w:hAnsi="Calibri" w:cs="Times New Roman"/>
                <w:color w:val="000000"/>
                <w:sz w:val="20"/>
                <w:szCs w:val="22"/>
              </w:rPr>
              <w:t>gTLDs</w:t>
            </w:r>
            <w:proofErr w:type="spellEnd"/>
          </w:p>
        </w:tc>
      </w:tr>
      <w:tr w:rsidR="000F60A7" w:rsidRPr="00AD5C36" w14:paraId="2A2BF84D" w14:textId="77777777" w:rsidTr="000F60A7">
        <w:trPr>
          <w:trHeight w:val="690"/>
        </w:trPr>
        <w:tc>
          <w:tcPr>
            <w:tcW w:w="3785" w:type="dxa"/>
            <w:shd w:val="clear" w:color="auto" w:fill="auto"/>
            <w:noWrap/>
            <w:vAlign w:val="center"/>
            <w:hideMark/>
          </w:tcPr>
          <w:p w14:paraId="3FF28C44" w14:textId="77777777" w:rsidR="000F60A7" w:rsidRPr="00AD5C36"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Quantity and relative incidence of complaints regarding i</w:t>
            </w:r>
            <w:r w:rsidRPr="009F24F1">
              <w:rPr>
                <w:rFonts w:ascii="Calibri" w:eastAsia="Times New Roman" w:hAnsi="Calibri" w:cs="Times New Roman"/>
                <w:color w:val="000000"/>
                <w:sz w:val="20"/>
                <w:szCs w:val="22"/>
              </w:rPr>
              <w:t>naccurate, invalid, or suspect WHOIS records in new gTLD</w:t>
            </w:r>
          </w:p>
        </w:tc>
        <w:tc>
          <w:tcPr>
            <w:tcW w:w="1080" w:type="dxa"/>
            <w:shd w:val="clear" w:color="auto" w:fill="auto"/>
            <w:noWrap/>
            <w:vAlign w:val="center"/>
          </w:tcPr>
          <w:p w14:paraId="1109303D" w14:textId="77777777"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ICANN</w:t>
            </w:r>
          </w:p>
        </w:tc>
        <w:tc>
          <w:tcPr>
            <w:tcW w:w="2790" w:type="dxa"/>
            <w:vAlign w:val="center"/>
          </w:tcPr>
          <w:p w14:paraId="0FB120CD" w14:textId="77B807BD" w:rsidR="000F60A7" w:rsidRDefault="00296991"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None noted</w:t>
            </w:r>
          </w:p>
        </w:tc>
        <w:tc>
          <w:tcPr>
            <w:tcW w:w="1530" w:type="dxa"/>
            <w:shd w:val="clear" w:color="auto" w:fill="auto"/>
            <w:vAlign w:val="center"/>
          </w:tcPr>
          <w:p w14:paraId="288C51D4" w14:textId="1028FE51"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Lower than incidence in legacy </w:t>
            </w:r>
            <w:proofErr w:type="spellStart"/>
            <w:r>
              <w:rPr>
                <w:rFonts w:ascii="Calibri" w:eastAsia="Times New Roman" w:hAnsi="Calibri" w:cs="Times New Roman"/>
                <w:color w:val="000000"/>
                <w:sz w:val="20"/>
                <w:szCs w:val="22"/>
              </w:rPr>
              <w:t>gTLDs</w:t>
            </w:r>
            <w:proofErr w:type="spellEnd"/>
          </w:p>
        </w:tc>
      </w:tr>
      <w:tr w:rsidR="000F60A7" w:rsidRPr="00AD5C36" w14:paraId="44613865" w14:textId="77777777" w:rsidTr="000F60A7">
        <w:trPr>
          <w:trHeight w:val="690"/>
        </w:trPr>
        <w:tc>
          <w:tcPr>
            <w:tcW w:w="3785" w:type="dxa"/>
            <w:shd w:val="clear" w:color="auto" w:fill="auto"/>
            <w:noWrap/>
            <w:vAlign w:val="center"/>
            <w:hideMark/>
          </w:tcPr>
          <w:p w14:paraId="73E163FB" w14:textId="5E7B8815" w:rsidR="000F60A7" w:rsidRPr="00AD5C36"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Relative incidence of errors in</w:t>
            </w:r>
            <w:r w:rsidRPr="009F24F1">
              <w:rPr>
                <w:rFonts w:ascii="Calibri" w:eastAsia="Times New Roman" w:hAnsi="Calibri" w:cs="Times New Roman"/>
                <w:color w:val="000000"/>
                <w:sz w:val="20"/>
                <w:szCs w:val="22"/>
              </w:rPr>
              <w:t xml:space="preserve"> new gTLD zones (such as commas instead of dots, </w:t>
            </w:r>
            <w:r w:rsidR="005F63A9">
              <w:rPr>
                <w:rFonts w:ascii="Calibri" w:eastAsia="Times New Roman" w:hAnsi="Calibri" w:cs="Times New Roman"/>
                <w:color w:val="000000"/>
                <w:sz w:val="20"/>
                <w:szCs w:val="22"/>
              </w:rPr>
              <w:t>bad</w:t>
            </w:r>
            <w:r w:rsidRPr="009F24F1">
              <w:rPr>
                <w:rFonts w:ascii="Calibri" w:eastAsia="Times New Roman" w:hAnsi="Calibri" w:cs="Times New Roman"/>
                <w:color w:val="000000"/>
                <w:sz w:val="20"/>
                <w:szCs w:val="22"/>
              </w:rPr>
              <w:t xml:space="preserve"> IP addresses, malformed domains, etc.</w:t>
            </w:r>
            <w:r>
              <w:rPr>
                <w:rFonts w:ascii="Calibri" w:eastAsia="Times New Roman" w:hAnsi="Calibri" w:cs="Times New Roman"/>
                <w:color w:val="000000"/>
                <w:sz w:val="20"/>
                <w:szCs w:val="22"/>
              </w:rPr>
              <w:t>)</w:t>
            </w:r>
          </w:p>
        </w:tc>
        <w:tc>
          <w:tcPr>
            <w:tcW w:w="1080" w:type="dxa"/>
            <w:shd w:val="clear" w:color="auto" w:fill="auto"/>
            <w:noWrap/>
            <w:vAlign w:val="center"/>
          </w:tcPr>
          <w:p w14:paraId="75F3862E" w14:textId="77777777"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ICANN</w:t>
            </w:r>
          </w:p>
        </w:tc>
        <w:tc>
          <w:tcPr>
            <w:tcW w:w="2790" w:type="dxa"/>
            <w:vAlign w:val="center"/>
          </w:tcPr>
          <w:p w14:paraId="63E14B8F" w14:textId="43CB88B1" w:rsidR="000F60A7"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Moderately difficult to obtain and report</w:t>
            </w:r>
          </w:p>
        </w:tc>
        <w:tc>
          <w:tcPr>
            <w:tcW w:w="1530" w:type="dxa"/>
            <w:shd w:val="clear" w:color="auto" w:fill="auto"/>
            <w:vAlign w:val="center"/>
          </w:tcPr>
          <w:p w14:paraId="1A6F8C2C" w14:textId="194414DE" w:rsidR="000F60A7"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Lower than incidence in legacy </w:t>
            </w:r>
            <w:proofErr w:type="spellStart"/>
            <w:r>
              <w:rPr>
                <w:rFonts w:ascii="Calibri" w:eastAsia="Times New Roman" w:hAnsi="Calibri" w:cs="Times New Roman"/>
                <w:color w:val="000000"/>
                <w:sz w:val="20"/>
                <w:szCs w:val="22"/>
              </w:rPr>
              <w:t>gTLDs</w:t>
            </w:r>
            <w:proofErr w:type="spellEnd"/>
          </w:p>
        </w:tc>
      </w:tr>
    </w:tbl>
    <w:p w14:paraId="5C0965A7" w14:textId="77777777" w:rsidR="00ED0485" w:rsidRDefault="00ED0485" w:rsidP="00ED0485">
      <w:pPr>
        <w:widowControl w:val="0"/>
        <w:autoSpaceDE w:val="0"/>
        <w:autoSpaceDN w:val="0"/>
        <w:adjustRightInd w:val="0"/>
        <w:rPr>
          <w:rFonts w:ascii="Calibri" w:hAnsi="Calibri" w:cs="Calibri"/>
          <w:sz w:val="22"/>
          <w:szCs w:val="22"/>
        </w:rPr>
      </w:pPr>
    </w:p>
    <w:p w14:paraId="1D2E4299" w14:textId="77777777" w:rsidR="0059570B" w:rsidRDefault="0059570B">
      <w:pPr>
        <w:rPr>
          <w:rFonts w:ascii="Calibri" w:hAnsi="Calibri" w:cs="Calibri"/>
          <w:sz w:val="22"/>
          <w:szCs w:val="22"/>
        </w:rPr>
      </w:pPr>
      <w:r>
        <w:rPr>
          <w:rFonts w:ascii="Calibri" w:hAnsi="Calibri" w:cs="Calibri"/>
          <w:sz w:val="22"/>
          <w:szCs w:val="22"/>
        </w:rPr>
        <w:br w:type="page"/>
      </w:r>
    </w:p>
    <w:p w14:paraId="124B11F1" w14:textId="1F410A20" w:rsidR="00553269" w:rsidRDefault="00553269" w:rsidP="0059570B">
      <w:pPr>
        <w:rPr>
          <w:rFonts w:ascii="Calibri" w:hAnsi="Calibri" w:cs="Calibri"/>
          <w:sz w:val="22"/>
          <w:szCs w:val="22"/>
        </w:rPr>
      </w:pPr>
      <w:r>
        <w:rPr>
          <w:rFonts w:ascii="Calibri" w:hAnsi="Calibri" w:cs="Calibri"/>
          <w:b/>
          <w:sz w:val="22"/>
          <w:szCs w:val="22"/>
        </w:rPr>
        <w:lastRenderedPageBreak/>
        <w:t xml:space="preserve">Measures of </w:t>
      </w:r>
      <w:r w:rsidRPr="00663C6B">
        <w:rPr>
          <w:rFonts w:ascii="Calibri" w:hAnsi="Calibri" w:cs="Calibri"/>
          <w:b/>
          <w:sz w:val="22"/>
          <w:szCs w:val="22"/>
        </w:rPr>
        <w:t>Consumer Choice </w:t>
      </w:r>
      <w:r w:rsidRPr="00553269">
        <w:rPr>
          <w:rFonts w:ascii="Calibri" w:hAnsi="Calibri" w:cs="Calibri"/>
          <w:sz w:val="22"/>
          <w:szCs w:val="22"/>
        </w:rPr>
        <w:t xml:space="preserve"> </w:t>
      </w:r>
    </w:p>
    <w:p w14:paraId="30F9FEFA" w14:textId="77777777" w:rsidR="00553269" w:rsidRDefault="00553269" w:rsidP="00553269">
      <w:pPr>
        <w:widowControl w:val="0"/>
        <w:autoSpaceDE w:val="0"/>
        <w:autoSpaceDN w:val="0"/>
        <w:adjustRightInd w:val="0"/>
        <w:rPr>
          <w:rFonts w:ascii="Calibri" w:hAnsi="Calibri" w:cs="Calibri"/>
          <w:sz w:val="22"/>
          <w:szCs w:val="22"/>
        </w:rPr>
      </w:pPr>
    </w:p>
    <w:p w14:paraId="350D1589" w14:textId="1476ABDB" w:rsidR="00EB40C9" w:rsidRDefault="00EB40C9" w:rsidP="00EB40C9">
      <w:pPr>
        <w:widowControl w:val="0"/>
        <w:autoSpaceDE w:val="0"/>
        <w:autoSpaceDN w:val="0"/>
        <w:adjustRightInd w:val="0"/>
        <w:rPr>
          <w:rFonts w:ascii="Calibri" w:hAnsi="Calibri" w:cs="Calibri"/>
          <w:sz w:val="22"/>
          <w:szCs w:val="22"/>
        </w:rPr>
      </w:pPr>
      <w:r w:rsidRPr="00553269">
        <w:rPr>
          <w:rFonts w:ascii="Calibri" w:hAnsi="Calibri" w:cs="Calibri"/>
          <w:sz w:val="22"/>
          <w:szCs w:val="22"/>
        </w:rPr>
        <w:t>For reference, the definition</w:t>
      </w:r>
      <w:r>
        <w:rPr>
          <w:rFonts w:ascii="Calibri" w:hAnsi="Calibri" w:cs="Calibri"/>
          <w:sz w:val="22"/>
          <w:szCs w:val="22"/>
        </w:rPr>
        <w:t>s</w:t>
      </w:r>
      <w:r w:rsidRPr="00553269">
        <w:rPr>
          <w:rFonts w:ascii="Calibri" w:hAnsi="Calibri" w:cs="Calibri"/>
          <w:sz w:val="22"/>
          <w:szCs w:val="22"/>
        </w:rPr>
        <w:t xml:space="preserve"> of Consumer </w:t>
      </w:r>
      <w:r>
        <w:rPr>
          <w:rFonts w:ascii="Calibri" w:hAnsi="Calibri" w:cs="Calibri"/>
          <w:sz w:val="22"/>
          <w:szCs w:val="22"/>
        </w:rPr>
        <w:t>and Consumer Choice</w:t>
      </w:r>
      <w:r w:rsidRPr="00553269">
        <w:rPr>
          <w:rFonts w:ascii="Calibri" w:hAnsi="Calibri" w:cs="Calibri"/>
          <w:sz w:val="22"/>
          <w:szCs w:val="22"/>
        </w:rPr>
        <w:t xml:space="preserve"> </w:t>
      </w:r>
      <w:r>
        <w:rPr>
          <w:rFonts w:ascii="Calibri" w:hAnsi="Calibri" w:cs="Calibri"/>
          <w:sz w:val="22"/>
          <w:szCs w:val="22"/>
        </w:rPr>
        <w:t>are</w:t>
      </w:r>
      <w:r w:rsidRPr="00553269">
        <w:rPr>
          <w:rFonts w:ascii="Calibri" w:hAnsi="Calibri" w:cs="Calibri"/>
          <w:sz w:val="22"/>
          <w:szCs w:val="22"/>
        </w:rPr>
        <w:t xml:space="preserve"> repeated here:</w:t>
      </w:r>
    </w:p>
    <w:p w14:paraId="51FFF7F8" w14:textId="77777777" w:rsidR="00EB40C9" w:rsidRPr="00553269" w:rsidRDefault="00EB40C9" w:rsidP="00EB40C9">
      <w:pPr>
        <w:widowControl w:val="0"/>
        <w:autoSpaceDE w:val="0"/>
        <w:autoSpaceDN w:val="0"/>
        <w:adjustRightInd w:val="0"/>
        <w:rPr>
          <w:rFonts w:ascii="Calibri" w:hAnsi="Calibri" w:cs="Calibri"/>
          <w:sz w:val="22"/>
          <w:szCs w:val="22"/>
        </w:rPr>
      </w:pPr>
    </w:p>
    <w:p w14:paraId="19079E50" w14:textId="513F8819" w:rsidR="00AE2198" w:rsidRDefault="0033140F" w:rsidP="00553269">
      <w:pPr>
        <w:widowControl w:val="0"/>
        <w:autoSpaceDE w:val="0"/>
        <w:autoSpaceDN w:val="0"/>
        <w:adjustRightInd w:val="0"/>
        <w:ind w:left="720"/>
        <w:rPr>
          <w:rFonts w:ascii="Calibri" w:hAnsi="Calibri"/>
          <w:color w:val="000000"/>
          <w:sz w:val="22"/>
          <w:szCs w:val="22"/>
        </w:rPr>
      </w:pPr>
      <w:r w:rsidRPr="007D6351">
        <w:rPr>
          <w:rFonts w:ascii="Calibri" w:hAnsi="Calibri"/>
          <w:b/>
          <w:color w:val="000000"/>
          <w:sz w:val="22"/>
          <w:szCs w:val="22"/>
        </w:rPr>
        <w:t>Consumer</w:t>
      </w:r>
      <w:r>
        <w:rPr>
          <w:rFonts w:ascii="Calibri" w:hAnsi="Calibri"/>
          <w:color w:val="000000"/>
          <w:sz w:val="22"/>
          <w:szCs w:val="22"/>
        </w:rPr>
        <w:t xml:space="preserve"> is defined as actual and potential Internet users and r</w:t>
      </w:r>
      <w:r w:rsidRPr="007D6351">
        <w:rPr>
          <w:rFonts w:ascii="Calibri" w:hAnsi="Calibri"/>
          <w:color w:val="000000"/>
          <w:sz w:val="22"/>
          <w:szCs w:val="22"/>
        </w:rPr>
        <w:t>egistrants</w:t>
      </w:r>
      <w:r>
        <w:rPr>
          <w:rFonts w:ascii="Calibri" w:hAnsi="Calibri"/>
          <w:color w:val="000000"/>
          <w:sz w:val="22"/>
          <w:szCs w:val="22"/>
        </w:rPr>
        <w:t>.</w:t>
      </w:r>
    </w:p>
    <w:p w14:paraId="0D5515FB" w14:textId="77777777" w:rsidR="0033140F" w:rsidRDefault="0033140F" w:rsidP="00553269">
      <w:pPr>
        <w:widowControl w:val="0"/>
        <w:autoSpaceDE w:val="0"/>
        <w:autoSpaceDN w:val="0"/>
        <w:adjustRightInd w:val="0"/>
        <w:ind w:left="720"/>
        <w:rPr>
          <w:rFonts w:ascii="Calibri" w:hAnsi="Calibri" w:cs="Calibri"/>
          <w:b/>
          <w:sz w:val="22"/>
          <w:szCs w:val="22"/>
        </w:rPr>
      </w:pPr>
    </w:p>
    <w:p w14:paraId="0297D2B7" w14:textId="77777777" w:rsidR="00EB40C9" w:rsidRPr="003611B7" w:rsidRDefault="00EB40C9" w:rsidP="00EB40C9">
      <w:pPr>
        <w:widowControl w:val="0"/>
        <w:autoSpaceDE w:val="0"/>
        <w:autoSpaceDN w:val="0"/>
        <w:adjustRightInd w:val="0"/>
        <w:ind w:left="720"/>
        <w:rPr>
          <w:rFonts w:ascii="Calibri" w:hAnsi="Calibri" w:cs="Calibri"/>
          <w:sz w:val="22"/>
          <w:szCs w:val="22"/>
        </w:rPr>
      </w:pPr>
      <w:r w:rsidRPr="00663C6B">
        <w:rPr>
          <w:rFonts w:ascii="Calibri" w:hAnsi="Calibri" w:cs="Calibri"/>
          <w:b/>
          <w:sz w:val="22"/>
          <w:szCs w:val="22"/>
        </w:rPr>
        <w:t>Consumer Choice </w:t>
      </w:r>
      <w:r w:rsidRPr="003611B7">
        <w:rPr>
          <w:rFonts w:ascii="Calibri" w:hAnsi="Calibri" w:cs="Calibri"/>
          <w:sz w:val="22"/>
          <w:szCs w:val="22"/>
        </w:rPr>
        <w:t xml:space="preserve">is </w:t>
      </w:r>
      <w:r>
        <w:rPr>
          <w:rFonts w:ascii="Calibri" w:hAnsi="Calibri" w:cs="Calibri"/>
          <w:sz w:val="22"/>
          <w:szCs w:val="22"/>
        </w:rPr>
        <w:t>defined as</w:t>
      </w:r>
      <w:r w:rsidRPr="003611B7">
        <w:rPr>
          <w:rFonts w:ascii="Calibri" w:hAnsi="Calibri" w:cs="Calibri"/>
          <w:sz w:val="22"/>
          <w:szCs w:val="22"/>
        </w:rPr>
        <w:t xml:space="preserve"> the range of options available to registrants and users for domain scripts and languages, and for TLDs that offer cho</w:t>
      </w:r>
      <w:r>
        <w:rPr>
          <w:rFonts w:ascii="Calibri" w:hAnsi="Calibri" w:cs="Calibri"/>
          <w:sz w:val="22"/>
          <w:szCs w:val="22"/>
        </w:rPr>
        <w:t xml:space="preserve">ices as to the proposed purpose </w:t>
      </w:r>
      <w:r w:rsidRPr="003611B7">
        <w:rPr>
          <w:rFonts w:ascii="Calibri" w:hAnsi="Calibri" w:cs="Calibri"/>
          <w:sz w:val="22"/>
          <w:szCs w:val="22"/>
        </w:rPr>
        <w:t>and integrity of their domain name registrants.</w:t>
      </w:r>
    </w:p>
    <w:p w14:paraId="4FF262BF" w14:textId="77777777" w:rsidR="0084344C" w:rsidRDefault="0084344C" w:rsidP="007D0AF0">
      <w:pPr>
        <w:widowControl w:val="0"/>
        <w:autoSpaceDE w:val="0"/>
        <w:autoSpaceDN w:val="0"/>
        <w:adjustRightInd w:val="0"/>
        <w:ind w:left="720"/>
        <w:rPr>
          <w:rFonts w:ascii="Calibri" w:hAnsi="Calibri" w:cs="Calibri"/>
          <w:sz w:val="22"/>
          <w:szCs w:val="22"/>
        </w:rPr>
      </w:pPr>
    </w:p>
    <w:tbl>
      <w:tblPr>
        <w:tblW w:w="9185"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5"/>
        <w:gridCol w:w="1080"/>
        <w:gridCol w:w="2790"/>
        <w:gridCol w:w="1530"/>
      </w:tblGrid>
      <w:tr w:rsidR="005F63A9" w:rsidRPr="0084344C" w14:paraId="6EF31F82" w14:textId="77777777" w:rsidTr="005F63A9">
        <w:trPr>
          <w:trHeight w:val="690"/>
          <w:tblHeader/>
        </w:trPr>
        <w:tc>
          <w:tcPr>
            <w:tcW w:w="3785" w:type="dxa"/>
            <w:shd w:val="clear" w:color="auto" w:fill="auto"/>
            <w:noWrap/>
            <w:vAlign w:val="center"/>
            <w:hideMark/>
          </w:tcPr>
          <w:p w14:paraId="4757F395" w14:textId="49A986C2" w:rsidR="005F63A9" w:rsidRPr="0084344C" w:rsidRDefault="005F63A9" w:rsidP="005F63A9">
            <w:pPr>
              <w:spacing w:before="60" w:after="60"/>
              <w:rPr>
                <w:rFonts w:ascii="Calibri" w:eastAsia="Times New Roman" w:hAnsi="Calibri" w:cs="Times New Roman"/>
                <w:b/>
                <w:color w:val="000000"/>
                <w:sz w:val="20"/>
                <w:szCs w:val="22"/>
              </w:rPr>
            </w:pPr>
            <w:r w:rsidRPr="0084344C">
              <w:rPr>
                <w:rFonts w:ascii="Calibri" w:eastAsia="Times New Roman" w:hAnsi="Calibri" w:cs="Times New Roman"/>
                <w:b/>
                <w:color w:val="000000"/>
                <w:sz w:val="20"/>
                <w:szCs w:val="22"/>
              </w:rPr>
              <w:t>Measure</w:t>
            </w:r>
            <w:r>
              <w:rPr>
                <w:rFonts w:ascii="Calibri" w:eastAsia="Times New Roman" w:hAnsi="Calibri" w:cs="Times New Roman"/>
                <w:b/>
                <w:color w:val="000000"/>
                <w:sz w:val="20"/>
                <w:szCs w:val="22"/>
              </w:rPr>
              <w:t xml:space="preserve"> of Consumer Choice</w:t>
            </w:r>
          </w:p>
        </w:tc>
        <w:tc>
          <w:tcPr>
            <w:tcW w:w="1080" w:type="dxa"/>
            <w:shd w:val="clear" w:color="auto" w:fill="auto"/>
            <w:noWrap/>
            <w:vAlign w:val="center"/>
            <w:hideMark/>
          </w:tcPr>
          <w:p w14:paraId="1428787E" w14:textId="77777777" w:rsidR="005F63A9" w:rsidRPr="00694981" w:rsidRDefault="005F63A9" w:rsidP="005F63A9">
            <w:pPr>
              <w:spacing w:before="60" w:after="60"/>
              <w:jc w:val="center"/>
              <w:rPr>
                <w:rFonts w:ascii="Calibri" w:eastAsia="Times New Roman" w:hAnsi="Calibri" w:cs="Times New Roman"/>
                <w:b/>
                <w:color w:val="000000"/>
                <w:sz w:val="20"/>
                <w:szCs w:val="22"/>
              </w:rPr>
            </w:pPr>
            <w:r w:rsidRPr="00694981">
              <w:rPr>
                <w:rFonts w:ascii="Calibri" w:eastAsia="Times New Roman" w:hAnsi="Calibri" w:cs="Times New Roman"/>
                <w:b/>
                <w:color w:val="000000"/>
                <w:sz w:val="20"/>
                <w:szCs w:val="22"/>
              </w:rPr>
              <w:t>Source</w:t>
            </w:r>
          </w:p>
        </w:tc>
        <w:tc>
          <w:tcPr>
            <w:tcW w:w="2790" w:type="dxa"/>
            <w:vAlign w:val="center"/>
          </w:tcPr>
          <w:p w14:paraId="6FA339AF" w14:textId="6C5979CF" w:rsidR="005F63A9" w:rsidRDefault="005F63A9" w:rsidP="005F63A9">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Anticipated Difficulties in Obtaining and</w:t>
            </w:r>
            <w:r w:rsidR="00535897">
              <w:rPr>
                <w:rFonts w:ascii="Calibri" w:eastAsia="Times New Roman" w:hAnsi="Calibri" w:cs="Times New Roman"/>
                <w:b/>
                <w:color w:val="000000"/>
                <w:sz w:val="20"/>
                <w:szCs w:val="22"/>
              </w:rPr>
              <w:t>/or</w:t>
            </w:r>
            <w:r>
              <w:rPr>
                <w:rFonts w:ascii="Calibri" w:eastAsia="Times New Roman" w:hAnsi="Calibri" w:cs="Times New Roman"/>
                <w:b/>
                <w:color w:val="000000"/>
                <w:sz w:val="20"/>
                <w:szCs w:val="22"/>
              </w:rPr>
              <w:t xml:space="preserve"> Reporting </w:t>
            </w:r>
          </w:p>
        </w:tc>
        <w:tc>
          <w:tcPr>
            <w:tcW w:w="1530" w:type="dxa"/>
            <w:shd w:val="clear" w:color="auto" w:fill="auto"/>
            <w:vAlign w:val="center"/>
          </w:tcPr>
          <w:p w14:paraId="63E8EC74" w14:textId="77777777" w:rsidR="005F63A9" w:rsidRDefault="005F63A9" w:rsidP="005F63A9">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3-year</w:t>
            </w:r>
          </w:p>
          <w:p w14:paraId="79C3FDF9" w14:textId="77777777" w:rsidR="005F63A9" w:rsidRPr="0084344C" w:rsidRDefault="005F63A9" w:rsidP="005F63A9">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Target</w:t>
            </w:r>
          </w:p>
        </w:tc>
      </w:tr>
      <w:tr w:rsidR="00D61D65" w:rsidRPr="00AD5C36" w14:paraId="6021AB37" w14:textId="77777777" w:rsidTr="00D61D65">
        <w:trPr>
          <w:trHeight w:val="690"/>
        </w:trPr>
        <w:tc>
          <w:tcPr>
            <w:tcW w:w="9185" w:type="dxa"/>
            <w:gridSpan w:val="4"/>
            <w:shd w:val="clear" w:color="auto" w:fill="auto"/>
            <w:noWrap/>
            <w:vAlign w:val="center"/>
          </w:tcPr>
          <w:p w14:paraId="1BC498AB" w14:textId="49F65054" w:rsidR="00D61D65" w:rsidRPr="00D61D65" w:rsidRDefault="00D61D65" w:rsidP="00D61D65">
            <w:pPr>
              <w:spacing w:before="60" w:after="60"/>
              <w:rPr>
                <w:rFonts w:ascii="Calibri" w:eastAsia="Times New Roman" w:hAnsi="Calibri" w:cs="Times New Roman"/>
                <w:i/>
                <w:color w:val="000000"/>
                <w:sz w:val="20"/>
                <w:szCs w:val="22"/>
              </w:rPr>
            </w:pPr>
            <w:r w:rsidRPr="00D61D65">
              <w:rPr>
                <w:rFonts w:ascii="Calibri" w:eastAsia="Times New Roman" w:hAnsi="Calibri" w:cs="Times New Roman"/>
                <w:i/>
                <w:color w:val="000000"/>
                <w:sz w:val="20"/>
                <w:szCs w:val="22"/>
              </w:rPr>
              <w:t>Transparency</w:t>
            </w:r>
            <w:r>
              <w:rPr>
                <w:rFonts w:ascii="Calibri" w:eastAsia="Times New Roman" w:hAnsi="Calibri" w:cs="Times New Roman"/>
                <w:i/>
                <w:color w:val="000000"/>
                <w:sz w:val="20"/>
                <w:szCs w:val="22"/>
              </w:rPr>
              <w:t xml:space="preserve"> and clarity</w:t>
            </w:r>
            <w:r w:rsidRPr="00D61D65">
              <w:rPr>
                <w:rFonts w:ascii="Calibri" w:eastAsia="Times New Roman" w:hAnsi="Calibri" w:cs="Times New Roman"/>
                <w:i/>
                <w:color w:val="000000"/>
                <w:sz w:val="20"/>
                <w:szCs w:val="22"/>
              </w:rPr>
              <w:t xml:space="preserve"> of gTLD registry benefits and restrictions, so that registrants and users can make meaningful distinctions when choosing TLDs.  </w:t>
            </w:r>
          </w:p>
        </w:tc>
      </w:tr>
      <w:tr w:rsidR="00D61D65" w:rsidRPr="00AD5C36" w14:paraId="76DB5952" w14:textId="77777777" w:rsidTr="00D61D65">
        <w:trPr>
          <w:trHeight w:val="690"/>
        </w:trPr>
        <w:tc>
          <w:tcPr>
            <w:tcW w:w="3785" w:type="dxa"/>
            <w:shd w:val="clear" w:color="auto" w:fill="auto"/>
            <w:noWrap/>
            <w:vAlign w:val="center"/>
            <w:hideMark/>
          </w:tcPr>
          <w:p w14:paraId="5FB4BF54" w14:textId="5F11FD6A" w:rsidR="00D61D65" w:rsidRPr="00AD5C36" w:rsidRDefault="00D61D65" w:rsidP="00D61D65">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Registry website should clearly disclose benefits and restrictions.</w:t>
            </w:r>
          </w:p>
        </w:tc>
        <w:tc>
          <w:tcPr>
            <w:tcW w:w="1080" w:type="dxa"/>
            <w:shd w:val="clear" w:color="auto" w:fill="auto"/>
            <w:noWrap/>
            <w:vAlign w:val="center"/>
            <w:hideMark/>
          </w:tcPr>
          <w:p w14:paraId="341CE377" w14:textId="6A6EE114" w:rsidR="00D61D65" w:rsidRPr="00AD5C36" w:rsidRDefault="00D61D65" w:rsidP="00D61D65">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Audit of Registry websites</w:t>
            </w:r>
          </w:p>
        </w:tc>
        <w:tc>
          <w:tcPr>
            <w:tcW w:w="2790" w:type="dxa"/>
            <w:vAlign w:val="center"/>
          </w:tcPr>
          <w:p w14:paraId="534F1FED" w14:textId="77777777" w:rsidR="00D61D65" w:rsidRDefault="00D61D65" w:rsidP="00D61D65">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Moderate difficulty in auditing registrars’ display of terms and conditions for each gTLD they offer.</w:t>
            </w:r>
          </w:p>
        </w:tc>
        <w:tc>
          <w:tcPr>
            <w:tcW w:w="1530" w:type="dxa"/>
            <w:shd w:val="clear" w:color="auto" w:fill="auto"/>
            <w:vAlign w:val="center"/>
          </w:tcPr>
          <w:p w14:paraId="1D889CD1" w14:textId="454A0C99" w:rsidR="00D61D65" w:rsidRDefault="00D61D65" w:rsidP="00D61D65">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All Registries should disclose</w:t>
            </w:r>
          </w:p>
          <w:p w14:paraId="1CF4CFFA" w14:textId="275F4E97" w:rsidR="00D61D65" w:rsidRPr="00AD5C36" w:rsidRDefault="00BD216C" w:rsidP="00BD216C">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w:t>
            </w:r>
            <w:proofErr w:type="gramStart"/>
            <w:r>
              <w:rPr>
                <w:rFonts w:ascii="Calibri" w:eastAsia="Times New Roman" w:hAnsi="Calibri" w:cs="Times New Roman"/>
                <w:color w:val="000000"/>
                <w:sz w:val="20"/>
                <w:szCs w:val="22"/>
              </w:rPr>
              <w:t>e</w:t>
            </w:r>
            <w:proofErr w:type="gramEnd"/>
            <w:r>
              <w:rPr>
                <w:rFonts w:ascii="Calibri" w:eastAsia="Times New Roman" w:hAnsi="Calibri" w:cs="Times New Roman"/>
                <w:color w:val="000000"/>
                <w:sz w:val="20"/>
                <w:szCs w:val="22"/>
              </w:rPr>
              <w:t xml:space="preserve">.g. ICM’s </w:t>
            </w:r>
            <w:hyperlink r:id="rId12" w:history="1">
              <w:r w:rsidRPr="00112EE5">
                <w:rPr>
                  <w:rStyle w:val="Hyperlink"/>
                  <w:rFonts w:ascii="Calibri" w:eastAsia="Times New Roman" w:hAnsi="Calibri" w:cs="Times New Roman"/>
                  <w:sz w:val="20"/>
                  <w:szCs w:val="22"/>
                </w:rPr>
                <w:t>disclosure</w:t>
              </w:r>
            </w:hyperlink>
            <w:r>
              <w:rPr>
                <w:rFonts w:ascii="Calibri" w:eastAsia="Times New Roman" w:hAnsi="Calibri" w:cs="Times New Roman"/>
                <w:color w:val="000000"/>
                <w:sz w:val="20"/>
                <w:szCs w:val="22"/>
              </w:rPr>
              <w:t xml:space="preserve"> for .xxx )</w:t>
            </w:r>
          </w:p>
        </w:tc>
      </w:tr>
      <w:tr w:rsidR="005F63A9" w:rsidRPr="00AD5C36" w14:paraId="72FB231C" w14:textId="77777777" w:rsidTr="005F63A9">
        <w:trPr>
          <w:trHeight w:val="690"/>
        </w:trPr>
        <w:tc>
          <w:tcPr>
            <w:tcW w:w="3785" w:type="dxa"/>
            <w:shd w:val="clear" w:color="auto" w:fill="auto"/>
            <w:noWrap/>
            <w:vAlign w:val="center"/>
            <w:hideMark/>
          </w:tcPr>
          <w:p w14:paraId="55CAC0CA" w14:textId="3D9BC486" w:rsidR="005F63A9" w:rsidRPr="00AD5C36" w:rsidRDefault="00D61D65" w:rsidP="00D61D65">
            <w:pPr>
              <w:spacing w:before="60" w:after="60"/>
              <w:rPr>
                <w:rFonts w:ascii="Calibri" w:eastAsia="Times New Roman" w:hAnsi="Calibri" w:cs="Times New Roman"/>
                <w:color w:val="000000"/>
                <w:sz w:val="20"/>
                <w:szCs w:val="22"/>
              </w:rPr>
            </w:pPr>
            <w:proofErr w:type="gramStart"/>
            <w:r>
              <w:rPr>
                <w:rFonts w:ascii="Calibri" w:eastAsia="Times New Roman" w:hAnsi="Calibri" w:cs="Times New Roman"/>
                <w:color w:val="000000"/>
                <w:sz w:val="20"/>
                <w:szCs w:val="22"/>
              </w:rPr>
              <w:t>Registrars</w:t>
            </w:r>
            <w:proofErr w:type="gramEnd"/>
            <w:r>
              <w:rPr>
                <w:rFonts w:ascii="Calibri" w:eastAsia="Times New Roman" w:hAnsi="Calibri" w:cs="Times New Roman"/>
                <w:color w:val="000000"/>
                <w:sz w:val="20"/>
                <w:szCs w:val="22"/>
              </w:rPr>
              <w:t xml:space="preserve"> websites should clearly disclose gTLD benefits and restrictions in the terms &amp; conditions for each respective TLD they offer.</w:t>
            </w:r>
          </w:p>
        </w:tc>
        <w:tc>
          <w:tcPr>
            <w:tcW w:w="1080" w:type="dxa"/>
            <w:shd w:val="clear" w:color="auto" w:fill="auto"/>
            <w:noWrap/>
            <w:vAlign w:val="center"/>
            <w:hideMark/>
          </w:tcPr>
          <w:p w14:paraId="5E52DCD7" w14:textId="5C98D3E8" w:rsidR="005F63A9" w:rsidRPr="00AD5C36" w:rsidRDefault="00D61D65" w:rsidP="00D61D65">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Audit of Registrar websites</w:t>
            </w:r>
          </w:p>
        </w:tc>
        <w:tc>
          <w:tcPr>
            <w:tcW w:w="2790" w:type="dxa"/>
            <w:vAlign w:val="center"/>
          </w:tcPr>
          <w:p w14:paraId="2BEF15C6" w14:textId="23B437C0" w:rsidR="005F63A9" w:rsidRDefault="00D61D65"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Moderate difficulty in auditing registrars’ display of terms and conditions for each gTLD they offer.</w:t>
            </w:r>
          </w:p>
        </w:tc>
        <w:tc>
          <w:tcPr>
            <w:tcW w:w="1530" w:type="dxa"/>
            <w:shd w:val="clear" w:color="auto" w:fill="auto"/>
            <w:vAlign w:val="center"/>
          </w:tcPr>
          <w:p w14:paraId="0E231577" w14:textId="3D8EBB8D" w:rsidR="005F63A9" w:rsidRPr="00AD5C36" w:rsidRDefault="00D61D65" w:rsidP="00D61D65">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All Registrars  should disclose for all offered TLDs</w:t>
            </w:r>
          </w:p>
        </w:tc>
      </w:tr>
      <w:tr w:rsidR="00D61D65" w:rsidRPr="00AD5C36" w14:paraId="5D076001" w14:textId="77777777" w:rsidTr="00D61D65">
        <w:trPr>
          <w:trHeight w:val="690"/>
        </w:trPr>
        <w:tc>
          <w:tcPr>
            <w:tcW w:w="3785" w:type="dxa"/>
            <w:shd w:val="clear" w:color="auto" w:fill="auto"/>
            <w:noWrap/>
            <w:vAlign w:val="center"/>
            <w:hideMark/>
          </w:tcPr>
          <w:p w14:paraId="5D6ED188" w14:textId="45270F89" w:rsidR="00D61D65" w:rsidRPr="00AD5C36" w:rsidRDefault="00D61D65" w:rsidP="00112EE5">
            <w:pPr>
              <w:spacing w:before="60" w:after="60"/>
              <w:rPr>
                <w:rFonts w:ascii="Calibri" w:eastAsia="Times New Roman" w:hAnsi="Calibri" w:cs="Times New Roman"/>
                <w:color w:val="000000"/>
                <w:sz w:val="20"/>
                <w:szCs w:val="22"/>
              </w:rPr>
            </w:pPr>
            <w:proofErr w:type="gramStart"/>
            <w:r>
              <w:rPr>
                <w:rFonts w:ascii="Calibri" w:eastAsia="Times New Roman" w:hAnsi="Calibri" w:cs="Times New Roman"/>
                <w:color w:val="000000"/>
                <w:sz w:val="20"/>
                <w:szCs w:val="22"/>
              </w:rPr>
              <w:t>gTLD</w:t>
            </w:r>
            <w:proofErr w:type="gramEnd"/>
            <w:r>
              <w:rPr>
                <w:rFonts w:ascii="Calibri" w:eastAsia="Times New Roman" w:hAnsi="Calibri" w:cs="Times New Roman"/>
                <w:color w:val="000000"/>
                <w:sz w:val="20"/>
                <w:szCs w:val="22"/>
              </w:rPr>
              <w:t xml:space="preserve"> registry benefits and restrictions</w:t>
            </w:r>
            <w:r w:rsidR="00112EE5">
              <w:rPr>
                <w:rFonts w:ascii="Calibri" w:eastAsia="Times New Roman" w:hAnsi="Calibri" w:cs="Times New Roman"/>
                <w:color w:val="000000"/>
                <w:sz w:val="20"/>
                <w:szCs w:val="22"/>
              </w:rPr>
              <w:t xml:space="preserve"> should be clear and understandable to registrants and users. </w:t>
            </w:r>
          </w:p>
        </w:tc>
        <w:tc>
          <w:tcPr>
            <w:tcW w:w="1080" w:type="dxa"/>
            <w:shd w:val="clear" w:color="auto" w:fill="auto"/>
            <w:noWrap/>
            <w:vAlign w:val="center"/>
            <w:hideMark/>
          </w:tcPr>
          <w:p w14:paraId="795DDAE5" w14:textId="39A7F302" w:rsidR="00D61D65" w:rsidRDefault="00112EE5" w:rsidP="00112EE5">
            <w:pPr>
              <w:spacing w:before="60" w:after="60"/>
              <w:jc w:val="center"/>
              <w:rPr>
                <w:rFonts w:ascii="Calibri" w:eastAsia="Times New Roman" w:hAnsi="Calibri" w:cs="Times New Roman"/>
                <w:color w:val="000000"/>
                <w:sz w:val="20"/>
                <w:szCs w:val="22"/>
              </w:rPr>
            </w:pPr>
            <w:proofErr w:type="spellStart"/>
            <w:r>
              <w:rPr>
                <w:rFonts w:ascii="Calibri" w:eastAsia="Times New Roman" w:hAnsi="Calibri" w:cs="Times New Roman"/>
                <w:color w:val="000000"/>
                <w:sz w:val="20"/>
                <w:szCs w:val="22"/>
              </w:rPr>
              <w:t>Ry</w:t>
            </w:r>
            <w:proofErr w:type="spellEnd"/>
            <w:r>
              <w:rPr>
                <w:rFonts w:ascii="Calibri" w:eastAsia="Times New Roman" w:hAnsi="Calibri" w:cs="Times New Roman"/>
                <w:color w:val="000000"/>
                <w:sz w:val="20"/>
                <w:szCs w:val="22"/>
              </w:rPr>
              <w:t xml:space="preserve"> and </w:t>
            </w:r>
            <w:proofErr w:type="spellStart"/>
            <w:r>
              <w:rPr>
                <w:rFonts w:ascii="Calibri" w:eastAsia="Times New Roman" w:hAnsi="Calibri" w:cs="Times New Roman"/>
                <w:color w:val="000000"/>
                <w:sz w:val="20"/>
                <w:szCs w:val="22"/>
              </w:rPr>
              <w:t>Rr</w:t>
            </w:r>
            <w:proofErr w:type="spellEnd"/>
            <w:r w:rsidR="00D61D65">
              <w:rPr>
                <w:rFonts w:ascii="Calibri" w:eastAsia="Times New Roman" w:hAnsi="Calibri" w:cs="Times New Roman"/>
                <w:color w:val="000000"/>
                <w:sz w:val="20"/>
                <w:szCs w:val="22"/>
              </w:rPr>
              <w:t xml:space="preserve"> websites</w:t>
            </w:r>
            <w:r>
              <w:rPr>
                <w:rFonts w:ascii="Calibri" w:eastAsia="Times New Roman" w:hAnsi="Calibri" w:cs="Times New Roman"/>
                <w:color w:val="000000"/>
                <w:sz w:val="20"/>
                <w:szCs w:val="22"/>
              </w:rPr>
              <w:t>;</w:t>
            </w:r>
          </w:p>
          <w:p w14:paraId="7F693B33" w14:textId="3D13A27F" w:rsidR="00112EE5" w:rsidRPr="00AD5C36" w:rsidRDefault="00112EE5" w:rsidP="00112EE5">
            <w:pPr>
              <w:spacing w:before="60" w:after="60"/>
              <w:jc w:val="center"/>
              <w:rPr>
                <w:rFonts w:ascii="Calibri" w:eastAsia="Times New Roman" w:hAnsi="Calibri" w:cs="Times New Roman"/>
                <w:color w:val="000000"/>
                <w:sz w:val="20"/>
                <w:szCs w:val="22"/>
              </w:rPr>
            </w:pPr>
            <w:proofErr w:type="gramStart"/>
            <w:r>
              <w:rPr>
                <w:rFonts w:ascii="Calibri" w:eastAsia="Times New Roman" w:hAnsi="Calibri" w:cs="Times New Roman"/>
                <w:color w:val="000000"/>
                <w:sz w:val="20"/>
                <w:szCs w:val="22"/>
              </w:rPr>
              <w:t>surveys</w:t>
            </w:r>
            <w:proofErr w:type="gramEnd"/>
          </w:p>
        </w:tc>
        <w:tc>
          <w:tcPr>
            <w:tcW w:w="2790" w:type="dxa"/>
            <w:vAlign w:val="center"/>
          </w:tcPr>
          <w:p w14:paraId="031109D8" w14:textId="21F73ACD" w:rsidR="009008FA" w:rsidRDefault="00112EE5" w:rsidP="00112EE5">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A</w:t>
            </w:r>
            <w:r w:rsidR="009008FA">
              <w:rPr>
                <w:rFonts w:ascii="Calibri" w:eastAsia="Times New Roman" w:hAnsi="Calibri" w:cs="Times New Roman"/>
                <w:color w:val="000000"/>
                <w:sz w:val="20"/>
                <w:szCs w:val="22"/>
              </w:rPr>
              <w:t xml:space="preserve"> </w:t>
            </w:r>
            <w:r>
              <w:rPr>
                <w:rFonts w:ascii="Calibri" w:eastAsia="Times New Roman" w:hAnsi="Calibri" w:cs="Times New Roman"/>
                <w:color w:val="000000"/>
                <w:sz w:val="20"/>
                <w:szCs w:val="22"/>
              </w:rPr>
              <w:t>s</w:t>
            </w:r>
            <w:r w:rsidR="009008FA">
              <w:rPr>
                <w:rFonts w:ascii="Calibri" w:eastAsia="Times New Roman" w:hAnsi="Calibri" w:cs="Times New Roman"/>
                <w:color w:val="000000"/>
                <w:sz w:val="20"/>
                <w:szCs w:val="22"/>
              </w:rPr>
              <w:t xml:space="preserve">urvey </w:t>
            </w:r>
            <w:r>
              <w:rPr>
                <w:rFonts w:ascii="Calibri" w:eastAsia="Times New Roman" w:hAnsi="Calibri" w:cs="Times New Roman"/>
                <w:color w:val="000000"/>
                <w:sz w:val="20"/>
                <w:szCs w:val="22"/>
              </w:rPr>
              <w:t>of registrants and users could assess clarity.</w:t>
            </w:r>
          </w:p>
        </w:tc>
        <w:tc>
          <w:tcPr>
            <w:tcW w:w="1530" w:type="dxa"/>
            <w:shd w:val="clear" w:color="auto" w:fill="auto"/>
            <w:vAlign w:val="center"/>
          </w:tcPr>
          <w:p w14:paraId="3FB34FC0" w14:textId="3ADB9CB9" w:rsidR="00D61D65" w:rsidRPr="00AD5C36" w:rsidRDefault="00112EE5" w:rsidP="00112EE5">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All disclosures should use “plain language”</w:t>
            </w:r>
          </w:p>
        </w:tc>
      </w:tr>
      <w:tr w:rsidR="009008FA" w:rsidRPr="009008FA" w14:paraId="118C38C3" w14:textId="77777777" w:rsidTr="009008FA">
        <w:trPr>
          <w:trHeight w:val="690"/>
        </w:trPr>
        <w:tc>
          <w:tcPr>
            <w:tcW w:w="9185" w:type="dxa"/>
            <w:gridSpan w:val="4"/>
            <w:shd w:val="clear" w:color="auto" w:fill="auto"/>
            <w:noWrap/>
            <w:vAlign w:val="center"/>
          </w:tcPr>
          <w:p w14:paraId="287AFEC3" w14:textId="20A38AE1" w:rsidR="009008FA" w:rsidRPr="009008FA" w:rsidRDefault="009008FA" w:rsidP="009008FA">
            <w:pPr>
              <w:spacing w:before="60" w:after="60"/>
              <w:rPr>
                <w:rFonts w:ascii="Calibri" w:eastAsia="Times New Roman" w:hAnsi="Calibri" w:cs="Times New Roman"/>
                <w:i/>
                <w:color w:val="000000"/>
                <w:sz w:val="20"/>
                <w:szCs w:val="22"/>
              </w:rPr>
            </w:pPr>
            <w:r w:rsidRPr="009008FA">
              <w:rPr>
                <w:rFonts w:ascii="Calibri" w:eastAsia="Times New Roman" w:hAnsi="Calibri" w:cs="Times New Roman"/>
                <w:i/>
                <w:color w:val="000000"/>
                <w:sz w:val="20"/>
                <w:szCs w:val="22"/>
              </w:rPr>
              <w:t>Range of options available to registrants and users</w:t>
            </w:r>
            <w:r w:rsidR="00242C4C">
              <w:rPr>
                <w:rFonts w:ascii="Calibri" w:eastAsia="Times New Roman" w:hAnsi="Calibri" w:cs="Times New Roman"/>
                <w:i/>
                <w:color w:val="000000"/>
                <w:sz w:val="20"/>
                <w:szCs w:val="22"/>
              </w:rPr>
              <w:t xml:space="preserve"> in terms of scripts and national laws</w:t>
            </w:r>
          </w:p>
        </w:tc>
      </w:tr>
      <w:tr w:rsidR="00112EE5" w:rsidRPr="00AD5C36" w14:paraId="050D26DF" w14:textId="77777777" w:rsidTr="00112EE5">
        <w:trPr>
          <w:trHeight w:val="690"/>
        </w:trPr>
        <w:tc>
          <w:tcPr>
            <w:tcW w:w="3785" w:type="dxa"/>
            <w:shd w:val="clear" w:color="auto" w:fill="auto"/>
            <w:noWrap/>
            <w:vAlign w:val="center"/>
          </w:tcPr>
          <w:p w14:paraId="4DC268FC" w14:textId="77777777" w:rsidR="00112EE5" w:rsidRPr="0084344C" w:rsidRDefault="00112EE5" w:rsidP="00112EE5">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Quantity of TLDs using IDN scripts or languages other than English.</w:t>
            </w:r>
          </w:p>
        </w:tc>
        <w:tc>
          <w:tcPr>
            <w:tcW w:w="1080" w:type="dxa"/>
            <w:shd w:val="clear" w:color="auto" w:fill="auto"/>
            <w:noWrap/>
            <w:vAlign w:val="center"/>
          </w:tcPr>
          <w:p w14:paraId="36426E61" w14:textId="77777777" w:rsidR="00112EE5" w:rsidRPr="00AD5C36" w:rsidRDefault="00112EE5" w:rsidP="00112EE5">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Registry websites</w:t>
            </w:r>
          </w:p>
        </w:tc>
        <w:tc>
          <w:tcPr>
            <w:tcW w:w="2790" w:type="dxa"/>
            <w:vAlign w:val="center"/>
          </w:tcPr>
          <w:p w14:paraId="2D91491E" w14:textId="77777777" w:rsidR="00112EE5" w:rsidRDefault="00112EE5" w:rsidP="00112EE5">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None noted</w:t>
            </w:r>
          </w:p>
        </w:tc>
        <w:tc>
          <w:tcPr>
            <w:tcW w:w="1530" w:type="dxa"/>
            <w:shd w:val="clear" w:color="auto" w:fill="auto"/>
            <w:vAlign w:val="center"/>
          </w:tcPr>
          <w:p w14:paraId="39AEE17C" w14:textId="71F8BCA0" w:rsidR="00112EE5" w:rsidRPr="00AD5C36" w:rsidRDefault="00112EE5" w:rsidP="00112EE5">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Increase in # of IDN and non-English TLDs</w:t>
            </w:r>
          </w:p>
        </w:tc>
      </w:tr>
      <w:tr w:rsidR="009008FA" w:rsidRPr="00AD5C36" w14:paraId="5145A208" w14:textId="77777777" w:rsidTr="009008FA">
        <w:trPr>
          <w:trHeight w:val="690"/>
        </w:trPr>
        <w:tc>
          <w:tcPr>
            <w:tcW w:w="3785" w:type="dxa"/>
            <w:shd w:val="clear" w:color="auto" w:fill="auto"/>
            <w:noWrap/>
            <w:vAlign w:val="center"/>
          </w:tcPr>
          <w:p w14:paraId="0B6290E0" w14:textId="06851A4E" w:rsidR="009008FA" w:rsidRPr="0084344C" w:rsidRDefault="009008FA" w:rsidP="00112EE5">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Quantity of </w:t>
            </w:r>
            <w:r w:rsidR="00112EE5">
              <w:rPr>
                <w:rFonts w:ascii="Calibri" w:eastAsia="Times New Roman" w:hAnsi="Calibri" w:cs="Times New Roman"/>
                <w:color w:val="000000"/>
                <w:sz w:val="20"/>
                <w:szCs w:val="22"/>
              </w:rPr>
              <w:t xml:space="preserve">Registrar websites offering IDN </w:t>
            </w:r>
            <w:r>
              <w:rPr>
                <w:rFonts w:ascii="Calibri" w:eastAsia="Times New Roman" w:hAnsi="Calibri" w:cs="Times New Roman"/>
                <w:color w:val="000000"/>
                <w:sz w:val="20"/>
                <w:szCs w:val="22"/>
              </w:rPr>
              <w:t>scripts o</w:t>
            </w:r>
            <w:r w:rsidR="00112EE5">
              <w:rPr>
                <w:rFonts w:ascii="Calibri" w:eastAsia="Times New Roman" w:hAnsi="Calibri" w:cs="Times New Roman"/>
                <w:color w:val="000000"/>
                <w:sz w:val="20"/>
                <w:szCs w:val="22"/>
              </w:rPr>
              <w:t>r languages o</w:t>
            </w:r>
            <w:r>
              <w:rPr>
                <w:rFonts w:ascii="Calibri" w:eastAsia="Times New Roman" w:hAnsi="Calibri" w:cs="Times New Roman"/>
                <w:color w:val="000000"/>
                <w:sz w:val="20"/>
                <w:szCs w:val="22"/>
              </w:rPr>
              <w:t>ther than English</w:t>
            </w:r>
            <w:r w:rsidR="00112EE5">
              <w:rPr>
                <w:rFonts w:ascii="Calibri" w:eastAsia="Times New Roman" w:hAnsi="Calibri" w:cs="Times New Roman"/>
                <w:color w:val="000000"/>
                <w:sz w:val="20"/>
                <w:szCs w:val="22"/>
              </w:rPr>
              <w:t>.</w:t>
            </w:r>
          </w:p>
        </w:tc>
        <w:tc>
          <w:tcPr>
            <w:tcW w:w="1080" w:type="dxa"/>
            <w:shd w:val="clear" w:color="auto" w:fill="auto"/>
            <w:noWrap/>
            <w:vAlign w:val="center"/>
          </w:tcPr>
          <w:p w14:paraId="5F5C942D" w14:textId="58457710" w:rsidR="009008FA" w:rsidRPr="00AD5C36" w:rsidRDefault="009008FA" w:rsidP="00112EE5">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Registr</w:t>
            </w:r>
            <w:r w:rsidR="00112EE5">
              <w:rPr>
                <w:rFonts w:ascii="Calibri" w:eastAsia="Times New Roman" w:hAnsi="Calibri" w:cs="Times New Roman"/>
                <w:color w:val="000000"/>
                <w:sz w:val="20"/>
                <w:szCs w:val="22"/>
              </w:rPr>
              <w:t>ar</w:t>
            </w:r>
            <w:r>
              <w:rPr>
                <w:rFonts w:ascii="Calibri" w:eastAsia="Times New Roman" w:hAnsi="Calibri" w:cs="Times New Roman"/>
                <w:color w:val="000000"/>
                <w:sz w:val="20"/>
                <w:szCs w:val="22"/>
              </w:rPr>
              <w:t xml:space="preserve"> websites</w:t>
            </w:r>
          </w:p>
        </w:tc>
        <w:tc>
          <w:tcPr>
            <w:tcW w:w="2790" w:type="dxa"/>
            <w:vAlign w:val="center"/>
          </w:tcPr>
          <w:p w14:paraId="7DAD6207" w14:textId="65B1C470" w:rsidR="009008FA" w:rsidRDefault="009008FA" w:rsidP="009008FA">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None noted</w:t>
            </w:r>
          </w:p>
        </w:tc>
        <w:tc>
          <w:tcPr>
            <w:tcW w:w="1530" w:type="dxa"/>
            <w:shd w:val="clear" w:color="auto" w:fill="auto"/>
            <w:vAlign w:val="center"/>
          </w:tcPr>
          <w:p w14:paraId="7F96A505" w14:textId="5890AC31" w:rsidR="009008FA" w:rsidRPr="00AD5C36" w:rsidRDefault="00112EE5" w:rsidP="00112EE5">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Increase in # of Registrar websites offering these choices</w:t>
            </w:r>
          </w:p>
        </w:tc>
      </w:tr>
      <w:tr w:rsidR="009008FA" w:rsidRPr="00AD5C36" w14:paraId="328FE87F" w14:textId="77777777" w:rsidTr="009008FA">
        <w:trPr>
          <w:trHeight w:val="690"/>
        </w:trPr>
        <w:tc>
          <w:tcPr>
            <w:tcW w:w="3785" w:type="dxa"/>
            <w:shd w:val="clear" w:color="auto" w:fill="auto"/>
            <w:noWrap/>
            <w:vAlign w:val="center"/>
          </w:tcPr>
          <w:p w14:paraId="7765F86D" w14:textId="65B9D1FF" w:rsidR="009008FA" w:rsidRPr="0084344C" w:rsidRDefault="009008FA" w:rsidP="009008FA">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Quantity of different national legal regimes where new gTLD registries are based. </w:t>
            </w:r>
          </w:p>
        </w:tc>
        <w:tc>
          <w:tcPr>
            <w:tcW w:w="1080" w:type="dxa"/>
            <w:shd w:val="clear" w:color="auto" w:fill="auto"/>
            <w:noWrap/>
            <w:vAlign w:val="center"/>
          </w:tcPr>
          <w:p w14:paraId="1DF8608A" w14:textId="403DEC4A" w:rsidR="009008FA" w:rsidRPr="00AD5C36" w:rsidRDefault="009008FA" w:rsidP="009008FA">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Registry websites</w:t>
            </w:r>
          </w:p>
        </w:tc>
        <w:tc>
          <w:tcPr>
            <w:tcW w:w="2790" w:type="dxa"/>
            <w:vAlign w:val="center"/>
          </w:tcPr>
          <w:p w14:paraId="6C5FAFF8" w14:textId="41073136" w:rsidR="00A75B1D" w:rsidRDefault="00112EE5" w:rsidP="009008FA">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Not difficult, </w:t>
            </w:r>
            <w:r w:rsidR="00A75B1D">
              <w:rPr>
                <w:rFonts w:ascii="Calibri" w:eastAsia="Times New Roman" w:hAnsi="Calibri" w:cs="Times New Roman"/>
                <w:color w:val="000000"/>
                <w:sz w:val="20"/>
                <w:szCs w:val="22"/>
              </w:rPr>
              <w:t>if each nation is counted as a separate legal regime.</w:t>
            </w:r>
          </w:p>
          <w:p w14:paraId="5C9C5A2F" w14:textId="4BF7B83D" w:rsidR="009008FA" w:rsidRDefault="009008FA" w:rsidP="007E281E">
            <w:pPr>
              <w:spacing w:before="60" w:after="60"/>
              <w:rPr>
                <w:rFonts w:ascii="Calibri" w:eastAsia="Times New Roman" w:hAnsi="Calibri" w:cs="Times New Roman"/>
                <w:color w:val="000000"/>
                <w:sz w:val="20"/>
                <w:szCs w:val="22"/>
              </w:rPr>
            </w:pPr>
          </w:p>
        </w:tc>
        <w:tc>
          <w:tcPr>
            <w:tcW w:w="1530" w:type="dxa"/>
            <w:shd w:val="clear" w:color="auto" w:fill="auto"/>
            <w:vAlign w:val="center"/>
          </w:tcPr>
          <w:p w14:paraId="753CA4EC" w14:textId="046C22D1" w:rsidR="00055B38" w:rsidRPr="00AD5C36" w:rsidRDefault="009008FA" w:rsidP="00112EE5">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 </w:t>
            </w:r>
            <w:proofErr w:type="gramStart"/>
            <w:r>
              <w:rPr>
                <w:rFonts w:ascii="Calibri" w:eastAsia="Times New Roman" w:hAnsi="Calibri" w:cs="Times New Roman"/>
                <w:color w:val="000000"/>
                <w:sz w:val="20"/>
                <w:szCs w:val="22"/>
              </w:rPr>
              <w:t>of</w:t>
            </w:r>
            <w:proofErr w:type="gramEnd"/>
            <w:r>
              <w:rPr>
                <w:rFonts w:ascii="Calibri" w:eastAsia="Times New Roman" w:hAnsi="Calibri" w:cs="Times New Roman"/>
                <w:color w:val="000000"/>
                <w:sz w:val="20"/>
                <w:szCs w:val="22"/>
              </w:rPr>
              <w:t xml:space="preserve"> choices in new </w:t>
            </w:r>
            <w:proofErr w:type="spellStart"/>
            <w:r>
              <w:rPr>
                <w:rFonts w:ascii="Calibri" w:eastAsia="Times New Roman" w:hAnsi="Calibri" w:cs="Times New Roman"/>
                <w:color w:val="000000"/>
                <w:sz w:val="20"/>
                <w:szCs w:val="22"/>
              </w:rPr>
              <w:t>gTLDs</w:t>
            </w:r>
            <w:proofErr w:type="spellEnd"/>
            <w:r>
              <w:rPr>
                <w:rFonts w:ascii="Calibri" w:eastAsia="Times New Roman" w:hAnsi="Calibri" w:cs="Times New Roman"/>
                <w:color w:val="000000"/>
                <w:sz w:val="20"/>
                <w:szCs w:val="22"/>
              </w:rPr>
              <w:t xml:space="preserve"> &gt; choices in legacy TLDs</w:t>
            </w:r>
            <w:r w:rsidR="00055B38">
              <w:rPr>
                <w:rFonts w:ascii="Calibri" w:eastAsia="Times New Roman" w:hAnsi="Calibri" w:cs="Times New Roman"/>
                <w:color w:val="000000"/>
                <w:sz w:val="20"/>
                <w:szCs w:val="22"/>
              </w:rPr>
              <w:t>.</w:t>
            </w:r>
          </w:p>
        </w:tc>
      </w:tr>
    </w:tbl>
    <w:p w14:paraId="47F1A906" w14:textId="3D93F27C" w:rsidR="00055B38" w:rsidRDefault="00274431">
      <w:r>
        <w:br w:type="page"/>
      </w:r>
    </w:p>
    <w:p w14:paraId="3B32A80C" w14:textId="77777777" w:rsidR="00274431" w:rsidRDefault="00274431"/>
    <w:tbl>
      <w:tblPr>
        <w:tblW w:w="9185"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5"/>
        <w:gridCol w:w="1080"/>
        <w:gridCol w:w="2790"/>
        <w:gridCol w:w="1530"/>
      </w:tblGrid>
      <w:tr w:rsidR="00242C4C" w:rsidRPr="00242C4C" w14:paraId="69758B53" w14:textId="77777777" w:rsidTr="007E281E">
        <w:trPr>
          <w:trHeight w:val="690"/>
        </w:trPr>
        <w:tc>
          <w:tcPr>
            <w:tcW w:w="9185" w:type="dxa"/>
            <w:gridSpan w:val="4"/>
            <w:shd w:val="clear" w:color="auto" w:fill="auto"/>
            <w:noWrap/>
            <w:vAlign w:val="center"/>
          </w:tcPr>
          <w:p w14:paraId="3EEEC7D8" w14:textId="5CA1D83E" w:rsidR="00242C4C" w:rsidRPr="00242C4C" w:rsidRDefault="00242C4C" w:rsidP="00242C4C">
            <w:pPr>
              <w:spacing w:before="60" w:after="60"/>
              <w:rPr>
                <w:rFonts w:ascii="Calibri" w:eastAsia="Times New Roman" w:hAnsi="Calibri" w:cs="Times New Roman"/>
                <w:i/>
                <w:color w:val="000000"/>
                <w:sz w:val="20"/>
                <w:szCs w:val="22"/>
              </w:rPr>
            </w:pPr>
            <w:r>
              <w:rPr>
                <w:rFonts w:ascii="Calibri" w:eastAsia="Times New Roman" w:hAnsi="Calibri" w:cs="Times New Roman"/>
                <w:i/>
                <w:color w:val="000000"/>
                <w:sz w:val="20"/>
                <w:szCs w:val="22"/>
              </w:rPr>
              <w:t xml:space="preserve">Measures designed to assess whether prior registrants chose new </w:t>
            </w:r>
            <w:proofErr w:type="spellStart"/>
            <w:r>
              <w:rPr>
                <w:rFonts w:ascii="Calibri" w:eastAsia="Times New Roman" w:hAnsi="Calibri" w:cs="Times New Roman"/>
                <w:i/>
                <w:color w:val="000000"/>
                <w:sz w:val="20"/>
                <w:szCs w:val="22"/>
              </w:rPr>
              <w:t>gTLDs</w:t>
            </w:r>
            <w:proofErr w:type="spellEnd"/>
            <w:r>
              <w:rPr>
                <w:rFonts w:ascii="Calibri" w:eastAsia="Times New Roman" w:hAnsi="Calibri" w:cs="Times New Roman"/>
                <w:i/>
                <w:color w:val="000000"/>
                <w:sz w:val="20"/>
                <w:szCs w:val="22"/>
              </w:rPr>
              <w:t xml:space="preserve"> for primarily defensive purposes. (</w:t>
            </w:r>
            <w:r w:rsidRPr="00242C4C">
              <w:rPr>
                <w:rFonts w:ascii="Calibri" w:eastAsia="Times New Roman" w:hAnsi="Calibri" w:cs="Times New Roman"/>
                <w:i/>
                <w:color w:val="000000"/>
                <w:sz w:val="20"/>
                <w:szCs w:val="22"/>
              </w:rPr>
              <w:t xml:space="preserve">Note: </w:t>
            </w:r>
            <w:r>
              <w:rPr>
                <w:rFonts w:ascii="Calibri" w:eastAsia="Times New Roman" w:hAnsi="Calibri" w:cs="Times New Roman"/>
                <w:i/>
                <w:color w:val="000000"/>
                <w:sz w:val="20"/>
                <w:szCs w:val="22"/>
              </w:rPr>
              <w:t xml:space="preserve">registrations using </w:t>
            </w:r>
            <w:r w:rsidRPr="00242C4C">
              <w:rPr>
                <w:rFonts w:ascii="Calibri" w:eastAsia="Times New Roman" w:hAnsi="Calibri" w:cs="Times New Roman"/>
                <w:i/>
                <w:color w:val="000000"/>
                <w:sz w:val="20"/>
                <w:szCs w:val="22"/>
              </w:rPr>
              <w:t xml:space="preserve">privacy and proxy </w:t>
            </w:r>
            <w:r>
              <w:rPr>
                <w:rFonts w:ascii="Calibri" w:eastAsia="Times New Roman" w:hAnsi="Calibri" w:cs="Times New Roman"/>
                <w:i/>
                <w:color w:val="000000"/>
                <w:sz w:val="20"/>
                <w:szCs w:val="22"/>
              </w:rPr>
              <w:t>services will not provide meaningful data)</w:t>
            </w:r>
          </w:p>
        </w:tc>
      </w:tr>
      <w:tr w:rsidR="00274431" w:rsidRPr="0084344C" w14:paraId="7CBAC7DB" w14:textId="77777777" w:rsidTr="007E2787">
        <w:trPr>
          <w:trHeight w:val="690"/>
          <w:tblHeader/>
        </w:trPr>
        <w:tc>
          <w:tcPr>
            <w:tcW w:w="3785" w:type="dxa"/>
            <w:shd w:val="clear" w:color="auto" w:fill="auto"/>
            <w:noWrap/>
            <w:vAlign w:val="center"/>
            <w:hideMark/>
          </w:tcPr>
          <w:p w14:paraId="5E161A7C" w14:textId="77777777" w:rsidR="00274431" w:rsidRPr="0084344C" w:rsidRDefault="00274431" w:rsidP="007E2787">
            <w:pPr>
              <w:spacing w:before="60" w:after="60"/>
              <w:rPr>
                <w:rFonts w:ascii="Calibri" w:eastAsia="Times New Roman" w:hAnsi="Calibri" w:cs="Times New Roman"/>
                <w:b/>
                <w:color w:val="000000"/>
                <w:sz w:val="20"/>
                <w:szCs w:val="22"/>
              </w:rPr>
            </w:pPr>
            <w:r w:rsidRPr="0084344C">
              <w:rPr>
                <w:rFonts w:ascii="Calibri" w:eastAsia="Times New Roman" w:hAnsi="Calibri" w:cs="Times New Roman"/>
                <w:b/>
                <w:color w:val="000000"/>
                <w:sz w:val="20"/>
                <w:szCs w:val="22"/>
              </w:rPr>
              <w:t>Measure</w:t>
            </w:r>
            <w:r>
              <w:rPr>
                <w:rFonts w:ascii="Calibri" w:eastAsia="Times New Roman" w:hAnsi="Calibri" w:cs="Times New Roman"/>
                <w:b/>
                <w:color w:val="000000"/>
                <w:sz w:val="20"/>
                <w:szCs w:val="22"/>
              </w:rPr>
              <w:t xml:space="preserve"> of Consumer Choice</w:t>
            </w:r>
          </w:p>
        </w:tc>
        <w:tc>
          <w:tcPr>
            <w:tcW w:w="1080" w:type="dxa"/>
            <w:shd w:val="clear" w:color="auto" w:fill="auto"/>
            <w:noWrap/>
            <w:vAlign w:val="center"/>
            <w:hideMark/>
          </w:tcPr>
          <w:p w14:paraId="1102EDDA" w14:textId="77777777" w:rsidR="00274431" w:rsidRPr="00694981" w:rsidRDefault="00274431" w:rsidP="007E2787">
            <w:pPr>
              <w:spacing w:before="60" w:after="60"/>
              <w:jc w:val="center"/>
              <w:rPr>
                <w:rFonts w:ascii="Calibri" w:eastAsia="Times New Roman" w:hAnsi="Calibri" w:cs="Times New Roman"/>
                <w:b/>
                <w:color w:val="000000"/>
                <w:sz w:val="20"/>
                <w:szCs w:val="22"/>
              </w:rPr>
            </w:pPr>
            <w:r w:rsidRPr="00694981">
              <w:rPr>
                <w:rFonts w:ascii="Calibri" w:eastAsia="Times New Roman" w:hAnsi="Calibri" w:cs="Times New Roman"/>
                <w:b/>
                <w:color w:val="000000"/>
                <w:sz w:val="20"/>
                <w:szCs w:val="22"/>
              </w:rPr>
              <w:t>Source</w:t>
            </w:r>
          </w:p>
        </w:tc>
        <w:tc>
          <w:tcPr>
            <w:tcW w:w="2790" w:type="dxa"/>
            <w:vAlign w:val="center"/>
          </w:tcPr>
          <w:p w14:paraId="386B7FC4" w14:textId="77777777" w:rsidR="00274431" w:rsidRDefault="00274431" w:rsidP="007E2787">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 xml:space="preserve">Anticipated Difficulties in Obtaining and/or Reporting </w:t>
            </w:r>
          </w:p>
        </w:tc>
        <w:tc>
          <w:tcPr>
            <w:tcW w:w="1530" w:type="dxa"/>
            <w:shd w:val="clear" w:color="auto" w:fill="auto"/>
            <w:vAlign w:val="center"/>
          </w:tcPr>
          <w:p w14:paraId="0F114531" w14:textId="77777777" w:rsidR="00274431" w:rsidRDefault="00274431" w:rsidP="007E2787">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3-year</w:t>
            </w:r>
          </w:p>
          <w:p w14:paraId="24982B1D" w14:textId="77777777" w:rsidR="00274431" w:rsidRPr="0084344C" w:rsidRDefault="00274431" w:rsidP="007E2787">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Target</w:t>
            </w:r>
          </w:p>
        </w:tc>
      </w:tr>
      <w:tr w:rsidR="00055B38" w:rsidRPr="00AD5C36" w14:paraId="19CF72FA" w14:textId="77777777" w:rsidTr="00CB1698">
        <w:trPr>
          <w:trHeight w:val="690"/>
        </w:trPr>
        <w:tc>
          <w:tcPr>
            <w:tcW w:w="3785" w:type="dxa"/>
            <w:shd w:val="clear" w:color="auto" w:fill="auto"/>
            <w:noWrap/>
            <w:vAlign w:val="center"/>
          </w:tcPr>
          <w:p w14:paraId="516C0B6B" w14:textId="76EF1F76" w:rsidR="00055B38" w:rsidRPr="0084344C" w:rsidRDefault="003F10B2" w:rsidP="00B731B2">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A defensive</w:t>
            </w:r>
            <w:r w:rsidR="007F2E37">
              <w:rPr>
                <w:rFonts w:ascii="Calibri" w:eastAsia="Times New Roman" w:hAnsi="Calibri" w:cs="Times New Roman"/>
                <w:color w:val="000000"/>
                <w:sz w:val="20"/>
                <w:szCs w:val="22"/>
              </w:rPr>
              <w:t xml:space="preserve"> registration is not </w:t>
            </w:r>
            <w:r>
              <w:rPr>
                <w:rFonts w:ascii="Calibri" w:eastAsia="Times New Roman" w:hAnsi="Calibri" w:cs="Times New Roman"/>
                <w:color w:val="000000"/>
                <w:sz w:val="20"/>
                <w:szCs w:val="22"/>
              </w:rPr>
              <w:t xml:space="preserve">seen as an improvement in </w:t>
            </w:r>
            <w:r w:rsidR="007F2E37">
              <w:rPr>
                <w:rFonts w:ascii="Calibri" w:eastAsia="Times New Roman" w:hAnsi="Calibri" w:cs="Times New Roman"/>
                <w:color w:val="000000"/>
                <w:sz w:val="20"/>
                <w:szCs w:val="22"/>
              </w:rPr>
              <w:t>choice</w:t>
            </w:r>
            <w:r>
              <w:rPr>
                <w:rFonts w:ascii="Calibri" w:eastAsia="Times New Roman" w:hAnsi="Calibri" w:cs="Times New Roman"/>
                <w:color w:val="000000"/>
                <w:sz w:val="20"/>
                <w:szCs w:val="22"/>
              </w:rPr>
              <w:t xml:space="preserve">s </w:t>
            </w:r>
            <w:r w:rsidR="00B731B2">
              <w:rPr>
                <w:rFonts w:ascii="Calibri" w:eastAsia="Times New Roman" w:hAnsi="Calibri" w:cs="Times New Roman"/>
                <w:color w:val="000000"/>
                <w:sz w:val="20"/>
                <w:szCs w:val="22"/>
              </w:rPr>
              <w:t>available to</w:t>
            </w:r>
            <w:r>
              <w:rPr>
                <w:rFonts w:ascii="Calibri" w:eastAsia="Times New Roman" w:hAnsi="Calibri" w:cs="Times New Roman"/>
                <w:color w:val="000000"/>
                <w:sz w:val="20"/>
                <w:szCs w:val="22"/>
              </w:rPr>
              <w:t xml:space="preserve"> registrants</w:t>
            </w:r>
            <w:r w:rsidR="007F2E37">
              <w:rPr>
                <w:rFonts w:ascii="Calibri" w:eastAsia="Times New Roman" w:hAnsi="Calibri" w:cs="Times New Roman"/>
                <w:color w:val="000000"/>
                <w:sz w:val="20"/>
                <w:szCs w:val="22"/>
              </w:rPr>
              <w:t xml:space="preserve">.  For purposes of this measure,  “defensive registrations” are </w:t>
            </w:r>
            <w:r w:rsidR="00055B38">
              <w:rPr>
                <w:rFonts w:ascii="Calibri" w:eastAsia="Times New Roman" w:hAnsi="Calibri" w:cs="Times New Roman"/>
                <w:color w:val="000000"/>
                <w:sz w:val="20"/>
                <w:szCs w:val="22"/>
              </w:rPr>
              <w:t>Sunrise registrations</w:t>
            </w:r>
            <w:r w:rsidR="007F2E37">
              <w:rPr>
                <w:rFonts w:ascii="Calibri" w:eastAsia="Times New Roman" w:hAnsi="Calibri" w:cs="Times New Roman"/>
                <w:color w:val="000000"/>
                <w:sz w:val="20"/>
                <w:szCs w:val="22"/>
              </w:rPr>
              <w:t xml:space="preserve"> &amp; domain blocks.  Measure share of (Sunrise registrations &amp; domain blocks)</w:t>
            </w:r>
            <w:r w:rsidR="00055B38">
              <w:rPr>
                <w:rFonts w:ascii="Calibri" w:eastAsia="Times New Roman" w:hAnsi="Calibri" w:cs="Times New Roman"/>
                <w:color w:val="000000"/>
                <w:sz w:val="20"/>
                <w:szCs w:val="22"/>
              </w:rPr>
              <w:t xml:space="preserve"> to total registrations in each </w:t>
            </w:r>
            <w:r w:rsidR="007F2E37">
              <w:rPr>
                <w:rFonts w:ascii="Calibri" w:eastAsia="Times New Roman" w:hAnsi="Calibri" w:cs="Times New Roman"/>
                <w:color w:val="000000"/>
                <w:sz w:val="20"/>
                <w:szCs w:val="22"/>
              </w:rPr>
              <w:t xml:space="preserve">new </w:t>
            </w:r>
            <w:r w:rsidR="00055B38">
              <w:rPr>
                <w:rFonts w:ascii="Calibri" w:eastAsia="Times New Roman" w:hAnsi="Calibri" w:cs="Times New Roman"/>
                <w:color w:val="000000"/>
                <w:sz w:val="20"/>
                <w:szCs w:val="22"/>
              </w:rPr>
              <w:t xml:space="preserve">gTLD. </w:t>
            </w:r>
          </w:p>
        </w:tc>
        <w:tc>
          <w:tcPr>
            <w:tcW w:w="1080" w:type="dxa"/>
            <w:shd w:val="clear" w:color="auto" w:fill="auto"/>
            <w:noWrap/>
            <w:vAlign w:val="center"/>
          </w:tcPr>
          <w:p w14:paraId="38FEED1A" w14:textId="36CB7C75" w:rsidR="00055B38" w:rsidRPr="00AD5C36" w:rsidRDefault="00055B38" w:rsidP="00055B38">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Zone snapshot at end of Sunrise</w:t>
            </w:r>
          </w:p>
        </w:tc>
        <w:tc>
          <w:tcPr>
            <w:tcW w:w="2790" w:type="dxa"/>
            <w:vAlign w:val="center"/>
          </w:tcPr>
          <w:p w14:paraId="26DAC122" w14:textId="0CA1AA7F" w:rsidR="00055B38" w:rsidRDefault="00055B38" w:rsidP="00055B38">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Obtainable, since Registries must publish zone before open registration begins.</w:t>
            </w:r>
          </w:p>
        </w:tc>
        <w:tc>
          <w:tcPr>
            <w:tcW w:w="1530" w:type="dxa"/>
            <w:shd w:val="clear" w:color="auto" w:fill="auto"/>
            <w:vAlign w:val="center"/>
          </w:tcPr>
          <w:p w14:paraId="2DA34D97" w14:textId="00FBA3BE" w:rsidR="00055B38" w:rsidRDefault="00055B38" w:rsidP="00055B38">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Post-Sunrise</w:t>
            </w:r>
            <w:r w:rsidR="007F2E37">
              <w:rPr>
                <w:rFonts w:ascii="Calibri" w:eastAsia="Times New Roman" w:hAnsi="Calibri" w:cs="Times New Roman"/>
                <w:color w:val="000000"/>
                <w:sz w:val="20"/>
                <w:szCs w:val="22"/>
              </w:rPr>
              <w:t xml:space="preserve"> registrations &gt; 15</w:t>
            </w:r>
            <w:r>
              <w:rPr>
                <w:rFonts w:ascii="Calibri" w:eastAsia="Times New Roman" w:hAnsi="Calibri" w:cs="Times New Roman"/>
                <w:color w:val="000000"/>
                <w:sz w:val="20"/>
                <w:szCs w:val="22"/>
              </w:rPr>
              <w:t>% of total registrations.</w:t>
            </w:r>
          </w:p>
          <w:p w14:paraId="31300227" w14:textId="10490718" w:rsidR="00055B38" w:rsidRPr="00AD5C36" w:rsidRDefault="00055B38" w:rsidP="00055B38">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Post-sunrise registrations should increase over time.</w:t>
            </w:r>
          </w:p>
        </w:tc>
      </w:tr>
      <w:tr w:rsidR="009008FA" w:rsidRPr="00AD5C36" w14:paraId="33C26556" w14:textId="77777777" w:rsidTr="005F63A9">
        <w:trPr>
          <w:trHeight w:val="690"/>
        </w:trPr>
        <w:tc>
          <w:tcPr>
            <w:tcW w:w="3785" w:type="dxa"/>
            <w:shd w:val="clear" w:color="auto" w:fill="auto"/>
            <w:noWrap/>
            <w:vAlign w:val="center"/>
          </w:tcPr>
          <w:p w14:paraId="3755E5C4" w14:textId="14C88FF6" w:rsidR="009008FA" w:rsidRPr="0084344C" w:rsidRDefault="00CB1698" w:rsidP="007F2E37">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R</w:t>
            </w:r>
            <w:r w:rsidR="009008FA">
              <w:rPr>
                <w:rFonts w:ascii="Calibri" w:eastAsia="Times New Roman" w:hAnsi="Calibri" w:cs="Times New Roman"/>
                <w:color w:val="000000"/>
                <w:sz w:val="20"/>
                <w:szCs w:val="22"/>
              </w:rPr>
              <w:t xml:space="preserve">elative </w:t>
            </w:r>
            <w:r>
              <w:rPr>
                <w:rFonts w:ascii="Calibri" w:eastAsia="Times New Roman" w:hAnsi="Calibri" w:cs="Times New Roman"/>
                <w:color w:val="000000"/>
                <w:sz w:val="20"/>
                <w:szCs w:val="22"/>
              </w:rPr>
              <w:t>share o</w:t>
            </w:r>
            <w:r w:rsidR="009008FA">
              <w:rPr>
                <w:rFonts w:ascii="Calibri" w:eastAsia="Times New Roman" w:hAnsi="Calibri" w:cs="Times New Roman"/>
                <w:color w:val="000000"/>
                <w:sz w:val="20"/>
                <w:szCs w:val="22"/>
              </w:rPr>
              <w:t xml:space="preserve">f </w:t>
            </w:r>
            <w:r w:rsidR="001B72E4">
              <w:rPr>
                <w:rFonts w:ascii="Calibri" w:eastAsia="Times New Roman" w:hAnsi="Calibri" w:cs="Times New Roman"/>
                <w:color w:val="000000"/>
                <w:sz w:val="20"/>
                <w:szCs w:val="22"/>
              </w:rPr>
              <w:t xml:space="preserve">registrations already having the same domain </w:t>
            </w:r>
            <w:r>
              <w:rPr>
                <w:rFonts w:ascii="Calibri" w:eastAsia="Times New Roman" w:hAnsi="Calibri" w:cs="Times New Roman"/>
                <w:color w:val="000000"/>
                <w:sz w:val="20"/>
                <w:szCs w:val="22"/>
              </w:rPr>
              <w:t xml:space="preserve">in </w:t>
            </w:r>
            <w:r w:rsidR="007F2E37">
              <w:rPr>
                <w:rFonts w:ascii="Calibri" w:eastAsia="Times New Roman" w:hAnsi="Calibri" w:cs="Times New Roman"/>
                <w:color w:val="000000"/>
                <w:sz w:val="20"/>
                <w:szCs w:val="22"/>
              </w:rPr>
              <w:t>legacy</w:t>
            </w:r>
            <w:r>
              <w:rPr>
                <w:rFonts w:ascii="Calibri" w:eastAsia="Times New Roman" w:hAnsi="Calibri" w:cs="Times New Roman"/>
                <w:color w:val="000000"/>
                <w:sz w:val="20"/>
                <w:szCs w:val="22"/>
              </w:rPr>
              <w:t xml:space="preserve"> TLDs.</w:t>
            </w:r>
            <w:r w:rsidR="001B72E4">
              <w:rPr>
                <w:rFonts w:ascii="Calibri" w:eastAsia="Times New Roman" w:hAnsi="Calibri" w:cs="Times New Roman"/>
                <w:color w:val="000000"/>
                <w:sz w:val="20"/>
                <w:szCs w:val="22"/>
              </w:rPr>
              <w:t xml:space="preserve">   For this measure, count all registratio</w:t>
            </w:r>
            <w:r w:rsidR="007F2E37">
              <w:rPr>
                <w:rFonts w:ascii="Calibri" w:eastAsia="Times New Roman" w:hAnsi="Calibri" w:cs="Times New Roman"/>
                <w:color w:val="000000"/>
                <w:sz w:val="20"/>
                <w:szCs w:val="22"/>
              </w:rPr>
              <w:t>ns that redirect to domains in legacy</w:t>
            </w:r>
            <w:r w:rsidR="001B72E4">
              <w:rPr>
                <w:rFonts w:ascii="Calibri" w:eastAsia="Times New Roman" w:hAnsi="Calibri" w:cs="Times New Roman"/>
                <w:color w:val="000000"/>
                <w:sz w:val="20"/>
                <w:szCs w:val="22"/>
              </w:rPr>
              <w:t xml:space="preserve"> TLDs.</w:t>
            </w:r>
            <w:r>
              <w:rPr>
                <w:rFonts w:ascii="Calibri" w:eastAsia="Times New Roman" w:hAnsi="Calibri" w:cs="Times New Roman"/>
                <w:color w:val="000000"/>
                <w:sz w:val="20"/>
                <w:szCs w:val="22"/>
              </w:rPr>
              <w:t xml:space="preserve"> </w:t>
            </w:r>
          </w:p>
        </w:tc>
        <w:tc>
          <w:tcPr>
            <w:tcW w:w="1080" w:type="dxa"/>
            <w:shd w:val="clear" w:color="auto" w:fill="auto"/>
            <w:noWrap/>
            <w:vAlign w:val="center"/>
          </w:tcPr>
          <w:p w14:paraId="755C63F8" w14:textId="5C199F4C" w:rsidR="009008FA" w:rsidRPr="00AD5C36" w:rsidRDefault="009008FA" w:rsidP="00FD30ED">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Zone and WHOIS data</w:t>
            </w:r>
          </w:p>
        </w:tc>
        <w:tc>
          <w:tcPr>
            <w:tcW w:w="2790" w:type="dxa"/>
            <w:vAlign w:val="center"/>
          </w:tcPr>
          <w:p w14:paraId="74742424" w14:textId="02FD1918" w:rsidR="009008FA" w:rsidRDefault="009008FA" w:rsidP="001B72E4">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Moderate difficulty</w:t>
            </w:r>
            <w:r w:rsidR="001B72E4">
              <w:rPr>
                <w:rFonts w:ascii="Calibri" w:eastAsia="Times New Roman" w:hAnsi="Calibri" w:cs="Times New Roman"/>
                <w:color w:val="000000"/>
                <w:sz w:val="20"/>
                <w:szCs w:val="22"/>
              </w:rPr>
              <w:t xml:space="preserve"> to snapshot each new gTLD zone &amp; WHOIS at end of years 1, 2, and 3.</w:t>
            </w:r>
          </w:p>
        </w:tc>
        <w:tc>
          <w:tcPr>
            <w:tcW w:w="1530" w:type="dxa"/>
            <w:shd w:val="clear" w:color="auto" w:fill="auto"/>
            <w:vAlign w:val="center"/>
          </w:tcPr>
          <w:p w14:paraId="5E51A324" w14:textId="4CBA41BF" w:rsidR="009008FA" w:rsidRDefault="007F2E3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Redirect</w:t>
            </w:r>
            <w:r w:rsidR="001B72E4">
              <w:rPr>
                <w:rFonts w:ascii="Calibri" w:eastAsia="Times New Roman" w:hAnsi="Calibri" w:cs="Times New Roman"/>
                <w:color w:val="000000"/>
                <w:sz w:val="20"/>
                <w:szCs w:val="22"/>
              </w:rPr>
              <w:t xml:space="preserve"> registrations of less than </w:t>
            </w:r>
            <w:r>
              <w:rPr>
                <w:rFonts w:ascii="Calibri" w:eastAsia="Times New Roman" w:hAnsi="Calibri" w:cs="Times New Roman"/>
                <w:color w:val="000000"/>
                <w:sz w:val="20"/>
                <w:szCs w:val="22"/>
              </w:rPr>
              <w:t>15%;</w:t>
            </w:r>
          </w:p>
          <w:p w14:paraId="269B6D72" w14:textId="47D42389" w:rsidR="001B72E4" w:rsidRPr="00AD5C36" w:rsidRDefault="007F2E37" w:rsidP="007F2E37">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This % should decline over time</w:t>
            </w:r>
          </w:p>
        </w:tc>
      </w:tr>
      <w:tr w:rsidR="009008FA" w:rsidRPr="00AD5C36" w14:paraId="21F52884" w14:textId="77777777" w:rsidTr="005F63A9">
        <w:trPr>
          <w:trHeight w:val="690"/>
        </w:trPr>
        <w:tc>
          <w:tcPr>
            <w:tcW w:w="3785" w:type="dxa"/>
            <w:shd w:val="clear" w:color="auto" w:fill="auto"/>
            <w:noWrap/>
            <w:vAlign w:val="center"/>
          </w:tcPr>
          <w:p w14:paraId="1B2F8FF3" w14:textId="23B5FFCD" w:rsidR="009008FA" w:rsidRPr="0084344C" w:rsidRDefault="001B72E4" w:rsidP="001B72E4">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Survey a sample of registrants in new </w:t>
            </w:r>
            <w:proofErr w:type="spellStart"/>
            <w:r>
              <w:rPr>
                <w:rFonts w:ascii="Calibri" w:eastAsia="Times New Roman" w:hAnsi="Calibri" w:cs="Times New Roman"/>
                <w:color w:val="000000"/>
                <w:sz w:val="20"/>
                <w:szCs w:val="22"/>
              </w:rPr>
              <w:t>gTLDs</w:t>
            </w:r>
            <w:proofErr w:type="spellEnd"/>
            <w:r>
              <w:rPr>
                <w:rFonts w:ascii="Calibri" w:eastAsia="Times New Roman" w:hAnsi="Calibri" w:cs="Times New Roman"/>
                <w:color w:val="000000"/>
                <w:sz w:val="20"/>
                <w:szCs w:val="22"/>
              </w:rPr>
              <w:t>, asking whether they had owned (and still maintain) the same domain name in a legacy gTLD.</w:t>
            </w:r>
          </w:p>
        </w:tc>
        <w:tc>
          <w:tcPr>
            <w:tcW w:w="1080" w:type="dxa"/>
            <w:shd w:val="clear" w:color="auto" w:fill="auto"/>
            <w:noWrap/>
            <w:vAlign w:val="center"/>
          </w:tcPr>
          <w:p w14:paraId="0AB222E4" w14:textId="09030FCE" w:rsidR="009008FA" w:rsidRPr="00AD5C36" w:rsidRDefault="001B72E4" w:rsidP="001B72E4">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Online Survey</w:t>
            </w:r>
          </w:p>
        </w:tc>
        <w:tc>
          <w:tcPr>
            <w:tcW w:w="2790" w:type="dxa"/>
            <w:vAlign w:val="center"/>
          </w:tcPr>
          <w:p w14:paraId="6EF12E7C" w14:textId="774A6DA0" w:rsidR="009008FA" w:rsidRDefault="007F2E37" w:rsidP="00FD30ED">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Obtainable, using either ICANN or external survey tools and advice</w:t>
            </w:r>
          </w:p>
        </w:tc>
        <w:tc>
          <w:tcPr>
            <w:tcW w:w="1530" w:type="dxa"/>
            <w:shd w:val="clear" w:color="auto" w:fill="auto"/>
            <w:vAlign w:val="center"/>
          </w:tcPr>
          <w:p w14:paraId="7575543F" w14:textId="2C453D39" w:rsidR="009008FA" w:rsidRDefault="007F2E37" w:rsidP="007F2E37">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Duplicate</w:t>
            </w:r>
            <w:r w:rsidR="001B72E4">
              <w:rPr>
                <w:rFonts w:ascii="Calibri" w:eastAsia="Times New Roman" w:hAnsi="Calibri" w:cs="Times New Roman"/>
                <w:color w:val="000000"/>
                <w:sz w:val="20"/>
                <w:szCs w:val="22"/>
              </w:rPr>
              <w:t xml:space="preserve"> registrations of less than </w:t>
            </w:r>
            <w:r>
              <w:rPr>
                <w:rFonts w:ascii="Calibri" w:eastAsia="Times New Roman" w:hAnsi="Calibri" w:cs="Times New Roman"/>
                <w:color w:val="000000"/>
                <w:sz w:val="20"/>
                <w:szCs w:val="22"/>
              </w:rPr>
              <w:t>15</w:t>
            </w:r>
            <w:r w:rsidR="009008FA">
              <w:rPr>
                <w:rFonts w:ascii="Calibri" w:eastAsia="Times New Roman" w:hAnsi="Calibri" w:cs="Times New Roman"/>
                <w:color w:val="000000"/>
                <w:sz w:val="20"/>
                <w:szCs w:val="22"/>
              </w:rPr>
              <w:t>%</w:t>
            </w:r>
            <w:r>
              <w:rPr>
                <w:rFonts w:ascii="Calibri" w:eastAsia="Times New Roman" w:hAnsi="Calibri" w:cs="Times New Roman"/>
                <w:color w:val="000000"/>
                <w:sz w:val="20"/>
                <w:szCs w:val="22"/>
              </w:rPr>
              <w:t>;</w:t>
            </w:r>
          </w:p>
          <w:p w14:paraId="35914AF3" w14:textId="312DFDEF" w:rsidR="007F2E37" w:rsidRPr="00AD5C36" w:rsidRDefault="007F2E37" w:rsidP="007F2E37">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This % should decline over time</w:t>
            </w:r>
          </w:p>
        </w:tc>
      </w:tr>
      <w:tr w:rsidR="007E281E" w:rsidRPr="00AD5C36" w14:paraId="395C2AEB" w14:textId="77777777" w:rsidTr="00B731B2">
        <w:trPr>
          <w:trHeight w:val="432"/>
        </w:trPr>
        <w:tc>
          <w:tcPr>
            <w:tcW w:w="9185" w:type="dxa"/>
            <w:gridSpan w:val="4"/>
            <w:shd w:val="clear" w:color="auto" w:fill="auto"/>
            <w:noWrap/>
            <w:vAlign w:val="center"/>
          </w:tcPr>
          <w:p w14:paraId="09A9277A" w14:textId="63FCAA5B" w:rsidR="007E281E" w:rsidRPr="007E281E" w:rsidRDefault="007E281E" w:rsidP="00B731B2">
            <w:pPr>
              <w:spacing w:before="60" w:after="60"/>
              <w:rPr>
                <w:rFonts w:ascii="Calibri" w:eastAsia="Times New Roman" w:hAnsi="Calibri" w:cs="Times New Roman"/>
                <w:i/>
                <w:color w:val="000000"/>
                <w:sz w:val="20"/>
                <w:szCs w:val="22"/>
              </w:rPr>
            </w:pPr>
            <w:r w:rsidRPr="007E281E">
              <w:rPr>
                <w:rFonts w:ascii="Calibri" w:eastAsia="Times New Roman" w:hAnsi="Calibri" w:cs="Times New Roman"/>
                <w:i/>
                <w:color w:val="000000"/>
                <w:sz w:val="20"/>
                <w:szCs w:val="22"/>
              </w:rPr>
              <w:t>Other measures</w:t>
            </w:r>
            <w:r w:rsidR="00CB1698">
              <w:rPr>
                <w:rFonts w:ascii="Calibri" w:eastAsia="Times New Roman" w:hAnsi="Calibri" w:cs="Times New Roman"/>
                <w:i/>
                <w:color w:val="000000"/>
                <w:sz w:val="20"/>
                <w:szCs w:val="22"/>
              </w:rPr>
              <w:t xml:space="preserve"> of </w:t>
            </w:r>
            <w:r w:rsidR="00B731B2">
              <w:rPr>
                <w:rFonts w:ascii="Calibri" w:eastAsia="Times New Roman" w:hAnsi="Calibri" w:cs="Times New Roman"/>
                <w:i/>
                <w:color w:val="000000"/>
                <w:sz w:val="20"/>
                <w:szCs w:val="22"/>
              </w:rPr>
              <w:t>Consumer Choice</w:t>
            </w:r>
            <w:r w:rsidR="00CB1698">
              <w:rPr>
                <w:rFonts w:ascii="Calibri" w:eastAsia="Times New Roman" w:hAnsi="Calibri" w:cs="Times New Roman"/>
                <w:i/>
                <w:color w:val="000000"/>
                <w:sz w:val="20"/>
                <w:szCs w:val="22"/>
              </w:rPr>
              <w:t xml:space="preserve"> in new </w:t>
            </w:r>
            <w:proofErr w:type="spellStart"/>
            <w:r w:rsidR="00CB1698">
              <w:rPr>
                <w:rFonts w:ascii="Calibri" w:eastAsia="Times New Roman" w:hAnsi="Calibri" w:cs="Times New Roman"/>
                <w:i/>
                <w:color w:val="000000"/>
                <w:sz w:val="20"/>
                <w:szCs w:val="22"/>
              </w:rPr>
              <w:t>gTLDS</w:t>
            </w:r>
            <w:proofErr w:type="spellEnd"/>
          </w:p>
        </w:tc>
      </w:tr>
      <w:tr w:rsidR="009008FA" w:rsidRPr="00AD5C36" w14:paraId="04DB3614" w14:textId="77777777" w:rsidTr="005F63A9">
        <w:trPr>
          <w:trHeight w:val="690"/>
        </w:trPr>
        <w:tc>
          <w:tcPr>
            <w:tcW w:w="3785" w:type="dxa"/>
            <w:shd w:val="clear" w:color="auto" w:fill="auto"/>
            <w:noWrap/>
            <w:vAlign w:val="center"/>
          </w:tcPr>
          <w:p w14:paraId="43EA2645" w14:textId="319D2953" w:rsidR="009008FA" w:rsidRPr="0084344C" w:rsidRDefault="007E281E" w:rsidP="007F2E37">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Measure</w:t>
            </w:r>
            <w:r w:rsidR="00CB1698">
              <w:rPr>
                <w:rFonts w:ascii="Calibri" w:eastAsia="Times New Roman" w:hAnsi="Calibri" w:cs="Times New Roman"/>
                <w:color w:val="000000"/>
                <w:sz w:val="20"/>
                <w:szCs w:val="22"/>
              </w:rPr>
              <w:t xml:space="preserve"> the</w:t>
            </w:r>
            <w:r>
              <w:rPr>
                <w:rFonts w:ascii="Calibri" w:eastAsia="Times New Roman" w:hAnsi="Calibri" w:cs="Times New Roman"/>
                <w:color w:val="000000"/>
                <w:sz w:val="20"/>
                <w:szCs w:val="22"/>
              </w:rPr>
              <w:t xml:space="preserve"> increased</w:t>
            </w:r>
            <w:r w:rsidR="009008FA" w:rsidRPr="0084344C">
              <w:rPr>
                <w:rFonts w:ascii="Calibri" w:eastAsia="Times New Roman" w:hAnsi="Calibri" w:cs="Times New Roman"/>
                <w:color w:val="000000"/>
                <w:sz w:val="20"/>
                <w:szCs w:val="22"/>
              </w:rPr>
              <w:t xml:space="preserve"> </w:t>
            </w:r>
            <w:r>
              <w:rPr>
                <w:rFonts w:ascii="Calibri" w:eastAsia="Times New Roman" w:hAnsi="Calibri" w:cs="Times New Roman"/>
                <w:color w:val="000000"/>
                <w:sz w:val="20"/>
                <w:szCs w:val="22"/>
              </w:rPr>
              <w:t>g</w:t>
            </w:r>
            <w:r w:rsidR="009008FA">
              <w:rPr>
                <w:rFonts w:ascii="Calibri" w:eastAsia="Times New Roman" w:hAnsi="Calibri" w:cs="Times New Roman"/>
                <w:color w:val="000000"/>
                <w:sz w:val="20"/>
                <w:szCs w:val="22"/>
              </w:rPr>
              <w:t xml:space="preserve">eographic </w:t>
            </w:r>
            <w:r>
              <w:rPr>
                <w:rFonts w:ascii="Calibri" w:eastAsia="Times New Roman" w:hAnsi="Calibri" w:cs="Times New Roman"/>
                <w:color w:val="000000"/>
                <w:sz w:val="20"/>
                <w:szCs w:val="22"/>
              </w:rPr>
              <w:t>d</w:t>
            </w:r>
            <w:r w:rsidR="009008FA" w:rsidRPr="0084344C">
              <w:rPr>
                <w:rFonts w:ascii="Calibri" w:eastAsia="Times New Roman" w:hAnsi="Calibri" w:cs="Times New Roman"/>
                <w:color w:val="000000"/>
                <w:sz w:val="20"/>
                <w:szCs w:val="22"/>
              </w:rPr>
              <w:t>iversity</w:t>
            </w:r>
            <w:r w:rsidR="009008FA">
              <w:rPr>
                <w:rFonts w:ascii="Calibri" w:eastAsia="Times New Roman" w:hAnsi="Calibri" w:cs="Times New Roman"/>
                <w:color w:val="000000"/>
                <w:sz w:val="20"/>
                <w:szCs w:val="22"/>
              </w:rPr>
              <w:t xml:space="preserve"> of registrants </w:t>
            </w:r>
            <w:r w:rsidR="007F2E37">
              <w:rPr>
                <w:rFonts w:ascii="Calibri" w:eastAsia="Times New Roman" w:hAnsi="Calibri" w:cs="Times New Roman"/>
                <w:color w:val="000000"/>
                <w:sz w:val="20"/>
                <w:szCs w:val="22"/>
              </w:rPr>
              <w:t>across</w:t>
            </w:r>
            <w:r w:rsidR="009008FA">
              <w:rPr>
                <w:rFonts w:ascii="Calibri" w:eastAsia="Times New Roman" w:hAnsi="Calibri" w:cs="Times New Roman"/>
                <w:color w:val="000000"/>
                <w:sz w:val="20"/>
                <w:szCs w:val="22"/>
              </w:rPr>
              <w:t xml:space="preserve"> </w:t>
            </w:r>
            <w:r w:rsidR="007F2E37">
              <w:rPr>
                <w:rFonts w:ascii="Calibri" w:eastAsia="Times New Roman" w:hAnsi="Calibri" w:cs="Times New Roman"/>
                <w:color w:val="000000"/>
                <w:sz w:val="20"/>
                <w:szCs w:val="22"/>
              </w:rPr>
              <w:t xml:space="preserve">all </w:t>
            </w:r>
            <w:r w:rsidR="009008FA">
              <w:rPr>
                <w:rFonts w:ascii="Calibri" w:eastAsia="Times New Roman" w:hAnsi="Calibri" w:cs="Times New Roman"/>
                <w:color w:val="000000"/>
                <w:sz w:val="20"/>
                <w:szCs w:val="22"/>
              </w:rPr>
              <w:t xml:space="preserve">new </w:t>
            </w:r>
            <w:proofErr w:type="spellStart"/>
            <w:r w:rsidR="009008FA">
              <w:rPr>
                <w:rFonts w:ascii="Calibri" w:eastAsia="Times New Roman" w:hAnsi="Calibri" w:cs="Times New Roman"/>
                <w:color w:val="000000"/>
                <w:sz w:val="20"/>
                <w:szCs w:val="22"/>
              </w:rPr>
              <w:t>gTLDs</w:t>
            </w:r>
            <w:proofErr w:type="spellEnd"/>
            <w:r>
              <w:rPr>
                <w:rFonts w:ascii="Calibri" w:eastAsia="Times New Roman" w:hAnsi="Calibri" w:cs="Times New Roman"/>
                <w:color w:val="000000"/>
                <w:sz w:val="20"/>
                <w:szCs w:val="22"/>
              </w:rPr>
              <w:t xml:space="preserve">, as indication of </w:t>
            </w:r>
            <w:r w:rsidR="007F2E37">
              <w:rPr>
                <w:rFonts w:ascii="Calibri" w:eastAsia="Times New Roman" w:hAnsi="Calibri" w:cs="Times New Roman"/>
                <w:color w:val="000000"/>
                <w:sz w:val="20"/>
                <w:szCs w:val="22"/>
              </w:rPr>
              <w:t xml:space="preserve">new </w:t>
            </w:r>
            <w:r w:rsidR="00055B38">
              <w:rPr>
                <w:rFonts w:ascii="Calibri" w:eastAsia="Times New Roman" w:hAnsi="Calibri" w:cs="Times New Roman"/>
                <w:color w:val="000000"/>
                <w:sz w:val="20"/>
                <w:szCs w:val="22"/>
              </w:rPr>
              <w:t>choices</w:t>
            </w:r>
            <w:r>
              <w:rPr>
                <w:rFonts w:ascii="Calibri" w:eastAsia="Times New Roman" w:hAnsi="Calibri" w:cs="Times New Roman"/>
                <w:color w:val="000000"/>
                <w:sz w:val="20"/>
                <w:szCs w:val="22"/>
              </w:rPr>
              <w:t xml:space="preserve"> presented by </w:t>
            </w:r>
            <w:proofErr w:type="spellStart"/>
            <w:r>
              <w:rPr>
                <w:rFonts w:ascii="Calibri" w:eastAsia="Times New Roman" w:hAnsi="Calibri" w:cs="Times New Roman"/>
                <w:color w:val="000000"/>
                <w:sz w:val="20"/>
                <w:szCs w:val="22"/>
              </w:rPr>
              <w:t>gTLDs</w:t>
            </w:r>
            <w:proofErr w:type="spellEnd"/>
            <w:r w:rsidR="007F2E37">
              <w:rPr>
                <w:rFonts w:ascii="Calibri" w:eastAsia="Times New Roman" w:hAnsi="Calibri" w:cs="Times New Roman"/>
                <w:color w:val="000000"/>
                <w:sz w:val="20"/>
                <w:szCs w:val="22"/>
              </w:rPr>
              <w:t xml:space="preserve"> expansion.</w:t>
            </w:r>
          </w:p>
        </w:tc>
        <w:tc>
          <w:tcPr>
            <w:tcW w:w="1080" w:type="dxa"/>
            <w:shd w:val="clear" w:color="auto" w:fill="auto"/>
            <w:noWrap/>
            <w:vAlign w:val="center"/>
          </w:tcPr>
          <w:p w14:paraId="08CAED27" w14:textId="571475FB" w:rsidR="009008FA" w:rsidRPr="00AD5C36" w:rsidRDefault="009008FA"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Zone and WHOIS data</w:t>
            </w:r>
          </w:p>
        </w:tc>
        <w:tc>
          <w:tcPr>
            <w:tcW w:w="2790" w:type="dxa"/>
            <w:vAlign w:val="center"/>
          </w:tcPr>
          <w:p w14:paraId="6BF89A9A" w14:textId="3C77D529" w:rsidR="009008FA" w:rsidRDefault="007F2E3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The working group is seeking an index or statistical measure of geographical diversity</w:t>
            </w:r>
          </w:p>
        </w:tc>
        <w:tc>
          <w:tcPr>
            <w:tcW w:w="1530" w:type="dxa"/>
            <w:shd w:val="clear" w:color="auto" w:fill="auto"/>
            <w:vAlign w:val="center"/>
          </w:tcPr>
          <w:p w14:paraId="3C071253" w14:textId="77777777" w:rsidR="009008FA" w:rsidRDefault="009008FA"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Diversity should be greater than in legacy </w:t>
            </w:r>
            <w:proofErr w:type="spellStart"/>
            <w:r>
              <w:rPr>
                <w:rFonts w:ascii="Calibri" w:eastAsia="Times New Roman" w:hAnsi="Calibri" w:cs="Times New Roman"/>
                <w:color w:val="000000"/>
                <w:sz w:val="20"/>
                <w:szCs w:val="22"/>
              </w:rPr>
              <w:t>gTLDs</w:t>
            </w:r>
            <w:proofErr w:type="spellEnd"/>
            <w:r w:rsidR="00055B38">
              <w:rPr>
                <w:rFonts w:ascii="Calibri" w:eastAsia="Times New Roman" w:hAnsi="Calibri" w:cs="Times New Roman"/>
                <w:color w:val="000000"/>
                <w:sz w:val="20"/>
                <w:szCs w:val="22"/>
              </w:rPr>
              <w:t>.</w:t>
            </w:r>
          </w:p>
          <w:p w14:paraId="3B4FF0F2" w14:textId="787A9232" w:rsidR="00055B38" w:rsidRPr="00AD5C36" w:rsidRDefault="00055B38"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Diversity should increase from </w:t>
            </w:r>
            <w:proofErr w:type="spellStart"/>
            <w:r>
              <w:rPr>
                <w:rFonts w:ascii="Calibri" w:eastAsia="Times New Roman" w:hAnsi="Calibri" w:cs="Times New Roman"/>
                <w:color w:val="000000"/>
                <w:sz w:val="20"/>
                <w:szCs w:val="22"/>
              </w:rPr>
              <w:t>Yr</w:t>
            </w:r>
            <w:proofErr w:type="spellEnd"/>
            <w:r>
              <w:rPr>
                <w:rFonts w:ascii="Calibri" w:eastAsia="Times New Roman" w:hAnsi="Calibri" w:cs="Times New Roman"/>
                <w:color w:val="000000"/>
                <w:sz w:val="20"/>
                <w:szCs w:val="22"/>
              </w:rPr>
              <w:t xml:space="preserve"> 2 to </w:t>
            </w:r>
            <w:proofErr w:type="spellStart"/>
            <w:r>
              <w:rPr>
                <w:rFonts w:ascii="Calibri" w:eastAsia="Times New Roman" w:hAnsi="Calibri" w:cs="Times New Roman"/>
                <w:color w:val="000000"/>
                <w:sz w:val="20"/>
                <w:szCs w:val="22"/>
              </w:rPr>
              <w:t>Yr</w:t>
            </w:r>
            <w:proofErr w:type="spellEnd"/>
            <w:r>
              <w:rPr>
                <w:rFonts w:ascii="Calibri" w:eastAsia="Times New Roman" w:hAnsi="Calibri" w:cs="Times New Roman"/>
                <w:color w:val="000000"/>
                <w:sz w:val="20"/>
                <w:szCs w:val="22"/>
              </w:rPr>
              <w:t xml:space="preserve"> 3</w:t>
            </w:r>
          </w:p>
        </w:tc>
      </w:tr>
    </w:tbl>
    <w:p w14:paraId="29BA06D9" w14:textId="7656BC16" w:rsidR="005F63A9" w:rsidRDefault="005F63A9" w:rsidP="007D0AF0">
      <w:pPr>
        <w:widowControl w:val="0"/>
        <w:autoSpaceDE w:val="0"/>
        <w:autoSpaceDN w:val="0"/>
        <w:adjustRightInd w:val="0"/>
        <w:ind w:left="720"/>
        <w:rPr>
          <w:rFonts w:ascii="Calibri" w:hAnsi="Calibri" w:cs="Calibri"/>
          <w:sz w:val="22"/>
          <w:szCs w:val="22"/>
        </w:rPr>
      </w:pPr>
    </w:p>
    <w:p w14:paraId="60A57A76" w14:textId="77777777" w:rsidR="005F63A9" w:rsidRDefault="005F63A9" w:rsidP="007D0AF0">
      <w:pPr>
        <w:widowControl w:val="0"/>
        <w:autoSpaceDE w:val="0"/>
        <w:autoSpaceDN w:val="0"/>
        <w:adjustRightInd w:val="0"/>
        <w:ind w:left="720"/>
        <w:rPr>
          <w:rFonts w:ascii="Calibri" w:hAnsi="Calibri" w:cs="Calibri"/>
          <w:sz w:val="22"/>
          <w:szCs w:val="22"/>
        </w:rPr>
      </w:pPr>
    </w:p>
    <w:p w14:paraId="6563D10E" w14:textId="77777777" w:rsidR="007D0AF0" w:rsidRDefault="007D0AF0" w:rsidP="00ED0485">
      <w:pPr>
        <w:widowControl w:val="0"/>
        <w:autoSpaceDE w:val="0"/>
        <w:autoSpaceDN w:val="0"/>
        <w:adjustRightInd w:val="0"/>
        <w:rPr>
          <w:rFonts w:ascii="Calibri" w:hAnsi="Calibri" w:cs="Calibri"/>
          <w:b/>
          <w:sz w:val="22"/>
          <w:szCs w:val="22"/>
        </w:rPr>
      </w:pPr>
    </w:p>
    <w:p w14:paraId="79A4D0C1" w14:textId="77777777" w:rsidR="00553269" w:rsidRDefault="00553269">
      <w:pPr>
        <w:rPr>
          <w:rFonts w:ascii="Calibri" w:hAnsi="Calibri" w:cs="Calibri"/>
          <w:b/>
          <w:sz w:val="22"/>
          <w:szCs w:val="22"/>
        </w:rPr>
      </w:pPr>
      <w:r>
        <w:rPr>
          <w:rFonts w:ascii="Calibri" w:hAnsi="Calibri" w:cs="Calibri"/>
          <w:b/>
          <w:sz w:val="22"/>
          <w:szCs w:val="22"/>
        </w:rPr>
        <w:br w:type="page"/>
      </w:r>
    </w:p>
    <w:p w14:paraId="3E31A4C7" w14:textId="2D879C1B" w:rsidR="00553269" w:rsidRDefault="00553269" w:rsidP="00553269">
      <w:pPr>
        <w:widowControl w:val="0"/>
        <w:autoSpaceDE w:val="0"/>
        <w:autoSpaceDN w:val="0"/>
        <w:adjustRightInd w:val="0"/>
        <w:rPr>
          <w:rFonts w:ascii="Calibri" w:hAnsi="Calibri" w:cs="Calibri"/>
          <w:sz w:val="22"/>
          <w:szCs w:val="22"/>
        </w:rPr>
      </w:pPr>
      <w:r>
        <w:rPr>
          <w:rFonts w:ascii="Calibri" w:hAnsi="Calibri" w:cs="Calibri"/>
          <w:b/>
          <w:sz w:val="22"/>
          <w:szCs w:val="22"/>
        </w:rPr>
        <w:lastRenderedPageBreak/>
        <w:t xml:space="preserve">Measures of </w:t>
      </w:r>
      <w:r w:rsidRPr="00663C6B">
        <w:rPr>
          <w:rFonts w:ascii="Calibri" w:hAnsi="Calibri" w:cs="Calibri"/>
          <w:b/>
          <w:sz w:val="22"/>
          <w:szCs w:val="22"/>
        </w:rPr>
        <w:t>Competition</w:t>
      </w:r>
      <w:r w:rsidRPr="003611B7">
        <w:rPr>
          <w:rFonts w:ascii="Calibri" w:hAnsi="Calibri" w:cs="Calibri"/>
          <w:sz w:val="22"/>
          <w:szCs w:val="22"/>
        </w:rPr>
        <w:t xml:space="preserve"> </w:t>
      </w:r>
    </w:p>
    <w:p w14:paraId="247EBD2A" w14:textId="77777777" w:rsidR="00553269" w:rsidRDefault="00553269" w:rsidP="00553269">
      <w:pPr>
        <w:widowControl w:val="0"/>
        <w:autoSpaceDE w:val="0"/>
        <w:autoSpaceDN w:val="0"/>
        <w:adjustRightInd w:val="0"/>
        <w:rPr>
          <w:rFonts w:ascii="Calibri" w:hAnsi="Calibri" w:cs="Calibri"/>
          <w:sz w:val="22"/>
          <w:szCs w:val="22"/>
        </w:rPr>
      </w:pPr>
    </w:p>
    <w:p w14:paraId="42E96E28" w14:textId="2BF2D6A8" w:rsidR="00553269" w:rsidRDefault="00553269" w:rsidP="00553269">
      <w:pPr>
        <w:widowControl w:val="0"/>
        <w:autoSpaceDE w:val="0"/>
        <w:autoSpaceDN w:val="0"/>
        <w:adjustRightInd w:val="0"/>
        <w:rPr>
          <w:rFonts w:ascii="Calibri" w:hAnsi="Calibri" w:cs="Calibri"/>
          <w:sz w:val="22"/>
          <w:szCs w:val="22"/>
        </w:rPr>
      </w:pPr>
      <w:r w:rsidRPr="00553269">
        <w:rPr>
          <w:rFonts w:ascii="Calibri" w:hAnsi="Calibri" w:cs="Calibri"/>
          <w:sz w:val="22"/>
          <w:szCs w:val="22"/>
        </w:rPr>
        <w:t xml:space="preserve">For reference, the definition of </w:t>
      </w:r>
      <w:r>
        <w:rPr>
          <w:rFonts w:ascii="Calibri" w:hAnsi="Calibri" w:cs="Calibri"/>
          <w:sz w:val="22"/>
          <w:szCs w:val="22"/>
        </w:rPr>
        <w:t>Competition i</w:t>
      </w:r>
      <w:r w:rsidRPr="00553269">
        <w:rPr>
          <w:rFonts w:ascii="Calibri" w:hAnsi="Calibri" w:cs="Calibri"/>
          <w:sz w:val="22"/>
          <w:szCs w:val="22"/>
        </w:rPr>
        <w:t>s repeated here:</w:t>
      </w:r>
    </w:p>
    <w:p w14:paraId="1033B9B1" w14:textId="77777777" w:rsidR="00553269" w:rsidRDefault="00553269" w:rsidP="00ED0485">
      <w:pPr>
        <w:widowControl w:val="0"/>
        <w:autoSpaceDE w:val="0"/>
        <w:autoSpaceDN w:val="0"/>
        <w:adjustRightInd w:val="0"/>
        <w:rPr>
          <w:rFonts w:ascii="Calibri" w:hAnsi="Calibri" w:cs="Calibri"/>
          <w:b/>
          <w:sz w:val="22"/>
          <w:szCs w:val="22"/>
        </w:rPr>
      </w:pPr>
    </w:p>
    <w:p w14:paraId="3C0C9D20" w14:textId="020668DC" w:rsidR="00EB40C9" w:rsidRPr="003611B7" w:rsidRDefault="00EB40C9" w:rsidP="00EB40C9">
      <w:pPr>
        <w:widowControl w:val="0"/>
        <w:autoSpaceDE w:val="0"/>
        <w:autoSpaceDN w:val="0"/>
        <w:adjustRightInd w:val="0"/>
        <w:ind w:left="720"/>
        <w:rPr>
          <w:rFonts w:ascii="Calibri" w:hAnsi="Calibri" w:cs="Calibri"/>
          <w:sz w:val="22"/>
          <w:szCs w:val="22"/>
        </w:rPr>
      </w:pPr>
      <w:r w:rsidRPr="00663C6B">
        <w:rPr>
          <w:rFonts w:ascii="Calibri" w:hAnsi="Calibri" w:cs="Calibri"/>
          <w:b/>
          <w:sz w:val="22"/>
          <w:szCs w:val="22"/>
        </w:rPr>
        <w:t>Competition</w:t>
      </w:r>
      <w:r w:rsidRPr="003611B7">
        <w:rPr>
          <w:rFonts w:ascii="Calibri" w:hAnsi="Calibri" w:cs="Calibri"/>
          <w:sz w:val="22"/>
          <w:szCs w:val="22"/>
        </w:rPr>
        <w:t xml:space="preserve"> is </w:t>
      </w:r>
      <w:r>
        <w:rPr>
          <w:rFonts w:ascii="Calibri" w:hAnsi="Calibri" w:cs="Calibri"/>
          <w:sz w:val="22"/>
          <w:szCs w:val="22"/>
        </w:rPr>
        <w:t xml:space="preserve">defined as the quantity, </w:t>
      </w:r>
      <w:r w:rsidRPr="003611B7">
        <w:rPr>
          <w:rFonts w:ascii="Calibri" w:hAnsi="Calibri" w:cs="Calibri"/>
          <w:sz w:val="22"/>
          <w:szCs w:val="22"/>
        </w:rPr>
        <w:t>diversity</w:t>
      </w:r>
      <w:r w:rsidR="00301602">
        <w:rPr>
          <w:rFonts w:ascii="Calibri" w:hAnsi="Calibri" w:cs="Calibri"/>
          <w:sz w:val="22"/>
          <w:szCs w:val="22"/>
        </w:rPr>
        <w:t xml:space="preserve">, </w:t>
      </w:r>
      <w:r>
        <w:rPr>
          <w:rFonts w:ascii="Calibri" w:hAnsi="Calibri" w:cs="Calibri"/>
          <w:sz w:val="22"/>
          <w:szCs w:val="22"/>
        </w:rPr>
        <w:t xml:space="preserve">and </w:t>
      </w:r>
      <w:r w:rsidR="00301602">
        <w:rPr>
          <w:rFonts w:ascii="Calibri" w:hAnsi="Calibri" w:cs="Calibri"/>
          <w:sz w:val="22"/>
          <w:szCs w:val="22"/>
        </w:rPr>
        <w:t xml:space="preserve">the </w:t>
      </w:r>
      <w:r>
        <w:rPr>
          <w:rFonts w:ascii="Calibri" w:hAnsi="Calibri" w:cs="Calibri"/>
          <w:sz w:val="22"/>
          <w:szCs w:val="22"/>
        </w:rPr>
        <w:t xml:space="preserve">potential </w:t>
      </w:r>
      <w:r w:rsidR="00301602">
        <w:rPr>
          <w:rFonts w:ascii="Calibri" w:hAnsi="Calibri" w:cs="Calibri"/>
          <w:sz w:val="22"/>
          <w:szCs w:val="22"/>
        </w:rPr>
        <w:t xml:space="preserve">for market rivalry of </w:t>
      </w:r>
      <w:r w:rsidRPr="003611B7">
        <w:rPr>
          <w:rFonts w:ascii="Calibri" w:hAnsi="Calibri" w:cs="Calibri"/>
          <w:sz w:val="22"/>
          <w:szCs w:val="22"/>
        </w:rPr>
        <w:t>TLDs,</w:t>
      </w:r>
      <w:r>
        <w:rPr>
          <w:rFonts w:ascii="Calibri" w:hAnsi="Calibri" w:cs="Calibri"/>
          <w:sz w:val="22"/>
          <w:szCs w:val="22"/>
        </w:rPr>
        <w:t xml:space="preserve"> </w:t>
      </w:r>
      <w:r w:rsidRPr="003611B7">
        <w:rPr>
          <w:rFonts w:ascii="Calibri" w:hAnsi="Calibri" w:cs="Calibri"/>
          <w:sz w:val="22"/>
          <w:szCs w:val="22"/>
        </w:rPr>
        <w:t>TLD registry operators, and registrars.</w:t>
      </w:r>
    </w:p>
    <w:p w14:paraId="0419667C" w14:textId="77777777" w:rsidR="005F63A9" w:rsidRDefault="005F63A9" w:rsidP="00553269">
      <w:pPr>
        <w:widowControl w:val="0"/>
        <w:autoSpaceDE w:val="0"/>
        <w:autoSpaceDN w:val="0"/>
        <w:adjustRightInd w:val="0"/>
        <w:rPr>
          <w:rFonts w:ascii="Calibri" w:hAnsi="Calibri" w:cs="Calibri"/>
          <w:sz w:val="22"/>
          <w:szCs w:val="22"/>
        </w:rPr>
      </w:pPr>
    </w:p>
    <w:tbl>
      <w:tblPr>
        <w:tblW w:w="9185"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5"/>
        <w:gridCol w:w="1080"/>
        <w:gridCol w:w="2790"/>
        <w:gridCol w:w="1530"/>
      </w:tblGrid>
      <w:tr w:rsidR="005F63A9" w:rsidRPr="0084344C" w14:paraId="3C7DFF2B" w14:textId="77777777" w:rsidTr="005F63A9">
        <w:trPr>
          <w:trHeight w:val="690"/>
          <w:tblHeader/>
        </w:trPr>
        <w:tc>
          <w:tcPr>
            <w:tcW w:w="3785" w:type="dxa"/>
            <w:shd w:val="clear" w:color="auto" w:fill="auto"/>
            <w:noWrap/>
            <w:vAlign w:val="center"/>
            <w:hideMark/>
          </w:tcPr>
          <w:p w14:paraId="09A5C97F" w14:textId="000F835A" w:rsidR="005F63A9" w:rsidRPr="0084344C" w:rsidRDefault="005F63A9" w:rsidP="00DB3F97">
            <w:pPr>
              <w:spacing w:before="60" w:after="60"/>
              <w:rPr>
                <w:rFonts w:ascii="Calibri" w:eastAsia="Times New Roman" w:hAnsi="Calibri" w:cs="Times New Roman"/>
                <w:b/>
                <w:color w:val="000000"/>
                <w:sz w:val="20"/>
                <w:szCs w:val="22"/>
              </w:rPr>
            </w:pPr>
            <w:r w:rsidRPr="0084344C">
              <w:rPr>
                <w:rFonts w:ascii="Calibri" w:eastAsia="Times New Roman" w:hAnsi="Calibri" w:cs="Times New Roman"/>
                <w:b/>
                <w:color w:val="000000"/>
                <w:sz w:val="20"/>
                <w:szCs w:val="22"/>
              </w:rPr>
              <w:t>Measure</w:t>
            </w:r>
            <w:r>
              <w:rPr>
                <w:rFonts w:ascii="Calibri" w:eastAsia="Times New Roman" w:hAnsi="Calibri" w:cs="Times New Roman"/>
                <w:b/>
                <w:color w:val="000000"/>
                <w:sz w:val="20"/>
                <w:szCs w:val="22"/>
              </w:rPr>
              <w:t xml:space="preserve"> of </w:t>
            </w:r>
            <w:r w:rsidR="00DB3F97">
              <w:rPr>
                <w:rFonts w:ascii="Calibri" w:eastAsia="Times New Roman" w:hAnsi="Calibri" w:cs="Times New Roman"/>
                <w:b/>
                <w:color w:val="000000"/>
                <w:sz w:val="20"/>
                <w:szCs w:val="22"/>
              </w:rPr>
              <w:t>Competition</w:t>
            </w:r>
          </w:p>
        </w:tc>
        <w:tc>
          <w:tcPr>
            <w:tcW w:w="1080" w:type="dxa"/>
            <w:shd w:val="clear" w:color="auto" w:fill="auto"/>
            <w:noWrap/>
            <w:vAlign w:val="center"/>
            <w:hideMark/>
          </w:tcPr>
          <w:p w14:paraId="382FC4BC" w14:textId="77777777" w:rsidR="005F63A9" w:rsidRPr="00694981" w:rsidRDefault="005F63A9" w:rsidP="005F63A9">
            <w:pPr>
              <w:spacing w:before="60" w:after="60"/>
              <w:jc w:val="center"/>
              <w:rPr>
                <w:rFonts w:ascii="Calibri" w:eastAsia="Times New Roman" w:hAnsi="Calibri" w:cs="Times New Roman"/>
                <w:b/>
                <w:color w:val="000000"/>
                <w:sz w:val="20"/>
                <w:szCs w:val="22"/>
              </w:rPr>
            </w:pPr>
            <w:r w:rsidRPr="00694981">
              <w:rPr>
                <w:rFonts w:ascii="Calibri" w:eastAsia="Times New Roman" w:hAnsi="Calibri" w:cs="Times New Roman"/>
                <w:b/>
                <w:color w:val="000000"/>
                <w:sz w:val="20"/>
                <w:szCs w:val="22"/>
              </w:rPr>
              <w:t>Source</w:t>
            </w:r>
          </w:p>
        </w:tc>
        <w:tc>
          <w:tcPr>
            <w:tcW w:w="2790" w:type="dxa"/>
            <w:vAlign w:val="center"/>
          </w:tcPr>
          <w:p w14:paraId="1B9B3199" w14:textId="3FA2E8DE" w:rsidR="005F63A9" w:rsidRDefault="005F63A9" w:rsidP="005F63A9">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Anticipated Difficulties in Obtaining and</w:t>
            </w:r>
            <w:r w:rsidR="00535897">
              <w:rPr>
                <w:rFonts w:ascii="Calibri" w:eastAsia="Times New Roman" w:hAnsi="Calibri" w:cs="Times New Roman"/>
                <w:b/>
                <w:color w:val="000000"/>
                <w:sz w:val="20"/>
                <w:szCs w:val="22"/>
              </w:rPr>
              <w:t>/or</w:t>
            </w:r>
            <w:r>
              <w:rPr>
                <w:rFonts w:ascii="Calibri" w:eastAsia="Times New Roman" w:hAnsi="Calibri" w:cs="Times New Roman"/>
                <w:b/>
                <w:color w:val="000000"/>
                <w:sz w:val="20"/>
                <w:szCs w:val="22"/>
              </w:rPr>
              <w:t xml:space="preserve"> Reporting </w:t>
            </w:r>
          </w:p>
        </w:tc>
        <w:tc>
          <w:tcPr>
            <w:tcW w:w="1530" w:type="dxa"/>
            <w:shd w:val="clear" w:color="auto" w:fill="auto"/>
            <w:vAlign w:val="center"/>
          </w:tcPr>
          <w:p w14:paraId="2BCA7122" w14:textId="77777777" w:rsidR="005F63A9" w:rsidRDefault="005F63A9" w:rsidP="005F63A9">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3-year</w:t>
            </w:r>
          </w:p>
          <w:p w14:paraId="1062E1D2" w14:textId="77777777" w:rsidR="005F63A9" w:rsidRPr="0084344C" w:rsidRDefault="005F63A9" w:rsidP="005F63A9">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Target</w:t>
            </w:r>
          </w:p>
        </w:tc>
      </w:tr>
      <w:tr w:rsidR="00274431" w:rsidRPr="00AD5C36" w14:paraId="7838251C" w14:textId="77777777" w:rsidTr="007E2787">
        <w:trPr>
          <w:trHeight w:val="690"/>
        </w:trPr>
        <w:tc>
          <w:tcPr>
            <w:tcW w:w="3785" w:type="dxa"/>
            <w:shd w:val="clear" w:color="auto" w:fill="auto"/>
            <w:noWrap/>
            <w:vAlign w:val="center"/>
            <w:hideMark/>
          </w:tcPr>
          <w:p w14:paraId="1B16E002" w14:textId="3CF50FAD" w:rsidR="00274431" w:rsidRPr="00AD5C36" w:rsidRDefault="00274431" w:rsidP="007E2787">
            <w:pPr>
              <w:spacing w:before="60" w:after="60"/>
              <w:rPr>
                <w:rFonts w:ascii="Calibri" w:eastAsia="Times New Roman" w:hAnsi="Calibri" w:cs="Times New Roman"/>
                <w:color w:val="000000"/>
                <w:sz w:val="20"/>
                <w:szCs w:val="22"/>
              </w:rPr>
            </w:pPr>
            <w:r w:rsidRPr="0084344C">
              <w:rPr>
                <w:rFonts w:ascii="Calibri" w:eastAsia="Times New Roman" w:hAnsi="Calibri" w:cs="Times New Roman"/>
                <w:color w:val="000000"/>
                <w:sz w:val="20"/>
                <w:szCs w:val="22"/>
              </w:rPr>
              <w:t>Q</w:t>
            </w:r>
            <w:r>
              <w:rPr>
                <w:rFonts w:ascii="Calibri" w:eastAsia="Times New Roman" w:hAnsi="Calibri" w:cs="Times New Roman"/>
                <w:color w:val="000000"/>
                <w:sz w:val="20"/>
                <w:szCs w:val="22"/>
              </w:rPr>
              <w:t>uanti</w:t>
            </w:r>
            <w:r w:rsidRPr="0084344C">
              <w:rPr>
                <w:rFonts w:ascii="Calibri" w:eastAsia="Times New Roman" w:hAnsi="Calibri" w:cs="Times New Roman"/>
                <w:color w:val="000000"/>
                <w:sz w:val="20"/>
                <w:szCs w:val="22"/>
              </w:rPr>
              <w:t xml:space="preserve">ty </w:t>
            </w:r>
            <w:r>
              <w:rPr>
                <w:rFonts w:ascii="Calibri" w:eastAsia="Times New Roman" w:hAnsi="Calibri" w:cs="Times New Roman"/>
                <w:color w:val="000000"/>
                <w:sz w:val="20"/>
                <w:szCs w:val="22"/>
              </w:rPr>
              <w:t xml:space="preserve">of </w:t>
            </w:r>
            <w:r w:rsidR="003E4ACC">
              <w:rPr>
                <w:rFonts w:ascii="Calibri" w:eastAsia="Times New Roman" w:hAnsi="Calibri" w:cs="Times New Roman"/>
                <w:color w:val="000000"/>
                <w:sz w:val="20"/>
                <w:szCs w:val="22"/>
              </w:rPr>
              <w:t xml:space="preserve">total </w:t>
            </w:r>
            <w:r w:rsidRPr="0084344C">
              <w:rPr>
                <w:rFonts w:ascii="Calibri" w:eastAsia="Times New Roman" w:hAnsi="Calibri" w:cs="Times New Roman"/>
                <w:color w:val="000000"/>
                <w:sz w:val="20"/>
                <w:szCs w:val="22"/>
              </w:rPr>
              <w:t xml:space="preserve">TLDs </w:t>
            </w:r>
            <w:r>
              <w:rPr>
                <w:rFonts w:ascii="Calibri" w:eastAsia="Times New Roman" w:hAnsi="Calibri" w:cs="Times New Roman"/>
                <w:color w:val="000000"/>
                <w:sz w:val="20"/>
                <w:szCs w:val="22"/>
              </w:rPr>
              <w:t xml:space="preserve">before and after expansion, assuming that </w:t>
            </w:r>
            <w:proofErr w:type="spellStart"/>
            <w:r>
              <w:rPr>
                <w:rFonts w:ascii="Calibri" w:eastAsia="Times New Roman" w:hAnsi="Calibri" w:cs="Times New Roman"/>
                <w:color w:val="000000"/>
                <w:sz w:val="20"/>
                <w:szCs w:val="22"/>
              </w:rPr>
              <w:t>gTLDs</w:t>
            </w:r>
            <w:proofErr w:type="spellEnd"/>
            <w:r>
              <w:rPr>
                <w:rFonts w:ascii="Calibri" w:eastAsia="Times New Roman" w:hAnsi="Calibri" w:cs="Times New Roman"/>
                <w:color w:val="000000"/>
                <w:sz w:val="20"/>
                <w:szCs w:val="22"/>
              </w:rPr>
              <w:t xml:space="preserve"> and </w:t>
            </w:r>
            <w:proofErr w:type="spellStart"/>
            <w:r>
              <w:rPr>
                <w:rFonts w:ascii="Calibri" w:eastAsia="Times New Roman" w:hAnsi="Calibri" w:cs="Times New Roman"/>
                <w:color w:val="000000"/>
                <w:sz w:val="20"/>
                <w:szCs w:val="22"/>
              </w:rPr>
              <w:t>ccTLDs</w:t>
            </w:r>
            <w:proofErr w:type="spellEnd"/>
            <w:r>
              <w:rPr>
                <w:rFonts w:ascii="Calibri" w:eastAsia="Times New Roman" w:hAnsi="Calibri" w:cs="Times New Roman"/>
                <w:color w:val="000000"/>
                <w:sz w:val="20"/>
                <w:szCs w:val="22"/>
              </w:rPr>
              <w:t xml:space="preserve"> generally compete for the same registrants</w:t>
            </w:r>
          </w:p>
        </w:tc>
        <w:tc>
          <w:tcPr>
            <w:tcW w:w="1080" w:type="dxa"/>
            <w:shd w:val="clear" w:color="auto" w:fill="auto"/>
            <w:noWrap/>
            <w:vAlign w:val="center"/>
            <w:hideMark/>
          </w:tcPr>
          <w:p w14:paraId="579C5D6E" w14:textId="77777777" w:rsidR="00274431" w:rsidRPr="00AD5C36" w:rsidRDefault="00274431" w:rsidP="007E2787">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ICANN</w:t>
            </w:r>
          </w:p>
        </w:tc>
        <w:tc>
          <w:tcPr>
            <w:tcW w:w="2790" w:type="dxa"/>
            <w:vAlign w:val="center"/>
          </w:tcPr>
          <w:p w14:paraId="24B92159" w14:textId="77777777" w:rsidR="00274431" w:rsidRDefault="00274431" w:rsidP="007E2787">
            <w:pPr>
              <w:spacing w:before="60" w:after="60"/>
              <w:rPr>
                <w:rFonts w:ascii="Calibri" w:eastAsia="Times New Roman" w:hAnsi="Calibri" w:cs="Times New Roman"/>
                <w:color w:val="000000"/>
                <w:sz w:val="20"/>
                <w:szCs w:val="22"/>
              </w:rPr>
            </w:pPr>
          </w:p>
        </w:tc>
        <w:tc>
          <w:tcPr>
            <w:tcW w:w="1530" w:type="dxa"/>
            <w:shd w:val="clear" w:color="auto" w:fill="auto"/>
            <w:vAlign w:val="center"/>
          </w:tcPr>
          <w:p w14:paraId="6D412BBF" w14:textId="2DDBEB28" w:rsidR="00274431" w:rsidRPr="00AD5C36" w:rsidRDefault="003E4ACC" w:rsidP="003E4ACC">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Increase of 2x over 2011</w:t>
            </w:r>
          </w:p>
        </w:tc>
      </w:tr>
      <w:tr w:rsidR="00056270" w:rsidRPr="00AD5C36" w14:paraId="3989A398" w14:textId="77777777" w:rsidTr="005F63A9">
        <w:trPr>
          <w:trHeight w:val="690"/>
        </w:trPr>
        <w:tc>
          <w:tcPr>
            <w:tcW w:w="3785" w:type="dxa"/>
            <w:shd w:val="clear" w:color="auto" w:fill="auto"/>
            <w:noWrap/>
            <w:vAlign w:val="center"/>
            <w:hideMark/>
          </w:tcPr>
          <w:p w14:paraId="19C8F2FE" w14:textId="1CF4A493" w:rsidR="00056270" w:rsidRPr="00AD5C36" w:rsidRDefault="00056270" w:rsidP="005F63A9">
            <w:pPr>
              <w:spacing w:before="60" w:after="60"/>
              <w:rPr>
                <w:rFonts w:ascii="Calibri" w:eastAsia="Times New Roman" w:hAnsi="Calibri" w:cs="Times New Roman"/>
                <w:color w:val="000000"/>
                <w:sz w:val="20"/>
                <w:szCs w:val="22"/>
              </w:rPr>
            </w:pPr>
            <w:r w:rsidRPr="0084344C">
              <w:rPr>
                <w:rFonts w:ascii="Calibri" w:eastAsia="Times New Roman" w:hAnsi="Calibri" w:cs="Times New Roman"/>
                <w:color w:val="000000"/>
                <w:sz w:val="20"/>
                <w:szCs w:val="22"/>
              </w:rPr>
              <w:t>Q</w:t>
            </w:r>
            <w:r>
              <w:rPr>
                <w:rFonts w:ascii="Calibri" w:eastAsia="Times New Roman" w:hAnsi="Calibri" w:cs="Times New Roman"/>
                <w:color w:val="000000"/>
                <w:sz w:val="20"/>
                <w:szCs w:val="22"/>
              </w:rPr>
              <w:t>uanti</w:t>
            </w:r>
            <w:r w:rsidRPr="0084344C">
              <w:rPr>
                <w:rFonts w:ascii="Calibri" w:eastAsia="Times New Roman" w:hAnsi="Calibri" w:cs="Times New Roman"/>
                <w:color w:val="000000"/>
                <w:sz w:val="20"/>
                <w:szCs w:val="22"/>
              </w:rPr>
              <w:t xml:space="preserve">ty </w:t>
            </w:r>
            <w:r>
              <w:rPr>
                <w:rFonts w:ascii="Calibri" w:eastAsia="Times New Roman" w:hAnsi="Calibri" w:cs="Times New Roman"/>
                <w:color w:val="000000"/>
                <w:sz w:val="20"/>
                <w:szCs w:val="22"/>
              </w:rPr>
              <w:t xml:space="preserve">of </w:t>
            </w:r>
            <w:proofErr w:type="spellStart"/>
            <w:r w:rsidR="00274431">
              <w:rPr>
                <w:rFonts w:ascii="Calibri" w:eastAsia="Times New Roman" w:hAnsi="Calibri" w:cs="Times New Roman"/>
                <w:color w:val="000000"/>
                <w:sz w:val="20"/>
                <w:szCs w:val="22"/>
              </w:rPr>
              <w:t>g</w:t>
            </w:r>
            <w:r w:rsidRPr="0084344C">
              <w:rPr>
                <w:rFonts w:ascii="Calibri" w:eastAsia="Times New Roman" w:hAnsi="Calibri" w:cs="Times New Roman"/>
                <w:color w:val="000000"/>
                <w:sz w:val="20"/>
                <w:szCs w:val="22"/>
              </w:rPr>
              <w:t>TLDs</w:t>
            </w:r>
            <w:proofErr w:type="spellEnd"/>
            <w:r w:rsidRPr="0084344C">
              <w:rPr>
                <w:rFonts w:ascii="Calibri" w:eastAsia="Times New Roman" w:hAnsi="Calibri" w:cs="Times New Roman"/>
                <w:color w:val="000000"/>
                <w:sz w:val="20"/>
                <w:szCs w:val="22"/>
              </w:rPr>
              <w:t xml:space="preserve"> </w:t>
            </w:r>
            <w:r>
              <w:rPr>
                <w:rFonts w:ascii="Calibri" w:eastAsia="Times New Roman" w:hAnsi="Calibri" w:cs="Times New Roman"/>
                <w:color w:val="000000"/>
                <w:sz w:val="20"/>
                <w:szCs w:val="22"/>
              </w:rPr>
              <w:t>before and after expansion</w:t>
            </w:r>
          </w:p>
        </w:tc>
        <w:tc>
          <w:tcPr>
            <w:tcW w:w="1080" w:type="dxa"/>
            <w:shd w:val="clear" w:color="auto" w:fill="auto"/>
            <w:noWrap/>
            <w:vAlign w:val="center"/>
            <w:hideMark/>
          </w:tcPr>
          <w:p w14:paraId="4D1EAEF3" w14:textId="627ECC14" w:rsidR="00056270" w:rsidRPr="00AD5C36" w:rsidRDefault="00056270"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ICANN</w:t>
            </w:r>
          </w:p>
        </w:tc>
        <w:tc>
          <w:tcPr>
            <w:tcW w:w="2790" w:type="dxa"/>
            <w:vAlign w:val="center"/>
          </w:tcPr>
          <w:p w14:paraId="2D2A6E5B" w14:textId="77777777" w:rsidR="00056270" w:rsidRDefault="00056270" w:rsidP="005F63A9">
            <w:pPr>
              <w:spacing w:before="60" w:after="60"/>
              <w:rPr>
                <w:rFonts w:ascii="Calibri" w:eastAsia="Times New Roman" w:hAnsi="Calibri" w:cs="Times New Roman"/>
                <w:color w:val="000000"/>
                <w:sz w:val="20"/>
                <w:szCs w:val="22"/>
              </w:rPr>
            </w:pPr>
          </w:p>
        </w:tc>
        <w:tc>
          <w:tcPr>
            <w:tcW w:w="1530" w:type="dxa"/>
            <w:shd w:val="clear" w:color="auto" w:fill="auto"/>
            <w:vAlign w:val="center"/>
          </w:tcPr>
          <w:p w14:paraId="4FD856E0" w14:textId="1E609B31" w:rsidR="00274431" w:rsidRPr="00AD5C36" w:rsidRDefault="00056270" w:rsidP="00274431">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Increase of </w:t>
            </w:r>
            <w:r w:rsidR="00274431">
              <w:rPr>
                <w:rFonts w:ascii="Calibri" w:eastAsia="Times New Roman" w:hAnsi="Calibri" w:cs="Times New Roman"/>
                <w:color w:val="000000"/>
                <w:sz w:val="20"/>
                <w:szCs w:val="22"/>
              </w:rPr>
              <w:t>10x</w:t>
            </w:r>
            <w:r w:rsidR="003E4ACC">
              <w:rPr>
                <w:rFonts w:ascii="Calibri" w:eastAsia="Times New Roman" w:hAnsi="Calibri" w:cs="Times New Roman"/>
                <w:color w:val="000000"/>
                <w:sz w:val="20"/>
                <w:szCs w:val="22"/>
              </w:rPr>
              <w:t xml:space="preserve"> over 2011</w:t>
            </w:r>
          </w:p>
        </w:tc>
      </w:tr>
      <w:tr w:rsidR="00056270" w:rsidRPr="00AD5C36" w14:paraId="5B0B3AB8" w14:textId="77777777" w:rsidTr="005F63A9">
        <w:trPr>
          <w:trHeight w:val="690"/>
        </w:trPr>
        <w:tc>
          <w:tcPr>
            <w:tcW w:w="3785" w:type="dxa"/>
            <w:shd w:val="clear" w:color="auto" w:fill="auto"/>
            <w:noWrap/>
            <w:vAlign w:val="center"/>
            <w:hideMark/>
          </w:tcPr>
          <w:p w14:paraId="7055DE59" w14:textId="7D8C3C26" w:rsidR="00056270" w:rsidRPr="00AD5C36" w:rsidRDefault="00056270" w:rsidP="005F63A9">
            <w:pPr>
              <w:spacing w:before="60" w:after="60"/>
              <w:rPr>
                <w:rFonts w:ascii="Calibri" w:eastAsia="Times New Roman" w:hAnsi="Calibri" w:cs="Times New Roman"/>
                <w:color w:val="000000"/>
                <w:sz w:val="20"/>
                <w:szCs w:val="22"/>
              </w:rPr>
            </w:pPr>
            <w:r w:rsidRPr="0084344C">
              <w:rPr>
                <w:rFonts w:ascii="Calibri" w:eastAsia="Times New Roman" w:hAnsi="Calibri" w:cs="Times New Roman"/>
                <w:color w:val="000000"/>
                <w:sz w:val="20"/>
                <w:szCs w:val="22"/>
              </w:rPr>
              <w:t>Q</w:t>
            </w:r>
            <w:r>
              <w:rPr>
                <w:rFonts w:ascii="Calibri" w:eastAsia="Times New Roman" w:hAnsi="Calibri" w:cs="Times New Roman"/>
                <w:color w:val="000000"/>
                <w:sz w:val="20"/>
                <w:szCs w:val="22"/>
              </w:rPr>
              <w:t>uanti</w:t>
            </w:r>
            <w:r w:rsidRPr="0084344C">
              <w:rPr>
                <w:rFonts w:ascii="Calibri" w:eastAsia="Times New Roman" w:hAnsi="Calibri" w:cs="Times New Roman"/>
                <w:color w:val="000000"/>
                <w:sz w:val="20"/>
                <w:szCs w:val="22"/>
              </w:rPr>
              <w:t xml:space="preserve">ty </w:t>
            </w:r>
            <w:r>
              <w:rPr>
                <w:rFonts w:ascii="Calibri" w:eastAsia="Times New Roman" w:hAnsi="Calibri" w:cs="Times New Roman"/>
                <w:color w:val="000000"/>
                <w:sz w:val="20"/>
                <w:szCs w:val="22"/>
              </w:rPr>
              <w:t xml:space="preserve">of unique </w:t>
            </w:r>
            <w:r w:rsidR="00E4455B">
              <w:rPr>
                <w:rFonts w:ascii="Calibri" w:eastAsia="Times New Roman" w:hAnsi="Calibri" w:cs="Times New Roman"/>
                <w:color w:val="000000"/>
                <w:sz w:val="20"/>
                <w:szCs w:val="22"/>
              </w:rPr>
              <w:t xml:space="preserve">gTLD </w:t>
            </w:r>
            <w:r w:rsidRPr="0084344C">
              <w:rPr>
                <w:rFonts w:ascii="Calibri" w:eastAsia="Times New Roman" w:hAnsi="Calibri" w:cs="Times New Roman"/>
                <w:color w:val="000000"/>
                <w:sz w:val="20"/>
                <w:szCs w:val="22"/>
              </w:rPr>
              <w:t xml:space="preserve">Registry </w:t>
            </w:r>
            <w:r w:rsidRPr="003E4ACC">
              <w:rPr>
                <w:rFonts w:ascii="Calibri" w:eastAsia="Times New Roman" w:hAnsi="Calibri" w:cs="Times New Roman"/>
                <w:i/>
                <w:color w:val="000000"/>
                <w:sz w:val="20"/>
                <w:szCs w:val="22"/>
              </w:rPr>
              <w:t>Operators</w:t>
            </w:r>
            <w:r w:rsidRPr="0084344C">
              <w:rPr>
                <w:rFonts w:ascii="Calibri" w:eastAsia="Times New Roman" w:hAnsi="Calibri" w:cs="Times New Roman"/>
                <w:color w:val="000000"/>
                <w:sz w:val="20"/>
                <w:szCs w:val="22"/>
              </w:rPr>
              <w:t xml:space="preserve"> </w:t>
            </w:r>
            <w:r>
              <w:rPr>
                <w:rFonts w:ascii="Calibri" w:eastAsia="Times New Roman" w:hAnsi="Calibri" w:cs="Times New Roman"/>
                <w:color w:val="000000"/>
                <w:sz w:val="20"/>
                <w:szCs w:val="22"/>
              </w:rPr>
              <w:t>before and after expansion</w:t>
            </w:r>
          </w:p>
        </w:tc>
        <w:tc>
          <w:tcPr>
            <w:tcW w:w="1080" w:type="dxa"/>
            <w:shd w:val="clear" w:color="auto" w:fill="auto"/>
            <w:noWrap/>
            <w:vAlign w:val="center"/>
            <w:hideMark/>
          </w:tcPr>
          <w:p w14:paraId="293FFE42" w14:textId="2B4E667A" w:rsidR="00056270" w:rsidRPr="00AD5C36" w:rsidRDefault="00056270"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ICANN</w:t>
            </w:r>
          </w:p>
        </w:tc>
        <w:tc>
          <w:tcPr>
            <w:tcW w:w="2790" w:type="dxa"/>
            <w:vAlign w:val="center"/>
          </w:tcPr>
          <w:p w14:paraId="170A029F" w14:textId="77777777" w:rsidR="00056270" w:rsidRDefault="00056270" w:rsidP="005F63A9">
            <w:pPr>
              <w:spacing w:before="60" w:after="60"/>
              <w:rPr>
                <w:rFonts w:ascii="Calibri" w:eastAsia="Times New Roman" w:hAnsi="Calibri" w:cs="Times New Roman"/>
                <w:color w:val="000000"/>
                <w:sz w:val="20"/>
                <w:szCs w:val="22"/>
              </w:rPr>
            </w:pPr>
          </w:p>
        </w:tc>
        <w:tc>
          <w:tcPr>
            <w:tcW w:w="1530" w:type="dxa"/>
            <w:shd w:val="clear" w:color="auto" w:fill="auto"/>
            <w:vAlign w:val="center"/>
          </w:tcPr>
          <w:p w14:paraId="76133CAA" w14:textId="544D49B2" w:rsidR="00056270" w:rsidRPr="00AD5C36" w:rsidRDefault="00056270" w:rsidP="00E4455B">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Increase of </w:t>
            </w:r>
            <w:r w:rsidR="00E4455B">
              <w:rPr>
                <w:rFonts w:ascii="Calibri" w:eastAsia="Times New Roman" w:hAnsi="Calibri" w:cs="Times New Roman"/>
                <w:color w:val="000000"/>
                <w:sz w:val="20"/>
                <w:szCs w:val="22"/>
              </w:rPr>
              <w:t>2x</w:t>
            </w:r>
            <w:r w:rsidR="003E4ACC">
              <w:rPr>
                <w:rFonts w:ascii="Calibri" w:eastAsia="Times New Roman" w:hAnsi="Calibri" w:cs="Times New Roman"/>
                <w:color w:val="000000"/>
                <w:sz w:val="20"/>
                <w:szCs w:val="22"/>
              </w:rPr>
              <w:t xml:space="preserve"> over 2011</w:t>
            </w:r>
            <w:r w:rsidR="00E4455B">
              <w:rPr>
                <w:rFonts w:ascii="Calibri" w:eastAsia="Times New Roman" w:hAnsi="Calibri" w:cs="Times New Roman"/>
                <w:color w:val="000000"/>
                <w:sz w:val="20"/>
                <w:szCs w:val="22"/>
              </w:rPr>
              <w:t xml:space="preserve"> quantity </w:t>
            </w:r>
            <w:proofErr w:type="gramStart"/>
            <w:r w:rsidR="00E4455B">
              <w:rPr>
                <w:rFonts w:ascii="Calibri" w:eastAsia="Times New Roman" w:hAnsi="Calibri" w:cs="Times New Roman"/>
                <w:color w:val="000000"/>
                <w:sz w:val="20"/>
                <w:szCs w:val="22"/>
              </w:rPr>
              <w:t>( #</w:t>
            </w:r>
            <w:proofErr w:type="gramEnd"/>
            <w:r w:rsidR="00E4455B">
              <w:rPr>
                <w:rFonts w:ascii="Calibri" w:eastAsia="Times New Roman" w:hAnsi="Calibri" w:cs="Times New Roman"/>
                <w:color w:val="000000"/>
                <w:sz w:val="20"/>
                <w:szCs w:val="22"/>
              </w:rPr>
              <w:t xml:space="preserve"> )</w:t>
            </w:r>
          </w:p>
        </w:tc>
      </w:tr>
      <w:tr w:rsidR="00056270" w:rsidRPr="00AD5C36" w14:paraId="0C160527" w14:textId="77777777" w:rsidTr="005F63A9">
        <w:trPr>
          <w:trHeight w:val="690"/>
        </w:trPr>
        <w:tc>
          <w:tcPr>
            <w:tcW w:w="3785" w:type="dxa"/>
            <w:shd w:val="clear" w:color="auto" w:fill="auto"/>
            <w:noWrap/>
            <w:vAlign w:val="center"/>
            <w:hideMark/>
          </w:tcPr>
          <w:p w14:paraId="58D89383" w14:textId="2D704610" w:rsidR="00056270" w:rsidRPr="00AD5C36" w:rsidRDefault="00056270" w:rsidP="005F63A9">
            <w:pPr>
              <w:spacing w:before="60" w:after="60"/>
              <w:rPr>
                <w:rFonts w:ascii="Calibri" w:eastAsia="Times New Roman" w:hAnsi="Calibri" w:cs="Times New Roman"/>
                <w:color w:val="000000"/>
                <w:sz w:val="20"/>
                <w:szCs w:val="22"/>
              </w:rPr>
            </w:pPr>
            <w:r w:rsidRPr="0084344C">
              <w:rPr>
                <w:rFonts w:ascii="Calibri" w:eastAsia="Times New Roman" w:hAnsi="Calibri" w:cs="Times New Roman"/>
                <w:color w:val="000000"/>
                <w:sz w:val="20"/>
                <w:szCs w:val="22"/>
              </w:rPr>
              <w:t>Q</w:t>
            </w:r>
            <w:r>
              <w:rPr>
                <w:rFonts w:ascii="Calibri" w:eastAsia="Times New Roman" w:hAnsi="Calibri" w:cs="Times New Roman"/>
                <w:color w:val="000000"/>
                <w:sz w:val="20"/>
                <w:szCs w:val="22"/>
              </w:rPr>
              <w:t xml:space="preserve">uantity of </w:t>
            </w:r>
            <w:r w:rsidR="00E4455B">
              <w:rPr>
                <w:rFonts w:ascii="Calibri" w:eastAsia="Times New Roman" w:hAnsi="Calibri" w:cs="Times New Roman"/>
                <w:color w:val="000000"/>
                <w:sz w:val="20"/>
                <w:szCs w:val="22"/>
              </w:rPr>
              <w:t xml:space="preserve">unique </w:t>
            </w:r>
            <w:r w:rsidRPr="0084344C">
              <w:rPr>
                <w:rFonts w:ascii="Calibri" w:eastAsia="Times New Roman" w:hAnsi="Calibri" w:cs="Times New Roman"/>
                <w:color w:val="000000"/>
                <w:sz w:val="20"/>
                <w:szCs w:val="22"/>
              </w:rPr>
              <w:t xml:space="preserve">Registry </w:t>
            </w:r>
            <w:r w:rsidRPr="003E4ACC">
              <w:rPr>
                <w:rFonts w:ascii="Calibri" w:eastAsia="Times New Roman" w:hAnsi="Calibri" w:cs="Times New Roman"/>
                <w:i/>
                <w:color w:val="000000"/>
                <w:sz w:val="20"/>
                <w:szCs w:val="22"/>
              </w:rPr>
              <w:t xml:space="preserve">Service Providers </w:t>
            </w:r>
            <w:r>
              <w:rPr>
                <w:rFonts w:ascii="Calibri" w:eastAsia="Times New Roman" w:hAnsi="Calibri" w:cs="Times New Roman"/>
                <w:color w:val="000000"/>
                <w:sz w:val="20"/>
                <w:szCs w:val="22"/>
              </w:rPr>
              <w:t>before and after expansion</w:t>
            </w:r>
          </w:p>
        </w:tc>
        <w:tc>
          <w:tcPr>
            <w:tcW w:w="1080" w:type="dxa"/>
            <w:shd w:val="clear" w:color="auto" w:fill="auto"/>
            <w:noWrap/>
            <w:vAlign w:val="center"/>
            <w:hideMark/>
          </w:tcPr>
          <w:p w14:paraId="079FED4C" w14:textId="2E4B9F69" w:rsidR="00056270" w:rsidRPr="00AD5C36" w:rsidRDefault="00056270"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ICANN and </w:t>
            </w:r>
            <w:proofErr w:type="spellStart"/>
            <w:r>
              <w:rPr>
                <w:rFonts w:ascii="Calibri" w:eastAsia="Times New Roman" w:hAnsi="Calibri" w:cs="Times New Roman"/>
                <w:color w:val="000000"/>
                <w:sz w:val="20"/>
                <w:szCs w:val="22"/>
              </w:rPr>
              <w:t>Ry</w:t>
            </w:r>
            <w:proofErr w:type="spellEnd"/>
            <w:r>
              <w:rPr>
                <w:rFonts w:ascii="Calibri" w:eastAsia="Times New Roman" w:hAnsi="Calibri" w:cs="Times New Roman"/>
                <w:color w:val="000000"/>
                <w:sz w:val="20"/>
                <w:szCs w:val="22"/>
              </w:rPr>
              <w:t xml:space="preserve"> Operators</w:t>
            </w:r>
          </w:p>
        </w:tc>
        <w:tc>
          <w:tcPr>
            <w:tcW w:w="2790" w:type="dxa"/>
            <w:vAlign w:val="center"/>
          </w:tcPr>
          <w:p w14:paraId="1D5F34E2" w14:textId="2BE127E6" w:rsidR="00056270" w:rsidRDefault="00056270"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Moderately difficult to obtain</w:t>
            </w:r>
          </w:p>
        </w:tc>
        <w:tc>
          <w:tcPr>
            <w:tcW w:w="1530" w:type="dxa"/>
            <w:shd w:val="clear" w:color="auto" w:fill="auto"/>
            <w:vAlign w:val="center"/>
          </w:tcPr>
          <w:p w14:paraId="687C8563" w14:textId="067EEDDF" w:rsidR="00056270" w:rsidRPr="00AD5C36" w:rsidRDefault="00E4455B"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Increase of 2x over 2011 quantity </w:t>
            </w:r>
            <w:proofErr w:type="gramStart"/>
            <w:r>
              <w:rPr>
                <w:rFonts w:ascii="Calibri" w:eastAsia="Times New Roman" w:hAnsi="Calibri" w:cs="Times New Roman"/>
                <w:color w:val="000000"/>
                <w:sz w:val="20"/>
                <w:szCs w:val="22"/>
              </w:rPr>
              <w:t>( #</w:t>
            </w:r>
            <w:proofErr w:type="gramEnd"/>
            <w:r>
              <w:rPr>
                <w:rFonts w:ascii="Calibri" w:eastAsia="Times New Roman" w:hAnsi="Calibri" w:cs="Times New Roman"/>
                <w:color w:val="000000"/>
                <w:sz w:val="20"/>
                <w:szCs w:val="22"/>
              </w:rPr>
              <w:t xml:space="preserve"> )</w:t>
            </w:r>
          </w:p>
        </w:tc>
      </w:tr>
      <w:tr w:rsidR="00056270" w:rsidRPr="00AD5C36" w14:paraId="77812449" w14:textId="77777777" w:rsidTr="005F63A9">
        <w:trPr>
          <w:trHeight w:val="690"/>
        </w:trPr>
        <w:tc>
          <w:tcPr>
            <w:tcW w:w="3785" w:type="dxa"/>
            <w:shd w:val="clear" w:color="auto" w:fill="auto"/>
            <w:noWrap/>
            <w:vAlign w:val="center"/>
            <w:hideMark/>
          </w:tcPr>
          <w:p w14:paraId="43D06902" w14:textId="5B79915F" w:rsidR="00056270" w:rsidRPr="00AD5C36" w:rsidRDefault="00056270" w:rsidP="005F63A9">
            <w:pPr>
              <w:spacing w:before="60" w:after="60"/>
              <w:rPr>
                <w:rFonts w:ascii="Calibri" w:eastAsia="Times New Roman" w:hAnsi="Calibri" w:cs="Times New Roman"/>
                <w:color w:val="000000"/>
                <w:sz w:val="20"/>
                <w:szCs w:val="22"/>
              </w:rPr>
            </w:pPr>
            <w:r w:rsidRPr="0084344C">
              <w:rPr>
                <w:rFonts w:ascii="Calibri" w:eastAsia="Times New Roman" w:hAnsi="Calibri" w:cs="Times New Roman"/>
                <w:color w:val="000000"/>
                <w:sz w:val="20"/>
                <w:szCs w:val="22"/>
              </w:rPr>
              <w:t>Q</w:t>
            </w:r>
            <w:r>
              <w:rPr>
                <w:rFonts w:ascii="Calibri" w:eastAsia="Times New Roman" w:hAnsi="Calibri" w:cs="Times New Roman"/>
                <w:color w:val="000000"/>
                <w:sz w:val="20"/>
                <w:szCs w:val="22"/>
              </w:rPr>
              <w:t xml:space="preserve">uantity of </w:t>
            </w:r>
            <w:r w:rsidRPr="0084344C">
              <w:rPr>
                <w:rFonts w:ascii="Calibri" w:eastAsia="Times New Roman" w:hAnsi="Calibri" w:cs="Times New Roman"/>
                <w:color w:val="000000"/>
                <w:sz w:val="20"/>
                <w:szCs w:val="22"/>
              </w:rPr>
              <w:t xml:space="preserve">Registrars </w:t>
            </w:r>
            <w:r>
              <w:rPr>
                <w:rFonts w:ascii="Calibri" w:eastAsia="Times New Roman" w:hAnsi="Calibri" w:cs="Times New Roman"/>
                <w:color w:val="000000"/>
                <w:sz w:val="20"/>
                <w:szCs w:val="22"/>
              </w:rPr>
              <w:t>before and after expansion</w:t>
            </w:r>
            <w:r w:rsidR="00E4455B">
              <w:rPr>
                <w:rFonts w:ascii="Calibri" w:eastAsia="Times New Roman" w:hAnsi="Calibri" w:cs="Times New Roman"/>
                <w:color w:val="000000"/>
                <w:sz w:val="20"/>
                <w:szCs w:val="22"/>
              </w:rPr>
              <w:t>, along with indication of country where Registrar is based.</w:t>
            </w:r>
          </w:p>
        </w:tc>
        <w:tc>
          <w:tcPr>
            <w:tcW w:w="1080" w:type="dxa"/>
            <w:shd w:val="clear" w:color="auto" w:fill="auto"/>
            <w:noWrap/>
            <w:vAlign w:val="center"/>
            <w:hideMark/>
          </w:tcPr>
          <w:p w14:paraId="2D594247" w14:textId="350CC01A" w:rsidR="00056270" w:rsidRPr="00AD5C36" w:rsidRDefault="00056270" w:rsidP="00E4455B">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ICANN</w:t>
            </w:r>
          </w:p>
        </w:tc>
        <w:tc>
          <w:tcPr>
            <w:tcW w:w="2790" w:type="dxa"/>
            <w:vAlign w:val="center"/>
          </w:tcPr>
          <w:p w14:paraId="54505B62" w14:textId="77777777" w:rsidR="00056270" w:rsidRDefault="00056270" w:rsidP="005F63A9">
            <w:pPr>
              <w:spacing w:before="60" w:after="60"/>
              <w:rPr>
                <w:rFonts w:ascii="Calibri" w:eastAsia="Times New Roman" w:hAnsi="Calibri" w:cs="Times New Roman"/>
                <w:color w:val="000000"/>
                <w:sz w:val="20"/>
                <w:szCs w:val="22"/>
              </w:rPr>
            </w:pPr>
          </w:p>
        </w:tc>
        <w:tc>
          <w:tcPr>
            <w:tcW w:w="1530" w:type="dxa"/>
            <w:shd w:val="clear" w:color="auto" w:fill="auto"/>
            <w:vAlign w:val="center"/>
          </w:tcPr>
          <w:p w14:paraId="3BAED7B0" w14:textId="1E1407F8" w:rsidR="00056270" w:rsidRDefault="00E4455B"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No target;</w:t>
            </w:r>
          </w:p>
          <w:p w14:paraId="29CEA448" w14:textId="1B75A6D6" w:rsidR="00E4455B" w:rsidRPr="00AD5C36" w:rsidRDefault="00E4455B" w:rsidP="005F63A9">
            <w:pPr>
              <w:spacing w:before="60" w:after="60"/>
              <w:jc w:val="center"/>
              <w:rPr>
                <w:rFonts w:ascii="Calibri" w:eastAsia="Times New Roman" w:hAnsi="Calibri" w:cs="Times New Roman"/>
                <w:color w:val="000000"/>
                <w:sz w:val="20"/>
                <w:szCs w:val="22"/>
              </w:rPr>
            </w:pPr>
            <w:proofErr w:type="gramStart"/>
            <w:r>
              <w:rPr>
                <w:rFonts w:ascii="Calibri" w:eastAsia="Times New Roman" w:hAnsi="Calibri" w:cs="Times New Roman"/>
                <w:color w:val="000000"/>
                <w:sz w:val="20"/>
                <w:szCs w:val="22"/>
              </w:rPr>
              <w:t>compare</w:t>
            </w:r>
            <w:proofErr w:type="gramEnd"/>
            <w:r>
              <w:rPr>
                <w:rFonts w:ascii="Calibri" w:eastAsia="Times New Roman" w:hAnsi="Calibri" w:cs="Times New Roman"/>
                <w:color w:val="000000"/>
                <w:sz w:val="20"/>
                <w:szCs w:val="22"/>
              </w:rPr>
              <w:t xml:space="preserve"> to 2011 quantity   ( # )</w:t>
            </w:r>
          </w:p>
        </w:tc>
      </w:tr>
      <w:tr w:rsidR="00DB3F97" w:rsidRPr="00AD5C36" w14:paraId="55ABA3E3" w14:textId="77777777" w:rsidTr="005F63A9">
        <w:trPr>
          <w:trHeight w:val="690"/>
        </w:trPr>
        <w:tc>
          <w:tcPr>
            <w:tcW w:w="3785" w:type="dxa"/>
            <w:shd w:val="clear" w:color="auto" w:fill="auto"/>
            <w:noWrap/>
            <w:vAlign w:val="center"/>
            <w:hideMark/>
          </w:tcPr>
          <w:p w14:paraId="305A0553" w14:textId="561BC007" w:rsidR="00DB3F97" w:rsidRPr="00AD5C36" w:rsidRDefault="00E4455B" w:rsidP="00E4455B">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Share of new gTLD registrations held by new entrants.  Measure the </w:t>
            </w:r>
            <w:r w:rsidR="00DB3F97" w:rsidRPr="0084344C">
              <w:rPr>
                <w:rFonts w:ascii="Calibri" w:eastAsia="Times New Roman" w:hAnsi="Calibri" w:cs="Times New Roman"/>
                <w:color w:val="000000"/>
                <w:sz w:val="20"/>
                <w:szCs w:val="22"/>
              </w:rPr>
              <w:t xml:space="preserve">% </w:t>
            </w:r>
            <w:r w:rsidR="00DB3F97">
              <w:rPr>
                <w:rFonts w:ascii="Calibri" w:eastAsia="Times New Roman" w:hAnsi="Calibri" w:cs="Times New Roman"/>
                <w:color w:val="000000"/>
                <w:sz w:val="20"/>
                <w:szCs w:val="22"/>
              </w:rPr>
              <w:t xml:space="preserve">of </w:t>
            </w:r>
            <w:r>
              <w:rPr>
                <w:rFonts w:ascii="Calibri" w:eastAsia="Times New Roman" w:hAnsi="Calibri" w:cs="Times New Roman"/>
                <w:color w:val="000000"/>
                <w:sz w:val="20"/>
                <w:szCs w:val="22"/>
              </w:rPr>
              <w:t xml:space="preserve">new gTLD registrations </w:t>
            </w:r>
            <w:r w:rsidR="00DB3F97">
              <w:rPr>
                <w:rFonts w:ascii="Calibri" w:eastAsia="Times New Roman" w:hAnsi="Calibri" w:cs="Times New Roman"/>
                <w:color w:val="000000"/>
                <w:sz w:val="20"/>
                <w:szCs w:val="22"/>
              </w:rPr>
              <w:t xml:space="preserve">in </w:t>
            </w:r>
            <w:proofErr w:type="spellStart"/>
            <w:r w:rsidR="00DB3F97">
              <w:rPr>
                <w:rFonts w:ascii="Calibri" w:eastAsia="Times New Roman" w:hAnsi="Calibri" w:cs="Times New Roman"/>
                <w:color w:val="000000"/>
                <w:sz w:val="20"/>
                <w:szCs w:val="22"/>
              </w:rPr>
              <w:t>gTLDs</w:t>
            </w:r>
            <w:proofErr w:type="spellEnd"/>
            <w:r w:rsidR="00DB3F97">
              <w:rPr>
                <w:rFonts w:ascii="Calibri" w:eastAsia="Times New Roman" w:hAnsi="Calibri" w:cs="Times New Roman"/>
                <w:color w:val="000000"/>
                <w:sz w:val="20"/>
                <w:szCs w:val="22"/>
              </w:rPr>
              <w:t xml:space="preserve"> </w:t>
            </w:r>
            <w:r>
              <w:rPr>
                <w:rFonts w:ascii="Calibri" w:eastAsia="Times New Roman" w:hAnsi="Calibri" w:cs="Times New Roman"/>
                <w:color w:val="000000"/>
                <w:sz w:val="20"/>
                <w:szCs w:val="22"/>
              </w:rPr>
              <w:t>run</w:t>
            </w:r>
            <w:r w:rsidR="00DB3F97">
              <w:rPr>
                <w:rFonts w:ascii="Calibri" w:eastAsia="Times New Roman" w:hAnsi="Calibri" w:cs="Times New Roman"/>
                <w:color w:val="000000"/>
                <w:sz w:val="20"/>
                <w:szCs w:val="22"/>
              </w:rPr>
              <w:t xml:space="preserve"> by </w:t>
            </w:r>
            <w:r>
              <w:rPr>
                <w:rFonts w:ascii="Calibri" w:eastAsia="Times New Roman" w:hAnsi="Calibri" w:cs="Times New Roman"/>
                <w:color w:val="000000"/>
                <w:sz w:val="20"/>
                <w:szCs w:val="22"/>
              </w:rPr>
              <w:t>registry operators that did not operate a legacy gTLD in 2011.</w:t>
            </w:r>
          </w:p>
        </w:tc>
        <w:tc>
          <w:tcPr>
            <w:tcW w:w="1080" w:type="dxa"/>
            <w:shd w:val="clear" w:color="auto" w:fill="auto"/>
            <w:noWrap/>
            <w:vAlign w:val="center"/>
            <w:hideMark/>
          </w:tcPr>
          <w:p w14:paraId="088AFDEC" w14:textId="4369759C" w:rsidR="003E4ACC" w:rsidRPr="00AD5C36" w:rsidRDefault="00E4455B" w:rsidP="00E4455B">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ICANN; Zone files for new </w:t>
            </w:r>
            <w:proofErr w:type="spellStart"/>
            <w:r>
              <w:rPr>
                <w:rFonts w:ascii="Calibri" w:eastAsia="Times New Roman" w:hAnsi="Calibri" w:cs="Times New Roman"/>
                <w:color w:val="000000"/>
                <w:sz w:val="20"/>
                <w:szCs w:val="22"/>
              </w:rPr>
              <w:t>gTLDs</w:t>
            </w:r>
            <w:proofErr w:type="spellEnd"/>
          </w:p>
        </w:tc>
        <w:tc>
          <w:tcPr>
            <w:tcW w:w="2790" w:type="dxa"/>
            <w:vAlign w:val="center"/>
          </w:tcPr>
          <w:p w14:paraId="573C061F" w14:textId="4DB66544" w:rsidR="00DB3F97" w:rsidRDefault="00E4455B" w:rsidP="00E4455B">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Moderately d</w:t>
            </w:r>
            <w:r w:rsidR="00DB3F97">
              <w:rPr>
                <w:rFonts w:ascii="Calibri" w:eastAsia="Times New Roman" w:hAnsi="Calibri" w:cs="Times New Roman"/>
                <w:color w:val="000000"/>
                <w:sz w:val="20"/>
                <w:szCs w:val="22"/>
              </w:rPr>
              <w:t>ifficult to obtain</w:t>
            </w:r>
            <w:r>
              <w:rPr>
                <w:rFonts w:ascii="Calibri" w:eastAsia="Times New Roman" w:hAnsi="Calibri" w:cs="Times New Roman"/>
                <w:color w:val="000000"/>
                <w:sz w:val="20"/>
                <w:szCs w:val="22"/>
              </w:rPr>
              <w:t>.</w:t>
            </w:r>
          </w:p>
        </w:tc>
        <w:tc>
          <w:tcPr>
            <w:tcW w:w="1530" w:type="dxa"/>
            <w:shd w:val="clear" w:color="auto" w:fill="auto"/>
            <w:vAlign w:val="center"/>
          </w:tcPr>
          <w:p w14:paraId="34C3C6BA" w14:textId="05A26E2D" w:rsidR="00DB3F97" w:rsidRPr="00AD5C36" w:rsidRDefault="00E4455B" w:rsidP="00E4455B">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New Entrants should have at least 20% of total new gTLD registrations</w:t>
            </w:r>
          </w:p>
        </w:tc>
      </w:tr>
      <w:tr w:rsidR="009B6223" w:rsidRPr="009B6223" w14:paraId="633711F4" w14:textId="77777777" w:rsidTr="003E4ACC">
        <w:trPr>
          <w:trHeight w:val="432"/>
        </w:trPr>
        <w:tc>
          <w:tcPr>
            <w:tcW w:w="9185" w:type="dxa"/>
            <w:gridSpan w:val="4"/>
            <w:shd w:val="clear" w:color="auto" w:fill="auto"/>
            <w:noWrap/>
            <w:vAlign w:val="center"/>
          </w:tcPr>
          <w:p w14:paraId="40AA6024" w14:textId="2B9F6F53" w:rsidR="009B6223" w:rsidRPr="009B6223" w:rsidRDefault="009B6223" w:rsidP="00E4455B">
            <w:pPr>
              <w:spacing w:before="60" w:after="60"/>
              <w:rPr>
                <w:rFonts w:ascii="Calibri" w:eastAsia="Times New Roman" w:hAnsi="Calibri" w:cs="Times New Roman"/>
                <w:i/>
                <w:color w:val="000000"/>
                <w:sz w:val="20"/>
                <w:szCs w:val="22"/>
              </w:rPr>
            </w:pPr>
            <w:r w:rsidRPr="009B6223">
              <w:rPr>
                <w:rFonts w:ascii="Calibri" w:eastAsia="Times New Roman" w:hAnsi="Calibri" w:cs="Times New Roman"/>
                <w:i/>
                <w:color w:val="000000"/>
                <w:sz w:val="20"/>
                <w:szCs w:val="22"/>
              </w:rPr>
              <w:t xml:space="preserve">Measures related to </w:t>
            </w:r>
            <w:r w:rsidR="00E4455B">
              <w:rPr>
                <w:rFonts w:ascii="Calibri" w:eastAsia="Times New Roman" w:hAnsi="Calibri" w:cs="Times New Roman"/>
                <w:i/>
                <w:color w:val="000000"/>
                <w:sz w:val="20"/>
                <w:szCs w:val="22"/>
              </w:rPr>
              <w:t>prices</w:t>
            </w:r>
            <w:r w:rsidRPr="009B6223">
              <w:rPr>
                <w:rFonts w:ascii="Calibri" w:eastAsia="Times New Roman" w:hAnsi="Calibri" w:cs="Times New Roman"/>
                <w:i/>
                <w:color w:val="000000"/>
                <w:sz w:val="20"/>
                <w:szCs w:val="22"/>
              </w:rPr>
              <w:t xml:space="preserve"> for domain </w:t>
            </w:r>
            <w:r w:rsidRPr="00E4455B">
              <w:rPr>
                <w:rFonts w:ascii="Calibri" w:eastAsia="Times New Roman" w:hAnsi="Calibri" w:cs="Times New Roman"/>
                <w:i/>
                <w:color w:val="000000"/>
                <w:sz w:val="20"/>
                <w:szCs w:val="22"/>
              </w:rPr>
              <w:t>registrations</w:t>
            </w:r>
            <w:r w:rsidR="00E4455B" w:rsidRPr="00E4455B">
              <w:rPr>
                <w:rFonts w:ascii="Calibri" w:eastAsia="Times New Roman" w:hAnsi="Calibri" w:cs="Times New Roman"/>
                <w:i/>
                <w:color w:val="000000"/>
                <w:sz w:val="20"/>
                <w:szCs w:val="22"/>
              </w:rPr>
              <w:t xml:space="preserve">  (see legal note in Appendix B)</w:t>
            </w:r>
          </w:p>
        </w:tc>
      </w:tr>
      <w:tr w:rsidR="00DB3F97" w:rsidRPr="00AD5C36" w14:paraId="32DE489E" w14:textId="77777777" w:rsidTr="005F63A9">
        <w:trPr>
          <w:trHeight w:val="690"/>
        </w:trPr>
        <w:tc>
          <w:tcPr>
            <w:tcW w:w="3785" w:type="dxa"/>
            <w:shd w:val="clear" w:color="auto" w:fill="auto"/>
            <w:noWrap/>
            <w:vAlign w:val="center"/>
            <w:hideMark/>
          </w:tcPr>
          <w:p w14:paraId="0E596A3E" w14:textId="07CF60BF" w:rsidR="00DB3F97" w:rsidRPr="00AD5C36" w:rsidRDefault="00DB3F97" w:rsidP="00BC6C08">
            <w:pPr>
              <w:spacing w:before="60" w:after="60"/>
              <w:rPr>
                <w:rFonts w:ascii="Calibri" w:eastAsia="Times New Roman" w:hAnsi="Calibri" w:cs="Times New Roman"/>
                <w:color w:val="000000"/>
                <w:sz w:val="20"/>
                <w:szCs w:val="22"/>
              </w:rPr>
            </w:pPr>
            <w:r w:rsidRPr="00BC6C08">
              <w:rPr>
                <w:rFonts w:ascii="Calibri" w:eastAsia="Times New Roman" w:hAnsi="Calibri" w:cs="Times New Roman"/>
                <w:i/>
                <w:color w:val="000000"/>
                <w:sz w:val="20"/>
                <w:szCs w:val="22"/>
              </w:rPr>
              <w:t>Wholesale</w:t>
            </w:r>
            <w:r w:rsidRPr="0084344C">
              <w:rPr>
                <w:rFonts w:ascii="Calibri" w:eastAsia="Times New Roman" w:hAnsi="Calibri" w:cs="Times New Roman"/>
                <w:color w:val="000000"/>
                <w:sz w:val="20"/>
                <w:szCs w:val="22"/>
              </w:rPr>
              <w:t xml:space="preserve"> price of </w:t>
            </w:r>
            <w:r w:rsidR="00BC6C08">
              <w:rPr>
                <w:rFonts w:ascii="Calibri" w:eastAsia="Times New Roman" w:hAnsi="Calibri" w:cs="Times New Roman"/>
                <w:color w:val="000000"/>
                <w:sz w:val="20"/>
                <w:szCs w:val="22"/>
              </w:rPr>
              <w:t xml:space="preserve">new gTLD </w:t>
            </w:r>
            <w:r w:rsidRPr="0084344C">
              <w:rPr>
                <w:rFonts w:ascii="Calibri" w:eastAsia="Times New Roman" w:hAnsi="Calibri" w:cs="Times New Roman"/>
                <w:color w:val="000000"/>
                <w:sz w:val="20"/>
                <w:szCs w:val="22"/>
              </w:rPr>
              <w:t xml:space="preserve">domains offered </w:t>
            </w:r>
            <w:r w:rsidR="00BC6C08">
              <w:rPr>
                <w:rFonts w:ascii="Calibri" w:eastAsia="Times New Roman" w:hAnsi="Calibri" w:cs="Times New Roman"/>
                <w:color w:val="000000"/>
                <w:sz w:val="20"/>
                <w:szCs w:val="22"/>
              </w:rPr>
              <w:t>to the general public.  (</w:t>
            </w:r>
            <w:proofErr w:type="gramStart"/>
            <w:r w:rsidR="00BC6C08">
              <w:rPr>
                <w:rFonts w:ascii="Calibri" w:eastAsia="Times New Roman" w:hAnsi="Calibri" w:cs="Times New Roman"/>
                <w:color w:val="000000"/>
                <w:sz w:val="20"/>
                <w:szCs w:val="22"/>
              </w:rPr>
              <w:t>do</w:t>
            </w:r>
            <w:proofErr w:type="gramEnd"/>
            <w:r w:rsidR="00BC6C08">
              <w:rPr>
                <w:rFonts w:ascii="Calibri" w:eastAsia="Times New Roman" w:hAnsi="Calibri" w:cs="Times New Roman"/>
                <w:color w:val="000000"/>
                <w:sz w:val="20"/>
                <w:szCs w:val="22"/>
              </w:rPr>
              <w:t xml:space="preserve"> not evaluate </w:t>
            </w:r>
            <w:proofErr w:type="spellStart"/>
            <w:r w:rsidR="00BC6C08">
              <w:rPr>
                <w:rFonts w:ascii="Calibri" w:eastAsia="Times New Roman" w:hAnsi="Calibri" w:cs="Times New Roman"/>
                <w:color w:val="000000"/>
                <w:sz w:val="20"/>
                <w:szCs w:val="22"/>
              </w:rPr>
              <w:t>gTLDs</w:t>
            </w:r>
            <w:proofErr w:type="spellEnd"/>
            <w:r w:rsidR="00BC6C08">
              <w:rPr>
                <w:rFonts w:ascii="Calibri" w:eastAsia="Times New Roman" w:hAnsi="Calibri" w:cs="Times New Roman"/>
                <w:color w:val="000000"/>
                <w:sz w:val="20"/>
                <w:szCs w:val="22"/>
              </w:rPr>
              <w:t xml:space="preserve"> with registrant restrictions).</w:t>
            </w:r>
          </w:p>
        </w:tc>
        <w:tc>
          <w:tcPr>
            <w:tcW w:w="1080" w:type="dxa"/>
            <w:shd w:val="clear" w:color="auto" w:fill="auto"/>
            <w:noWrap/>
            <w:vAlign w:val="center"/>
            <w:hideMark/>
          </w:tcPr>
          <w:p w14:paraId="174D90A3" w14:textId="6EBD9D66" w:rsidR="00DB3F97" w:rsidRPr="00AD5C36" w:rsidRDefault="00DB3F9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Registries</w:t>
            </w:r>
          </w:p>
        </w:tc>
        <w:tc>
          <w:tcPr>
            <w:tcW w:w="2790" w:type="dxa"/>
            <w:vAlign w:val="center"/>
          </w:tcPr>
          <w:p w14:paraId="5C3947FB" w14:textId="756F84E2" w:rsidR="00DB3F97" w:rsidRDefault="00DB3F9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Difficult to obtain.  </w:t>
            </w:r>
          </w:p>
          <w:p w14:paraId="15B274F7" w14:textId="188BA9FF" w:rsidR="007F2E37" w:rsidRDefault="007F2E37" w:rsidP="007F2E37">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w:t>
            </w:r>
            <w:proofErr w:type="gramStart"/>
            <w:r>
              <w:rPr>
                <w:rFonts w:ascii="Calibri" w:eastAsia="Times New Roman" w:hAnsi="Calibri" w:cs="Times New Roman"/>
                <w:color w:val="000000"/>
                <w:sz w:val="20"/>
                <w:szCs w:val="22"/>
              </w:rPr>
              <w:t>see</w:t>
            </w:r>
            <w:proofErr w:type="gramEnd"/>
            <w:r>
              <w:rPr>
                <w:rFonts w:ascii="Calibri" w:eastAsia="Times New Roman" w:hAnsi="Calibri" w:cs="Times New Roman"/>
                <w:color w:val="000000"/>
                <w:sz w:val="20"/>
                <w:szCs w:val="22"/>
              </w:rPr>
              <w:t xml:space="preserve"> legal note in Appendix B)</w:t>
            </w:r>
          </w:p>
        </w:tc>
        <w:tc>
          <w:tcPr>
            <w:tcW w:w="1530" w:type="dxa"/>
            <w:shd w:val="clear" w:color="auto" w:fill="auto"/>
            <w:vAlign w:val="center"/>
          </w:tcPr>
          <w:p w14:paraId="7A3DE099" w14:textId="6D649911" w:rsidR="00DB3F97" w:rsidRPr="00AD5C36" w:rsidRDefault="00BC6C08" w:rsidP="00BC6C08">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No target; compare to 2011 and to unrestricted legacy </w:t>
            </w:r>
            <w:proofErr w:type="spellStart"/>
            <w:r>
              <w:rPr>
                <w:rFonts w:ascii="Calibri" w:eastAsia="Times New Roman" w:hAnsi="Calibri" w:cs="Times New Roman"/>
                <w:color w:val="000000"/>
                <w:sz w:val="20"/>
                <w:szCs w:val="22"/>
              </w:rPr>
              <w:t>gTLDs</w:t>
            </w:r>
            <w:proofErr w:type="spellEnd"/>
          </w:p>
        </w:tc>
      </w:tr>
      <w:tr w:rsidR="00DB3F97" w:rsidRPr="00AD5C36" w14:paraId="27993A49" w14:textId="77777777" w:rsidTr="005F63A9">
        <w:trPr>
          <w:trHeight w:val="690"/>
        </w:trPr>
        <w:tc>
          <w:tcPr>
            <w:tcW w:w="3785" w:type="dxa"/>
            <w:shd w:val="clear" w:color="auto" w:fill="auto"/>
            <w:noWrap/>
            <w:vAlign w:val="center"/>
            <w:hideMark/>
          </w:tcPr>
          <w:p w14:paraId="149492C5" w14:textId="3A6FFDFC" w:rsidR="00DB3F97" w:rsidRPr="00AD5C36" w:rsidRDefault="00BC6C08" w:rsidP="00DB3F97">
            <w:pPr>
              <w:spacing w:before="60" w:after="60"/>
              <w:rPr>
                <w:rFonts w:ascii="Calibri" w:eastAsia="Times New Roman" w:hAnsi="Calibri" w:cs="Times New Roman"/>
                <w:color w:val="000000"/>
                <w:sz w:val="20"/>
                <w:szCs w:val="22"/>
              </w:rPr>
            </w:pPr>
            <w:r w:rsidRPr="00BC6C08">
              <w:rPr>
                <w:rFonts w:ascii="Calibri" w:eastAsia="Times New Roman" w:hAnsi="Calibri" w:cs="Times New Roman"/>
                <w:i/>
                <w:color w:val="000000"/>
                <w:sz w:val="20"/>
                <w:szCs w:val="22"/>
              </w:rPr>
              <w:t>Retail</w:t>
            </w:r>
            <w:r w:rsidRPr="0084344C">
              <w:rPr>
                <w:rFonts w:ascii="Calibri" w:eastAsia="Times New Roman" w:hAnsi="Calibri" w:cs="Times New Roman"/>
                <w:color w:val="000000"/>
                <w:sz w:val="20"/>
                <w:szCs w:val="22"/>
              </w:rPr>
              <w:t xml:space="preserve"> price of </w:t>
            </w:r>
            <w:r>
              <w:rPr>
                <w:rFonts w:ascii="Calibri" w:eastAsia="Times New Roman" w:hAnsi="Calibri" w:cs="Times New Roman"/>
                <w:color w:val="000000"/>
                <w:sz w:val="20"/>
                <w:szCs w:val="22"/>
              </w:rPr>
              <w:t xml:space="preserve">new gTLD </w:t>
            </w:r>
            <w:r w:rsidRPr="0084344C">
              <w:rPr>
                <w:rFonts w:ascii="Calibri" w:eastAsia="Times New Roman" w:hAnsi="Calibri" w:cs="Times New Roman"/>
                <w:color w:val="000000"/>
                <w:sz w:val="20"/>
                <w:szCs w:val="22"/>
              </w:rPr>
              <w:t xml:space="preserve">domains offered </w:t>
            </w:r>
            <w:r>
              <w:rPr>
                <w:rFonts w:ascii="Calibri" w:eastAsia="Times New Roman" w:hAnsi="Calibri" w:cs="Times New Roman"/>
                <w:color w:val="000000"/>
                <w:sz w:val="20"/>
                <w:szCs w:val="22"/>
              </w:rPr>
              <w:t>to the general public.  (</w:t>
            </w:r>
            <w:proofErr w:type="gramStart"/>
            <w:r>
              <w:rPr>
                <w:rFonts w:ascii="Calibri" w:eastAsia="Times New Roman" w:hAnsi="Calibri" w:cs="Times New Roman"/>
                <w:color w:val="000000"/>
                <w:sz w:val="20"/>
                <w:szCs w:val="22"/>
              </w:rPr>
              <w:t>do</w:t>
            </w:r>
            <w:proofErr w:type="gramEnd"/>
            <w:r>
              <w:rPr>
                <w:rFonts w:ascii="Calibri" w:eastAsia="Times New Roman" w:hAnsi="Calibri" w:cs="Times New Roman"/>
                <w:color w:val="000000"/>
                <w:sz w:val="20"/>
                <w:szCs w:val="22"/>
              </w:rPr>
              <w:t xml:space="preserve"> not evaluate </w:t>
            </w:r>
            <w:proofErr w:type="spellStart"/>
            <w:r>
              <w:rPr>
                <w:rFonts w:ascii="Calibri" w:eastAsia="Times New Roman" w:hAnsi="Calibri" w:cs="Times New Roman"/>
                <w:color w:val="000000"/>
                <w:sz w:val="20"/>
                <w:szCs w:val="22"/>
              </w:rPr>
              <w:t>gTLDs</w:t>
            </w:r>
            <w:proofErr w:type="spellEnd"/>
            <w:r>
              <w:rPr>
                <w:rFonts w:ascii="Calibri" w:eastAsia="Times New Roman" w:hAnsi="Calibri" w:cs="Times New Roman"/>
                <w:color w:val="000000"/>
                <w:sz w:val="20"/>
                <w:szCs w:val="22"/>
              </w:rPr>
              <w:t xml:space="preserve"> with registrant restrictions).</w:t>
            </w:r>
          </w:p>
        </w:tc>
        <w:tc>
          <w:tcPr>
            <w:tcW w:w="1080" w:type="dxa"/>
            <w:shd w:val="clear" w:color="auto" w:fill="auto"/>
            <w:noWrap/>
            <w:vAlign w:val="center"/>
            <w:hideMark/>
          </w:tcPr>
          <w:p w14:paraId="22CF39FA" w14:textId="0D09E42E" w:rsidR="00DB3F97" w:rsidRPr="00AD5C36" w:rsidRDefault="00DB3F9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Registries and Registrars</w:t>
            </w:r>
          </w:p>
        </w:tc>
        <w:tc>
          <w:tcPr>
            <w:tcW w:w="2790" w:type="dxa"/>
            <w:vAlign w:val="center"/>
          </w:tcPr>
          <w:p w14:paraId="6F3030A4" w14:textId="3604CB05" w:rsidR="007F2E37" w:rsidRDefault="00DB3F9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Difficult to </w:t>
            </w:r>
            <w:r w:rsidR="00B731B2">
              <w:rPr>
                <w:rFonts w:ascii="Calibri" w:eastAsia="Times New Roman" w:hAnsi="Calibri" w:cs="Times New Roman"/>
                <w:color w:val="000000"/>
                <w:sz w:val="20"/>
                <w:szCs w:val="22"/>
              </w:rPr>
              <w:t>automate collection.</w:t>
            </w:r>
            <w:r>
              <w:rPr>
                <w:rFonts w:ascii="Calibri" w:eastAsia="Times New Roman" w:hAnsi="Calibri" w:cs="Times New Roman"/>
                <w:color w:val="000000"/>
                <w:sz w:val="20"/>
                <w:szCs w:val="22"/>
              </w:rPr>
              <w:t xml:space="preserve"> </w:t>
            </w:r>
          </w:p>
          <w:p w14:paraId="02EFFE52" w14:textId="383A0BD3" w:rsidR="00DB3F97" w:rsidRDefault="007F2E3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w:t>
            </w:r>
            <w:proofErr w:type="gramStart"/>
            <w:r>
              <w:rPr>
                <w:rFonts w:ascii="Calibri" w:eastAsia="Times New Roman" w:hAnsi="Calibri" w:cs="Times New Roman"/>
                <w:color w:val="000000"/>
                <w:sz w:val="20"/>
                <w:szCs w:val="22"/>
              </w:rPr>
              <w:t>see</w:t>
            </w:r>
            <w:proofErr w:type="gramEnd"/>
            <w:r>
              <w:rPr>
                <w:rFonts w:ascii="Calibri" w:eastAsia="Times New Roman" w:hAnsi="Calibri" w:cs="Times New Roman"/>
                <w:color w:val="000000"/>
                <w:sz w:val="20"/>
                <w:szCs w:val="22"/>
              </w:rPr>
              <w:t xml:space="preserve"> legal note in Appendix B)</w:t>
            </w:r>
            <w:r w:rsidR="00DB3F97">
              <w:rPr>
                <w:rFonts w:ascii="Calibri" w:eastAsia="Times New Roman" w:hAnsi="Calibri" w:cs="Times New Roman"/>
                <w:color w:val="000000"/>
                <w:sz w:val="20"/>
                <w:szCs w:val="22"/>
              </w:rPr>
              <w:t xml:space="preserve"> </w:t>
            </w:r>
          </w:p>
        </w:tc>
        <w:tc>
          <w:tcPr>
            <w:tcW w:w="1530" w:type="dxa"/>
            <w:shd w:val="clear" w:color="auto" w:fill="auto"/>
            <w:vAlign w:val="center"/>
          </w:tcPr>
          <w:p w14:paraId="4BFC42BD" w14:textId="4F2B88F5" w:rsidR="00DB3F97" w:rsidRPr="00AD5C36" w:rsidRDefault="00BC6C08"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No target; compare to 2011 and to unrestricted legacy </w:t>
            </w:r>
            <w:proofErr w:type="spellStart"/>
            <w:r>
              <w:rPr>
                <w:rFonts w:ascii="Calibri" w:eastAsia="Times New Roman" w:hAnsi="Calibri" w:cs="Times New Roman"/>
                <w:color w:val="000000"/>
                <w:sz w:val="20"/>
                <w:szCs w:val="22"/>
              </w:rPr>
              <w:t>gTLDs</w:t>
            </w:r>
            <w:proofErr w:type="spellEnd"/>
          </w:p>
        </w:tc>
      </w:tr>
    </w:tbl>
    <w:p w14:paraId="5D7D59AB" w14:textId="77777777" w:rsidR="005F63A9" w:rsidRDefault="005F63A9" w:rsidP="00553269">
      <w:pPr>
        <w:widowControl w:val="0"/>
        <w:autoSpaceDE w:val="0"/>
        <w:autoSpaceDN w:val="0"/>
        <w:adjustRightInd w:val="0"/>
        <w:rPr>
          <w:rFonts w:ascii="Calibri" w:hAnsi="Calibri" w:cs="Calibri"/>
          <w:sz w:val="22"/>
          <w:szCs w:val="22"/>
        </w:rPr>
      </w:pPr>
    </w:p>
    <w:p w14:paraId="7D4EDB12" w14:textId="77777777" w:rsidR="00BC6C08" w:rsidRDefault="00BC6C08">
      <w:pPr>
        <w:rPr>
          <w:rFonts w:asciiTheme="majorHAnsi" w:hAnsiTheme="majorHAnsi"/>
          <w:b/>
          <w:sz w:val="22"/>
          <w:szCs w:val="22"/>
        </w:rPr>
      </w:pPr>
      <w:r>
        <w:rPr>
          <w:rFonts w:asciiTheme="majorHAnsi" w:hAnsiTheme="majorHAnsi"/>
          <w:b/>
          <w:sz w:val="22"/>
          <w:szCs w:val="22"/>
        </w:rPr>
        <w:br w:type="page"/>
      </w:r>
    </w:p>
    <w:p w14:paraId="3C457291" w14:textId="6800AF38" w:rsidR="000812DC" w:rsidRPr="0033140F" w:rsidRDefault="000812DC" w:rsidP="000812DC">
      <w:pPr>
        <w:jc w:val="center"/>
        <w:rPr>
          <w:rFonts w:asciiTheme="majorHAnsi" w:hAnsiTheme="majorHAnsi"/>
          <w:b/>
          <w:sz w:val="22"/>
          <w:szCs w:val="22"/>
        </w:rPr>
      </w:pPr>
      <w:r w:rsidRPr="0033140F">
        <w:rPr>
          <w:rFonts w:asciiTheme="majorHAnsi" w:hAnsiTheme="majorHAnsi"/>
          <w:b/>
          <w:sz w:val="22"/>
          <w:szCs w:val="22"/>
        </w:rPr>
        <w:lastRenderedPageBreak/>
        <w:t>Appendix A</w:t>
      </w:r>
    </w:p>
    <w:p w14:paraId="13B6C75A" w14:textId="77777777" w:rsidR="000812DC" w:rsidRDefault="000812DC">
      <w:pPr>
        <w:rPr>
          <w:rFonts w:asciiTheme="majorHAnsi" w:hAnsiTheme="majorHAnsi"/>
          <w:sz w:val="22"/>
          <w:szCs w:val="22"/>
        </w:rPr>
      </w:pPr>
    </w:p>
    <w:p w14:paraId="69BD7A1E" w14:textId="4F490A47" w:rsidR="00587F68" w:rsidRPr="00AE2198" w:rsidRDefault="008C345B">
      <w:pPr>
        <w:rPr>
          <w:rFonts w:asciiTheme="majorHAnsi" w:hAnsiTheme="majorHAnsi"/>
          <w:sz w:val="22"/>
          <w:szCs w:val="22"/>
        </w:rPr>
      </w:pPr>
      <w:r w:rsidRPr="00AE2198">
        <w:rPr>
          <w:rFonts w:asciiTheme="majorHAnsi" w:hAnsiTheme="majorHAnsi"/>
          <w:sz w:val="22"/>
          <w:szCs w:val="22"/>
        </w:rPr>
        <w:t>Working Group members:</w:t>
      </w:r>
    </w:p>
    <w:p w14:paraId="60E21248" w14:textId="77777777" w:rsidR="008C345B" w:rsidRPr="00AE2198" w:rsidRDefault="008C345B" w:rsidP="008C345B">
      <w:pPr>
        <w:rPr>
          <w:rFonts w:asciiTheme="majorHAnsi" w:hAnsiTheme="majorHAnsi"/>
          <w:sz w:val="22"/>
          <w:szCs w:val="22"/>
        </w:rPr>
      </w:pPr>
    </w:p>
    <w:p w14:paraId="6FAC5DF6"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 xml:space="preserve">Rosemary Sinclair - NCSG / </w:t>
      </w:r>
      <w:r w:rsidRPr="0011273B">
        <w:rPr>
          <w:rFonts w:asciiTheme="majorHAnsi" w:hAnsiTheme="majorHAnsi"/>
          <w:i/>
          <w:sz w:val="22"/>
          <w:szCs w:val="22"/>
        </w:rPr>
        <w:t>WG Chair</w:t>
      </w:r>
    </w:p>
    <w:p w14:paraId="429DA4C5" w14:textId="7ACAED1F"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 xml:space="preserve">John </w:t>
      </w:r>
      <w:proofErr w:type="spellStart"/>
      <w:r w:rsidRPr="00AE2198">
        <w:rPr>
          <w:rFonts w:asciiTheme="majorHAnsi" w:hAnsiTheme="majorHAnsi"/>
          <w:sz w:val="22"/>
          <w:szCs w:val="22"/>
        </w:rPr>
        <w:t>Berard</w:t>
      </w:r>
      <w:proofErr w:type="spellEnd"/>
      <w:r w:rsidRPr="00AE2198">
        <w:rPr>
          <w:rFonts w:asciiTheme="majorHAnsi" w:hAnsiTheme="majorHAnsi"/>
          <w:sz w:val="22"/>
          <w:szCs w:val="22"/>
        </w:rPr>
        <w:t xml:space="preserve"> - CBUC / </w:t>
      </w:r>
      <w:r w:rsidRPr="0011273B">
        <w:rPr>
          <w:rFonts w:asciiTheme="majorHAnsi" w:hAnsiTheme="majorHAnsi"/>
          <w:i/>
          <w:sz w:val="22"/>
          <w:szCs w:val="22"/>
        </w:rPr>
        <w:t>GNSO Lia</w:t>
      </w:r>
      <w:r w:rsidR="0011273B" w:rsidRPr="0011273B">
        <w:rPr>
          <w:rFonts w:asciiTheme="majorHAnsi" w:hAnsiTheme="majorHAnsi"/>
          <w:i/>
          <w:sz w:val="22"/>
          <w:szCs w:val="22"/>
        </w:rPr>
        <w:t>i</w:t>
      </w:r>
      <w:r w:rsidRPr="0011273B">
        <w:rPr>
          <w:rFonts w:asciiTheme="majorHAnsi" w:hAnsiTheme="majorHAnsi"/>
          <w:i/>
          <w:sz w:val="22"/>
          <w:szCs w:val="22"/>
        </w:rPr>
        <w:t>son</w:t>
      </w:r>
      <w:r w:rsidR="0011273B">
        <w:rPr>
          <w:rFonts w:asciiTheme="majorHAnsi" w:hAnsiTheme="majorHAnsi"/>
          <w:i/>
          <w:sz w:val="22"/>
          <w:szCs w:val="22"/>
        </w:rPr>
        <w:t xml:space="preserve"> for WG</w:t>
      </w:r>
    </w:p>
    <w:p w14:paraId="34C703E4"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 xml:space="preserve">Alex </w:t>
      </w:r>
      <w:proofErr w:type="spellStart"/>
      <w:r w:rsidRPr="00AE2198">
        <w:rPr>
          <w:rFonts w:asciiTheme="majorHAnsi" w:hAnsiTheme="majorHAnsi"/>
          <w:sz w:val="22"/>
          <w:szCs w:val="22"/>
        </w:rPr>
        <w:t>Gakuru</w:t>
      </w:r>
      <w:proofErr w:type="spellEnd"/>
      <w:r w:rsidRPr="00AE2198">
        <w:rPr>
          <w:rFonts w:asciiTheme="majorHAnsi" w:hAnsiTheme="majorHAnsi"/>
          <w:sz w:val="22"/>
          <w:szCs w:val="22"/>
        </w:rPr>
        <w:t xml:space="preserve"> – NCSG</w:t>
      </w:r>
    </w:p>
    <w:p w14:paraId="51ED1200"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Cheryl Langdon-Orr - ALAC</w:t>
      </w:r>
    </w:p>
    <w:p w14:paraId="0ED8717B" w14:textId="1E2AAC49" w:rsidR="008C345B" w:rsidRPr="00AE2198" w:rsidRDefault="00AE2198" w:rsidP="008C345B">
      <w:pPr>
        <w:ind w:left="720"/>
        <w:rPr>
          <w:rFonts w:asciiTheme="majorHAnsi" w:hAnsiTheme="majorHAnsi"/>
          <w:sz w:val="22"/>
          <w:szCs w:val="22"/>
        </w:rPr>
      </w:pPr>
      <w:r>
        <w:rPr>
          <w:rFonts w:asciiTheme="majorHAnsi" w:hAnsiTheme="majorHAnsi"/>
          <w:sz w:val="22"/>
          <w:szCs w:val="22"/>
        </w:rPr>
        <w:t xml:space="preserve">Olivier </w:t>
      </w:r>
      <w:proofErr w:type="spellStart"/>
      <w:r>
        <w:rPr>
          <w:rFonts w:asciiTheme="majorHAnsi" w:hAnsiTheme="majorHAnsi"/>
          <w:sz w:val="22"/>
          <w:szCs w:val="22"/>
        </w:rPr>
        <w:t>Crepin-</w:t>
      </w:r>
      <w:r w:rsidR="008C345B" w:rsidRPr="00AE2198">
        <w:rPr>
          <w:rFonts w:asciiTheme="majorHAnsi" w:hAnsiTheme="majorHAnsi"/>
          <w:sz w:val="22"/>
          <w:szCs w:val="22"/>
        </w:rPr>
        <w:t>Leblond</w:t>
      </w:r>
      <w:proofErr w:type="spellEnd"/>
      <w:r w:rsidR="008C345B" w:rsidRPr="00AE2198">
        <w:rPr>
          <w:rFonts w:asciiTheme="majorHAnsi" w:hAnsiTheme="majorHAnsi"/>
          <w:sz w:val="22"/>
          <w:szCs w:val="22"/>
        </w:rPr>
        <w:t xml:space="preserve"> – ALAC</w:t>
      </w:r>
    </w:p>
    <w:p w14:paraId="2086293E"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 xml:space="preserve">Carlos </w:t>
      </w:r>
      <w:proofErr w:type="spellStart"/>
      <w:r w:rsidRPr="00AE2198">
        <w:rPr>
          <w:rFonts w:asciiTheme="majorHAnsi" w:hAnsiTheme="majorHAnsi"/>
          <w:sz w:val="22"/>
          <w:szCs w:val="22"/>
        </w:rPr>
        <w:t>Dionisio</w:t>
      </w:r>
      <w:proofErr w:type="spellEnd"/>
      <w:r w:rsidRPr="00AE2198">
        <w:rPr>
          <w:rFonts w:asciiTheme="majorHAnsi" w:hAnsiTheme="majorHAnsi"/>
          <w:sz w:val="22"/>
          <w:szCs w:val="22"/>
        </w:rPr>
        <w:t xml:space="preserve"> Aguirre - NCA</w:t>
      </w:r>
    </w:p>
    <w:p w14:paraId="55E8F3C8" w14:textId="48CF2791"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Steve DelBianco – CBUC</w:t>
      </w:r>
    </w:p>
    <w:p w14:paraId="64DD2BB3"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Wendy Seltzer - NCSG</w:t>
      </w:r>
    </w:p>
    <w:p w14:paraId="13E26F63"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 xml:space="preserve">Jonathan </w:t>
      </w:r>
      <w:proofErr w:type="spellStart"/>
      <w:r w:rsidRPr="00AE2198">
        <w:rPr>
          <w:rFonts w:asciiTheme="majorHAnsi" w:hAnsiTheme="majorHAnsi"/>
          <w:sz w:val="22"/>
          <w:szCs w:val="22"/>
        </w:rPr>
        <w:t>Zuck</w:t>
      </w:r>
      <w:proofErr w:type="spellEnd"/>
      <w:r w:rsidRPr="00AE2198">
        <w:rPr>
          <w:rFonts w:asciiTheme="majorHAnsi" w:hAnsiTheme="majorHAnsi"/>
          <w:sz w:val="22"/>
          <w:szCs w:val="22"/>
        </w:rPr>
        <w:t xml:space="preserve"> - IPC</w:t>
      </w:r>
    </w:p>
    <w:p w14:paraId="70D7D804"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 xml:space="preserve">Jonathan Robinson - </w:t>
      </w:r>
      <w:proofErr w:type="spellStart"/>
      <w:r w:rsidRPr="00AE2198">
        <w:rPr>
          <w:rFonts w:asciiTheme="majorHAnsi" w:hAnsiTheme="majorHAnsi"/>
          <w:sz w:val="22"/>
          <w:szCs w:val="22"/>
        </w:rPr>
        <w:t>RySG</w:t>
      </w:r>
      <w:proofErr w:type="spellEnd"/>
    </w:p>
    <w:p w14:paraId="2387145B"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 xml:space="preserve">Tim Ruiz - </w:t>
      </w:r>
      <w:proofErr w:type="spellStart"/>
      <w:r w:rsidRPr="00AE2198">
        <w:rPr>
          <w:rFonts w:asciiTheme="majorHAnsi" w:hAnsiTheme="majorHAnsi"/>
          <w:sz w:val="22"/>
          <w:szCs w:val="22"/>
        </w:rPr>
        <w:t>RrSG</w:t>
      </w:r>
      <w:proofErr w:type="spellEnd"/>
    </w:p>
    <w:p w14:paraId="692C35B6"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 xml:space="preserve">Evan </w:t>
      </w:r>
      <w:proofErr w:type="spellStart"/>
      <w:r w:rsidRPr="00AE2198">
        <w:rPr>
          <w:rFonts w:asciiTheme="majorHAnsi" w:hAnsiTheme="majorHAnsi"/>
          <w:sz w:val="22"/>
          <w:szCs w:val="22"/>
        </w:rPr>
        <w:t>Leibovitch</w:t>
      </w:r>
      <w:proofErr w:type="spellEnd"/>
      <w:r w:rsidRPr="00AE2198">
        <w:rPr>
          <w:rFonts w:asciiTheme="majorHAnsi" w:hAnsiTheme="majorHAnsi"/>
          <w:sz w:val="22"/>
          <w:szCs w:val="22"/>
        </w:rPr>
        <w:t xml:space="preserve"> – ALAC</w:t>
      </w:r>
    </w:p>
    <w:p w14:paraId="60158512" w14:textId="553675A8" w:rsidR="008C345B" w:rsidRPr="00AE2198" w:rsidRDefault="00AE2198" w:rsidP="008C345B">
      <w:pPr>
        <w:ind w:left="720"/>
        <w:rPr>
          <w:rFonts w:asciiTheme="majorHAnsi" w:hAnsiTheme="majorHAnsi"/>
          <w:sz w:val="22"/>
          <w:szCs w:val="22"/>
        </w:rPr>
      </w:pPr>
      <w:r>
        <w:rPr>
          <w:rFonts w:asciiTheme="majorHAnsi" w:hAnsiTheme="majorHAnsi"/>
          <w:sz w:val="22"/>
          <w:szCs w:val="22"/>
        </w:rPr>
        <w:t xml:space="preserve">Tobias </w:t>
      </w:r>
      <w:r w:rsidR="008C345B" w:rsidRPr="00AE2198">
        <w:rPr>
          <w:rFonts w:asciiTheme="majorHAnsi" w:hAnsiTheme="majorHAnsi"/>
          <w:sz w:val="22"/>
          <w:szCs w:val="22"/>
        </w:rPr>
        <w:t>Mahler – Individual</w:t>
      </w:r>
      <w:r w:rsidR="00296991">
        <w:rPr>
          <w:rFonts w:asciiTheme="majorHAnsi" w:hAnsiTheme="majorHAnsi"/>
          <w:sz w:val="22"/>
          <w:szCs w:val="22"/>
        </w:rPr>
        <w:br/>
        <w:t xml:space="preserve">Jonathan </w:t>
      </w:r>
      <w:proofErr w:type="spellStart"/>
      <w:r w:rsidR="00296991">
        <w:rPr>
          <w:rFonts w:asciiTheme="majorHAnsi" w:hAnsiTheme="majorHAnsi"/>
          <w:sz w:val="22"/>
          <w:szCs w:val="22"/>
        </w:rPr>
        <w:t>Zuck</w:t>
      </w:r>
      <w:proofErr w:type="spellEnd"/>
      <w:r w:rsidR="00296991">
        <w:rPr>
          <w:rFonts w:asciiTheme="majorHAnsi" w:hAnsiTheme="majorHAnsi"/>
          <w:sz w:val="22"/>
          <w:szCs w:val="22"/>
        </w:rPr>
        <w:t xml:space="preserve"> – IPC </w:t>
      </w:r>
    </w:p>
    <w:p w14:paraId="5FE451D8" w14:textId="77777777" w:rsidR="008C345B" w:rsidRPr="00AE2198" w:rsidRDefault="008C345B" w:rsidP="008C345B">
      <w:pPr>
        <w:rPr>
          <w:rFonts w:asciiTheme="majorHAnsi" w:hAnsiTheme="majorHAnsi"/>
          <w:sz w:val="22"/>
          <w:szCs w:val="22"/>
        </w:rPr>
      </w:pPr>
    </w:p>
    <w:p w14:paraId="1C14354E" w14:textId="16BAEE94" w:rsidR="008C345B" w:rsidRPr="00AE2198" w:rsidRDefault="008C345B" w:rsidP="008C345B">
      <w:pPr>
        <w:rPr>
          <w:rFonts w:asciiTheme="majorHAnsi" w:hAnsiTheme="majorHAnsi"/>
          <w:sz w:val="22"/>
          <w:szCs w:val="22"/>
        </w:rPr>
      </w:pPr>
      <w:r w:rsidRPr="00AE2198">
        <w:rPr>
          <w:rFonts w:asciiTheme="majorHAnsi" w:hAnsiTheme="majorHAnsi"/>
          <w:sz w:val="22"/>
          <w:szCs w:val="22"/>
        </w:rPr>
        <w:t>ICANN Staff:</w:t>
      </w:r>
    </w:p>
    <w:p w14:paraId="364486FF"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Berry Cobb</w:t>
      </w:r>
    </w:p>
    <w:p w14:paraId="7DFBBDDF"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Margie Milam</w:t>
      </w:r>
      <w:r w:rsidRPr="00AE2198">
        <w:rPr>
          <w:rFonts w:asciiTheme="majorHAnsi" w:hAnsiTheme="majorHAnsi"/>
          <w:sz w:val="22"/>
          <w:szCs w:val="22"/>
        </w:rPr>
        <w:br/>
        <w:t>Michael Salazar</w:t>
      </w:r>
    </w:p>
    <w:p w14:paraId="3DB02107"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Brian Peck</w:t>
      </w:r>
      <w:r w:rsidRPr="00AE2198">
        <w:rPr>
          <w:rFonts w:asciiTheme="majorHAnsi" w:hAnsiTheme="majorHAnsi"/>
          <w:sz w:val="22"/>
          <w:szCs w:val="22"/>
        </w:rPr>
        <w:br/>
        <w:t>Paul Redmond</w:t>
      </w:r>
    </w:p>
    <w:p w14:paraId="28EFDDB0" w14:textId="77777777" w:rsidR="008C345B" w:rsidRPr="00AE2198" w:rsidRDefault="008C345B" w:rsidP="008C345B">
      <w:pPr>
        <w:ind w:left="720"/>
        <w:rPr>
          <w:rFonts w:asciiTheme="majorHAnsi" w:hAnsiTheme="majorHAnsi"/>
          <w:sz w:val="22"/>
          <w:szCs w:val="22"/>
        </w:rPr>
      </w:pPr>
      <w:proofErr w:type="spellStart"/>
      <w:r w:rsidRPr="00AE2198">
        <w:rPr>
          <w:rFonts w:asciiTheme="majorHAnsi" w:hAnsiTheme="majorHAnsi"/>
          <w:sz w:val="22"/>
          <w:szCs w:val="22"/>
        </w:rPr>
        <w:t>Maguy</w:t>
      </w:r>
      <w:proofErr w:type="spellEnd"/>
      <w:r w:rsidRPr="00AE2198">
        <w:rPr>
          <w:rFonts w:asciiTheme="majorHAnsi" w:hAnsiTheme="majorHAnsi"/>
          <w:sz w:val="22"/>
          <w:szCs w:val="22"/>
        </w:rPr>
        <w:t xml:space="preserve"> </w:t>
      </w:r>
      <w:proofErr w:type="spellStart"/>
      <w:r w:rsidRPr="00AE2198">
        <w:rPr>
          <w:rFonts w:asciiTheme="majorHAnsi" w:hAnsiTheme="majorHAnsi"/>
          <w:sz w:val="22"/>
          <w:szCs w:val="22"/>
        </w:rPr>
        <w:t>Serad</w:t>
      </w:r>
      <w:proofErr w:type="spellEnd"/>
    </w:p>
    <w:p w14:paraId="1518821B"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Nathalie Peregrine</w:t>
      </w:r>
    </w:p>
    <w:p w14:paraId="6843FF20" w14:textId="77777777" w:rsidR="008C345B" w:rsidRPr="00AE2198" w:rsidRDefault="008C345B" w:rsidP="008C345B">
      <w:pPr>
        <w:ind w:left="720"/>
        <w:rPr>
          <w:rFonts w:asciiTheme="majorHAnsi" w:hAnsiTheme="majorHAnsi"/>
          <w:sz w:val="22"/>
          <w:szCs w:val="22"/>
        </w:rPr>
      </w:pPr>
      <w:proofErr w:type="spellStart"/>
      <w:r w:rsidRPr="00AE2198">
        <w:rPr>
          <w:rFonts w:asciiTheme="majorHAnsi" w:hAnsiTheme="majorHAnsi"/>
          <w:sz w:val="22"/>
          <w:szCs w:val="22"/>
          <w:lang w:val="fr-FR"/>
        </w:rPr>
        <w:t>Gisella</w:t>
      </w:r>
      <w:proofErr w:type="spellEnd"/>
      <w:r w:rsidRPr="00AE2198">
        <w:rPr>
          <w:rFonts w:asciiTheme="majorHAnsi" w:hAnsiTheme="majorHAnsi"/>
          <w:sz w:val="22"/>
          <w:szCs w:val="22"/>
          <w:lang w:val="fr-FR"/>
        </w:rPr>
        <w:t xml:space="preserve"> Gruber-White</w:t>
      </w:r>
    </w:p>
    <w:p w14:paraId="4E4DB8E4" w14:textId="77777777" w:rsidR="008C345B" w:rsidRPr="00AE2198" w:rsidRDefault="008C345B" w:rsidP="008C345B">
      <w:pPr>
        <w:rPr>
          <w:rFonts w:asciiTheme="majorHAnsi" w:hAnsiTheme="majorHAnsi"/>
          <w:sz w:val="22"/>
          <w:szCs w:val="22"/>
        </w:rPr>
      </w:pPr>
    </w:p>
    <w:p w14:paraId="2502B6E1" w14:textId="36694993" w:rsidR="0033140F" w:rsidRDefault="0033140F">
      <w:pPr>
        <w:rPr>
          <w:sz w:val="22"/>
          <w:szCs w:val="22"/>
        </w:rPr>
      </w:pPr>
      <w:r>
        <w:rPr>
          <w:sz w:val="22"/>
          <w:szCs w:val="22"/>
        </w:rPr>
        <w:br w:type="page"/>
      </w:r>
    </w:p>
    <w:p w14:paraId="32293CBE" w14:textId="6D887E51" w:rsidR="0033140F" w:rsidRPr="00D53025" w:rsidRDefault="0033140F" w:rsidP="0033140F">
      <w:pPr>
        <w:jc w:val="center"/>
        <w:rPr>
          <w:rFonts w:asciiTheme="majorHAnsi" w:hAnsiTheme="majorHAnsi"/>
          <w:b/>
          <w:sz w:val="22"/>
          <w:szCs w:val="22"/>
        </w:rPr>
      </w:pPr>
      <w:r w:rsidRPr="00D53025">
        <w:rPr>
          <w:rFonts w:asciiTheme="majorHAnsi" w:hAnsiTheme="majorHAnsi"/>
          <w:b/>
          <w:sz w:val="22"/>
          <w:szCs w:val="22"/>
        </w:rPr>
        <w:lastRenderedPageBreak/>
        <w:t>Appendix B</w:t>
      </w:r>
    </w:p>
    <w:p w14:paraId="309C866C" w14:textId="77777777" w:rsidR="003E644D" w:rsidRDefault="003E644D" w:rsidP="0033140F">
      <w:pPr>
        <w:rPr>
          <w:rFonts w:asciiTheme="majorHAnsi" w:hAnsiTheme="majorHAnsi"/>
          <w:sz w:val="22"/>
          <w:szCs w:val="22"/>
        </w:rPr>
      </w:pPr>
    </w:p>
    <w:p w14:paraId="00386CD7" w14:textId="20E744F7" w:rsidR="008C345B" w:rsidRDefault="00B731B2" w:rsidP="00B731B2">
      <w:pPr>
        <w:jc w:val="center"/>
        <w:rPr>
          <w:rFonts w:asciiTheme="majorHAnsi" w:hAnsiTheme="majorHAnsi"/>
          <w:b/>
          <w:sz w:val="22"/>
          <w:szCs w:val="22"/>
        </w:rPr>
      </w:pPr>
      <w:r>
        <w:rPr>
          <w:rFonts w:asciiTheme="majorHAnsi" w:hAnsiTheme="majorHAnsi"/>
          <w:b/>
          <w:sz w:val="22"/>
          <w:szCs w:val="22"/>
        </w:rPr>
        <w:t>Note</w:t>
      </w:r>
      <w:r w:rsidR="003E644D" w:rsidRPr="003E644D">
        <w:rPr>
          <w:rFonts w:asciiTheme="majorHAnsi" w:hAnsiTheme="majorHAnsi"/>
          <w:b/>
          <w:sz w:val="22"/>
          <w:szCs w:val="22"/>
        </w:rPr>
        <w:t xml:space="preserve"> from ICANN Legal Department, regarding collection of non-public data on domain prices.</w:t>
      </w:r>
    </w:p>
    <w:p w14:paraId="70ED3DC1" w14:textId="77777777" w:rsidR="00B731B2" w:rsidRDefault="00B731B2" w:rsidP="0033140F">
      <w:pPr>
        <w:rPr>
          <w:rFonts w:asciiTheme="majorHAnsi" w:hAnsiTheme="majorHAnsi"/>
          <w:b/>
          <w:sz w:val="22"/>
          <w:szCs w:val="22"/>
        </w:rPr>
      </w:pPr>
    </w:p>
    <w:p w14:paraId="58670521" w14:textId="2591255F" w:rsidR="00B731B2" w:rsidRPr="00B731B2" w:rsidRDefault="00B731B2" w:rsidP="0033140F">
      <w:pPr>
        <w:rPr>
          <w:rFonts w:asciiTheme="majorHAnsi" w:hAnsiTheme="majorHAnsi"/>
          <w:sz w:val="22"/>
          <w:szCs w:val="22"/>
        </w:rPr>
      </w:pPr>
      <w:r>
        <w:rPr>
          <w:rFonts w:asciiTheme="majorHAnsi" w:hAnsiTheme="majorHAnsi"/>
          <w:sz w:val="22"/>
          <w:szCs w:val="22"/>
        </w:rPr>
        <w:t>As part of devising measures for Competition, t</w:t>
      </w:r>
      <w:r w:rsidRPr="00B731B2">
        <w:rPr>
          <w:rFonts w:asciiTheme="majorHAnsi" w:hAnsiTheme="majorHAnsi"/>
          <w:sz w:val="22"/>
          <w:szCs w:val="22"/>
        </w:rPr>
        <w:t xml:space="preserve">he Working Group sought advice from ICANN Legal department </w:t>
      </w:r>
      <w:r>
        <w:rPr>
          <w:rFonts w:asciiTheme="majorHAnsi" w:hAnsiTheme="majorHAnsi"/>
          <w:sz w:val="22"/>
          <w:szCs w:val="22"/>
        </w:rPr>
        <w:t xml:space="preserve">on the collection and publishing data on domain name prices, at both wholesale and retail level.    The response from ICANN legal is shown below. </w:t>
      </w:r>
    </w:p>
    <w:p w14:paraId="221A03E3" w14:textId="77777777" w:rsidR="00D53025" w:rsidRPr="00D53025" w:rsidRDefault="00D53025" w:rsidP="00D53025">
      <w:pPr>
        <w:rPr>
          <w:rFonts w:asciiTheme="majorHAnsi" w:hAnsiTheme="majorHAnsi"/>
          <w:sz w:val="22"/>
          <w:szCs w:val="22"/>
        </w:rPr>
      </w:pPr>
      <w:r w:rsidRPr="00D53025">
        <w:rPr>
          <w:rFonts w:asciiTheme="majorHAnsi" w:hAnsiTheme="majorHAnsi"/>
          <w:sz w:val="22"/>
          <w:szCs w:val="22"/>
        </w:rPr>
        <w:t> </w:t>
      </w:r>
    </w:p>
    <w:p w14:paraId="5B13E172" w14:textId="77777777" w:rsidR="00D53025" w:rsidRPr="003E644D" w:rsidRDefault="00D53025" w:rsidP="003E644D">
      <w:pPr>
        <w:ind w:left="720"/>
        <w:rPr>
          <w:rFonts w:asciiTheme="majorHAnsi" w:hAnsiTheme="majorHAnsi"/>
          <w:sz w:val="20"/>
          <w:szCs w:val="22"/>
        </w:rPr>
      </w:pPr>
      <w:r w:rsidRPr="003E644D">
        <w:rPr>
          <w:rFonts w:asciiTheme="majorHAnsi" w:hAnsiTheme="majorHAnsi"/>
          <w:sz w:val="20"/>
          <w:szCs w:val="22"/>
        </w:rPr>
        <w:t xml:space="preserve">Thank you for the constructive work underway to meet the Board's request for community assistance on this consumer metrics issue.  The team has clearly considered many aspects of consumer choice and the breadth of proposed metrics appears to be well thought out.  While we do not wish to constrain the work proposed, the office of the General Counsel has expressed concerns regarding the collection of price-related information as part of the consumer metrics.  Collection and comparison of non-public price-related information raises antitrust concerns in this context, particularly where market participants may have access to the collected information.  This is not meant to restrict the Working Team from reviewing how competition may have been created through the introduction of new </w:t>
      </w:r>
      <w:proofErr w:type="spellStart"/>
      <w:r w:rsidRPr="003E644D">
        <w:rPr>
          <w:rFonts w:asciiTheme="majorHAnsi" w:hAnsiTheme="majorHAnsi"/>
          <w:sz w:val="20"/>
          <w:szCs w:val="22"/>
        </w:rPr>
        <w:t>gTLDs</w:t>
      </w:r>
      <w:proofErr w:type="spellEnd"/>
      <w:r w:rsidRPr="003E644D">
        <w:rPr>
          <w:rFonts w:asciiTheme="majorHAnsi" w:hAnsiTheme="majorHAnsi"/>
          <w:sz w:val="20"/>
          <w:szCs w:val="22"/>
        </w:rPr>
        <w:t>, but rather to avoid the expansion of a community discussion into areas that may raise questions of anti-competitive conduct, or lead to outcomes that could impose anti-competitive restrictions.</w:t>
      </w:r>
    </w:p>
    <w:p w14:paraId="24BCC548" w14:textId="77777777" w:rsidR="00D53025" w:rsidRPr="003E644D" w:rsidRDefault="00D53025" w:rsidP="003E644D">
      <w:pPr>
        <w:ind w:left="720"/>
        <w:rPr>
          <w:rFonts w:asciiTheme="majorHAnsi" w:hAnsiTheme="majorHAnsi"/>
          <w:sz w:val="20"/>
          <w:szCs w:val="22"/>
        </w:rPr>
      </w:pPr>
      <w:r w:rsidRPr="003E644D">
        <w:rPr>
          <w:rFonts w:asciiTheme="majorHAnsi" w:hAnsiTheme="majorHAnsi"/>
          <w:sz w:val="20"/>
          <w:szCs w:val="22"/>
        </w:rPr>
        <w:t> </w:t>
      </w:r>
    </w:p>
    <w:p w14:paraId="78E92016" w14:textId="77777777" w:rsidR="00D53025" w:rsidRPr="003E644D" w:rsidRDefault="00D53025" w:rsidP="003E644D">
      <w:pPr>
        <w:ind w:left="720"/>
        <w:rPr>
          <w:rFonts w:asciiTheme="majorHAnsi" w:hAnsiTheme="majorHAnsi"/>
          <w:sz w:val="20"/>
          <w:szCs w:val="22"/>
        </w:rPr>
      </w:pPr>
      <w:r w:rsidRPr="003E644D">
        <w:rPr>
          <w:rFonts w:asciiTheme="majorHAnsi" w:hAnsiTheme="majorHAnsi"/>
          <w:sz w:val="20"/>
          <w:szCs w:val="22"/>
        </w:rPr>
        <w:t>ICANN is not currently in the position of collecting non-public price information from its registries and registrars.  Requiring submission of non-public pricing information from its contracted parties would represent a change to ICANN's relationships with its contracted parties, and imposes risks to ICANN as the holder of this compiled confidential information.  In addition, it is not only ICANN that comprises the review teams required under the Affirmation of Commitments.  There is the possibility that those with existing or future interests in the TLD industry are members of the team.  Providing persons on a review team with non-public pricing information across an entire industry (information that is not ICANN's to begin with) provides the possibility for anti-competitive conduct, even if there are restrictions in place for the use of the information, creates a significant risk to ICANN as a whole.</w:t>
      </w:r>
    </w:p>
    <w:p w14:paraId="2280F065" w14:textId="77777777" w:rsidR="00D53025" w:rsidRPr="003E644D" w:rsidRDefault="00D53025" w:rsidP="003E644D">
      <w:pPr>
        <w:ind w:left="720"/>
        <w:rPr>
          <w:rFonts w:asciiTheme="majorHAnsi" w:hAnsiTheme="majorHAnsi"/>
          <w:sz w:val="20"/>
          <w:szCs w:val="22"/>
        </w:rPr>
      </w:pPr>
      <w:r w:rsidRPr="003E644D">
        <w:rPr>
          <w:rFonts w:asciiTheme="majorHAnsi" w:hAnsiTheme="majorHAnsi"/>
          <w:sz w:val="20"/>
          <w:szCs w:val="22"/>
        </w:rPr>
        <w:t> </w:t>
      </w:r>
    </w:p>
    <w:p w14:paraId="479304AB" w14:textId="77777777" w:rsidR="00D53025" w:rsidRPr="003E644D" w:rsidRDefault="00D53025" w:rsidP="003E644D">
      <w:pPr>
        <w:ind w:left="720"/>
        <w:rPr>
          <w:rFonts w:asciiTheme="majorHAnsi" w:hAnsiTheme="majorHAnsi"/>
          <w:sz w:val="20"/>
          <w:szCs w:val="22"/>
        </w:rPr>
      </w:pPr>
      <w:r w:rsidRPr="003E644D">
        <w:rPr>
          <w:rFonts w:asciiTheme="majorHAnsi" w:hAnsiTheme="majorHAnsi"/>
          <w:sz w:val="20"/>
          <w:szCs w:val="22"/>
        </w:rPr>
        <w:t>One of the concerns regarding the consideration of price-related information - whether it is publicly available or not - is the possibility that an outcome of a future review results in a price–related recommendation.  To that extent, any consideration of price-related recommendations is not recommended, as it would raise both legal and accountability issues.  ICANN does not wish to encourage the creation of recommendations that are legally not feasible to implement.  That outcome is not desirable for your team, for the review team, or for ICANN.  We look forward to working with you to continue to provide guidance on this issue as you complete your work.</w:t>
      </w:r>
    </w:p>
    <w:p w14:paraId="5BD63D91" w14:textId="77777777" w:rsidR="00B731B2" w:rsidRDefault="00B731B2" w:rsidP="00B731B2">
      <w:pPr>
        <w:rPr>
          <w:rFonts w:asciiTheme="majorHAnsi" w:hAnsiTheme="majorHAnsi"/>
          <w:sz w:val="20"/>
          <w:szCs w:val="22"/>
        </w:rPr>
      </w:pPr>
    </w:p>
    <w:p w14:paraId="4C5383E7" w14:textId="313BB3B2" w:rsidR="00B731B2" w:rsidRPr="00B731B2" w:rsidRDefault="00B731B2" w:rsidP="00B731B2">
      <w:pPr>
        <w:rPr>
          <w:rFonts w:asciiTheme="majorHAnsi" w:hAnsiTheme="majorHAnsi"/>
          <w:i/>
          <w:sz w:val="22"/>
          <w:szCs w:val="22"/>
        </w:rPr>
      </w:pPr>
      <w:r>
        <w:rPr>
          <w:rFonts w:asciiTheme="majorHAnsi" w:hAnsiTheme="majorHAnsi"/>
          <w:sz w:val="22"/>
          <w:szCs w:val="22"/>
        </w:rPr>
        <w:t xml:space="preserve">Note: </w:t>
      </w:r>
      <w:r w:rsidRPr="00B731B2">
        <w:rPr>
          <w:rFonts w:asciiTheme="majorHAnsi" w:hAnsiTheme="majorHAnsi"/>
          <w:i/>
          <w:sz w:val="22"/>
          <w:szCs w:val="22"/>
        </w:rPr>
        <w:t xml:space="preserve">While this legal </w:t>
      </w:r>
      <w:r>
        <w:rPr>
          <w:rFonts w:asciiTheme="majorHAnsi" w:hAnsiTheme="majorHAnsi"/>
          <w:i/>
          <w:sz w:val="22"/>
          <w:szCs w:val="22"/>
        </w:rPr>
        <w:t>concern</w:t>
      </w:r>
      <w:bookmarkStart w:id="0" w:name="_GoBack"/>
      <w:bookmarkEnd w:id="0"/>
      <w:r w:rsidRPr="00B731B2">
        <w:rPr>
          <w:rFonts w:asciiTheme="majorHAnsi" w:hAnsiTheme="majorHAnsi"/>
          <w:i/>
          <w:sz w:val="22"/>
          <w:szCs w:val="22"/>
        </w:rPr>
        <w:t xml:space="preserve"> is appreciated, t</w:t>
      </w:r>
      <w:r w:rsidRPr="00B731B2">
        <w:rPr>
          <w:rFonts w:asciiTheme="majorHAnsi" w:hAnsiTheme="majorHAnsi"/>
          <w:i/>
          <w:sz w:val="22"/>
          <w:szCs w:val="22"/>
        </w:rPr>
        <w:t xml:space="preserve">he Working Group notes that none of the measures suggested in this </w:t>
      </w:r>
      <w:r>
        <w:rPr>
          <w:rFonts w:asciiTheme="majorHAnsi" w:hAnsiTheme="majorHAnsi"/>
          <w:i/>
          <w:sz w:val="22"/>
          <w:szCs w:val="22"/>
        </w:rPr>
        <w:t xml:space="preserve">draft </w:t>
      </w:r>
      <w:r w:rsidRPr="00B731B2">
        <w:rPr>
          <w:rFonts w:asciiTheme="majorHAnsi" w:hAnsiTheme="majorHAnsi"/>
          <w:i/>
          <w:sz w:val="22"/>
          <w:szCs w:val="22"/>
        </w:rPr>
        <w:t xml:space="preserve">advice </w:t>
      </w:r>
      <w:r>
        <w:rPr>
          <w:rFonts w:asciiTheme="majorHAnsi" w:hAnsiTheme="majorHAnsi"/>
          <w:i/>
          <w:sz w:val="22"/>
          <w:szCs w:val="22"/>
        </w:rPr>
        <w:t xml:space="preserve">document </w:t>
      </w:r>
      <w:r w:rsidRPr="00B731B2">
        <w:rPr>
          <w:rFonts w:asciiTheme="majorHAnsi" w:hAnsiTheme="majorHAnsi"/>
          <w:i/>
          <w:sz w:val="22"/>
          <w:szCs w:val="22"/>
        </w:rPr>
        <w:t xml:space="preserve">would </w:t>
      </w:r>
      <w:r>
        <w:rPr>
          <w:rFonts w:asciiTheme="majorHAnsi" w:hAnsiTheme="majorHAnsi"/>
          <w:i/>
          <w:sz w:val="22"/>
          <w:szCs w:val="22"/>
        </w:rPr>
        <w:t>require</w:t>
      </w:r>
      <w:r w:rsidRPr="00B731B2">
        <w:rPr>
          <w:rFonts w:asciiTheme="majorHAnsi" w:hAnsiTheme="majorHAnsi"/>
          <w:i/>
          <w:sz w:val="22"/>
          <w:szCs w:val="22"/>
        </w:rPr>
        <w:t xml:space="preserve"> ICANN </w:t>
      </w:r>
      <w:r>
        <w:rPr>
          <w:rFonts w:asciiTheme="majorHAnsi" w:hAnsiTheme="majorHAnsi"/>
          <w:i/>
          <w:sz w:val="22"/>
          <w:szCs w:val="22"/>
        </w:rPr>
        <w:t xml:space="preserve">to </w:t>
      </w:r>
      <w:r w:rsidRPr="00B731B2">
        <w:rPr>
          <w:rFonts w:asciiTheme="majorHAnsi" w:hAnsiTheme="majorHAnsi"/>
          <w:i/>
          <w:sz w:val="22"/>
          <w:szCs w:val="22"/>
        </w:rPr>
        <w:t>issue any recommendations for how registrars and registri</w:t>
      </w:r>
      <w:r w:rsidRPr="00B731B2">
        <w:rPr>
          <w:rFonts w:asciiTheme="majorHAnsi" w:hAnsiTheme="majorHAnsi"/>
          <w:i/>
          <w:sz w:val="22"/>
          <w:szCs w:val="22"/>
        </w:rPr>
        <w:t>es price their domain names.</w:t>
      </w:r>
    </w:p>
    <w:p w14:paraId="2E42CAB2" w14:textId="6E26F3E1" w:rsidR="00D53025" w:rsidRPr="003E644D" w:rsidRDefault="00D53025" w:rsidP="00D53025">
      <w:pPr>
        <w:rPr>
          <w:rFonts w:asciiTheme="majorHAnsi" w:hAnsiTheme="majorHAnsi"/>
          <w:sz w:val="20"/>
          <w:szCs w:val="22"/>
        </w:rPr>
      </w:pPr>
    </w:p>
    <w:sectPr w:rsidR="00D53025" w:rsidRPr="003E644D" w:rsidSect="00ED0485">
      <w:footerReference w:type="even" r:id="rId13"/>
      <w:footerReference w:type="default" r:id="rId14"/>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22637C" w14:textId="77777777" w:rsidR="003F10B2" w:rsidRDefault="003F10B2" w:rsidP="002E7E35">
      <w:r>
        <w:separator/>
      </w:r>
    </w:p>
  </w:endnote>
  <w:endnote w:type="continuationSeparator" w:id="0">
    <w:p w14:paraId="5F5ED3B2" w14:textId="77777777" w:rsidR="003F10B2" w:rsidRDefault="003F10B2" w:rsidP="002E7E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09B314" w14:textId="77777777" w:rsidR="003F10B2" w:rsidRDefault="003F10B2" w:rsidP="00FD0DD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77F7DCA" w14:textId="77777777" w:rsidR="003F10B2" w:rsidRDefault="003F10B2" w:rsidP="002E7E3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90EA75" w14:textId="77777777" w:rsidR="003F10B2" w:rsidRDefault="003F10B2" w:rsidP="00FD0DD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731B2">
      <w:rPr>
        <w:rStyle w:val="PageNumber"/>
        <w:noProof/>
      </w:rPr>
      <w:t>1</w:t>
    </w:r>
    <w:r>
      <w:rPr>
        <w:rStyle w:val="PageNumber"/>
      </w:rPr>
      <w:fldChar w:fldCharType="end"/>
    </w:r>
  </w:p>
  <w:p w14:paraId="44C11008" w14:textId="77777777" w:rsidR="003F10B2" w:rsidRDefault="003F10B2" w:rsidP="002E7E35">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12706F" w14:textId="77777777" w:rsidR="003F10B2" w:rsidRDefault="003F10B2" w:rsidP="002E7E35">
      <w:r>
        <w:separator/>
      </w:r>
    </w:p>
  </w:footnote>
  <w:footnote w:type="continuationSeparator" w:id="0">
    <w:p w14:paraId="2989C4E7" w14:textId="77777777" w:rsidR="003F10B2" w:rsidRDefault="003F10B2" w:rsidP="002E7E3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0B4A97"/>
    <w:multiLevelType w:val="hybridMultilevel"/>
    <w:tmpl w:val="7B54C8BE"/>
    <w:lvl w:ilvl="0" w:tplc="C35C2EEC">
      <w:start w:val="1"/>
      <w:numFmt w:val="bullet"/>
      <w:lvlText w:val="•"/>
      <w:lvlJc w:val="left"/>
      <w:pPr>
        <w:tabs>
          <w:tab w:val="num" w:pos="720"/>
        </w:tabs>
        <w:ind w:left="720" w:hanging="360"/>
      </w:pPr>
      <w:rPr>
        <w:rFonts w:ascii="Arial" w:hAnsi="Arial" w:hint="default"/>
      </w:rPr>
    </w:lvl>
    <w:lvl w:ilvl="1" w:tplc="61A0C890" w:tentative="1">
      <w:start w:val="1"/>
      <w:numFmt w:val="bullet"/>
      <w:lvlText w:val="•"/>
      <w:lvlJc w:val="left"/>
      <w:pPr>
        <w:tabs>
          <w:tab w:val="num" w:pos="1440"/>
        </w:tabs>
        <w:ind w:left="1440" w:hanging="360"/>
      </w:pPr>
      <w:rPr>
        <w:rFonts w:ascii="Arial" w:hAnsi="Arial" w:hint="default"/>
      </w:rPr>
    </w:lvl>
    <w:lvl w:ilvl="2" w:tplc="D4683366" w:tentative="1">
      <w:start w:val="1"/>
      <w:numFmt w:val="bullet"/>
      <w:lvlText w:val="•"/>
      <w:lvlJc w:val="left"/>
      <w:pPr>
        <w:tabs>
          <w:tab w:val="num" w:pos="2160"/>
        </w:tabs>
        <w:ind w:left="2160" w:hanging="360"/>
      </w:pPr>
      <w:rPr>
        <w:rFonts w:ascii="Arial" w:hAnsi="Arial" w:hint="default"/>
      </w:rPr>
    </w:lvl>
    <w:lvl w:ilvl="3" w:tplc="203CFDEC" w:tentative="1">
      <w:start w:val="1"/>
      <w:numFmt w:val="bullet"/>
      <w:lvlText w:val="•"/>
      <w:lvlJc w:val="left"/>
      <w:pPr>
        <w:tabs>
          <w:tab w:val="num" w:pos="2880"/>
        </w:tabs>
        <w:ind w:left="2880" w:hanging="360"/>
      </w:pPr>
      <w:rPr>
        <w:rFonts w:ascii="Arial" w:hAnsi="Arial" w:hint="default"/>
      </w:rPr>
    </w:lvl>
    <w:lvl w:ilvl="4" w:tplc="D6982BB2" w:tentative="1">
      <w:start w:val="1"/>
      <w:numFmt w:val="bullet"/>
      <w:lvlText w:val="•"/>
      <w:lvlJc w:val="left"/>
      <w:pPr>
        <w:tabs>
          <w:tab w:val="num" w:pos="3600"/>
        </w:tabs>
        <w:ind w:left="3600" w:hanging="360"/>
      </w:pPr>
      <w:rPr>
        <w:rFonts w:ascii="Arial" w:hAnsi="Arial" w:hint="default"/>
      </w:rPr>
    </w:lvl>
    <w:lvl w:ilvl="5" w:tplc="BB52C368" w:tentative="1">
      <w:start w:val="1"/>
      <w:numFmt w:val="bullet"/>
      <w:lvlText w:val="•"/>
      <w:lvlJc w:val="left"/>
      <w:pPr>
        <w:tabs>
          <w:tab w:val="num" w:pos="4320"/>
        </w:tabs>
        <w:ind w:left="4320" w:hanging="360"/>
      </w:pPr>
      <w:rPr>
        <w:rFonts w:ascii="Arial" w:hAnsi="Arial" w:hint="default"/>
      </w:rPr>
    </w:lvl>
    <w:lvl w:ilvl="6" w:tplc="06EE1B98" w:tentative="1">
      <w:start w:val="1"/>
      <w:numFmt w:val="bullet"/>
      <w:lvlText w:val="•"/>
      <w:lvlJc w:val="left"/>
      <w:pPr>
        <w:tabs>
          <w:tab w:val="num" w:pos="5040"/>
        </w:tabs>
        <w:ind w:left="5040" w:hanging="360"/>
      </w:pPr>
      <w:rPr>
        <w:rFonts w:ascii="Arial" w:hAnsi="Arial" w:hint="default"/>
      </w:rPr>
    </w:lvl>
    <w:lvl w:ilvl="7" w:tplc="17044534" w:tentative="1">
      <w:start w:val="1"/>
      <w:numFmt w:val="bullet"/>
      <w:lvlText w:val="•"/>
      <w:lvlJc w:val="left"/>
      <w:pPr>
        <w:tabs>
          <w:tab w:val="num" w:pos="5760"/>
        </w:tabs>
        <w:ind w:left="5760" w:hanging="360"/>
      </w:pPr>
      <w:rPr>
        <w:rFonts w:ascii="Arial" w:hAnsi="Arial" w:hint="default"/>
      </w:rPr>
    </w:lvl>
    <w:lvl w:ilvl="8" w:tplc="26DE8DA6" w:tentative="1">
      <w:start w:val="1"/>
      <w:numFmt w:val="bullet"/>
      <w:lvlText w:val="•"/>
      <w:lvlJc w:val="left"/>
      <w:pPr>
        <w:tabs>
          <w:tab w:val="num" w:pos="6480"/>
        </w:tabs>
        <w:ind w:left="6480" w:hanging="360"/>
      </w:pPr>
      <w:rPr>
        <w:rFonts w:ascii="Arial" w:hAnsi="Arial" w:hint="default"/>
      </w:rPr>
    </w:lvl>
  </w:abstractNum>
  <w:abstractNum w:abstractNumId="1">
    <w:nsid w:val="2A5E1D86"/>
    <w:multiLevelType w:val="hybridMultilevel"/>
    <w:tmpl w:val="A83EF97C"/>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nsid w:val="581F53BC"/>
    <w:multiLevelType w:val="hybridMultilevel"/>
    <w:tmpl w:val="1A406E9C"/>
    <w:lvl w:ilvl="0" w:tplc="ADF63502">
      <w:start w:val="1"/>
      <w:numFmt w:val="bullet"/>
      <w:lvlText w:val="•"/>
      <w:lvlJc w:val="left"/>
      <w:pPr>
        <w:tabs>
          <w:tab w:val="num" w:pos="720"/>
        </w:tabs>
        <w:ind w:left="720" w:hanging="360"/>
      </w:pPr>
      <w:rPr>
        <w:rFonts w:ascii="Arial" w:hAnsi="Arial" w:hint="default"/>
      </w:rPr>
    </w:lvl>
    <w:lvl w:ilvl="1" w:tplc="F9BEB688" w:tentative="1">
      <w:start w:val="1"/>
      <w:numFmt w:val="bullet"/>
      <w:lvlText w:val="•"/>
      <w:lvlJc w:val="left"/>
      <w:pPr>
        <w:tabs>
          <w:tab w:val="num" w:pos="1440"/>
        </w:tabs>
        <w:ind w:left="1440" w:hanging="360"/>
      </w:pPr>
      <w:rPr>
        <w:rFonts w:ascii="Arial" w:hAnsi="Arial" w:hint="default"/>
      </w:rPr>
    </w:lvl>
    <w:lvl w:ilvl="2" w:tplc="ED2C4D6C" w:tentative="1">
      <w:start w:val="1"/>
      <w:numFmt w:val="bullet"/>
      <w:lvlText w:val="•"/>
      <w:lvlJc w:val="left"/>
      <w:pPr>
        <w:tabs>
          <w:tab w:val="num" w:pos="2160"/>
        </w:tabs>
        <w:ind w:left="2160" w:hanging="360"/>
      </w:pPr>
      <w:rPr>
        <w:rFonts w:ascii="Arial" w:hAnsi="Arial" w:hint="default"/>
      </w:rPr>
    </w:lvl>
    <w:lvl w:ilvl="3" w:tplc="8BE8E4D4" w:tentative="1">
      <w:start w:val="1"/>
      <w:numFmt w:val="bullet"/>
      <w:lvlText w:val="•"/>
      <w:lvlJc w:val="left"/>
      <w:pPr>
        <w:tabs>
          <w:tab w:val="num" w:pos="2880"/>
        </w:tabs>
        <w:ind w:left="2880" w:hanging="360"/>
      </w:pPr>
      <w:rPr>
        <w:rFonts w:ascii="Arial" w:hAnsi="Arial" w:hint="default"/>
      </w:rPr>
    </w:lvl>
    <w:lvl w:ilvl="4" w:tplc="19286CD2" w:tentative="1">
      <w:start w:val="1"/>
      <w:numFmt w:val="bullet"/>
      <w:lvlText w:val="•"/>
      <w:lvlJc w:val="left"/>
      <w:pPr>
        <w:tabs>
          <w:tab w:val="num" w:pos="3600"/>
        </w:tabs>
        <w:ind w:left="3600" w:hanging="360"/>
      </w:pPr>
      <w:rPr>
        <w:rFonts w:ascii="Arial" w:hAnsi="Arial" w:hint="default"/>
      </w:rPr>
    </w:lvl>
    <w:lvl w:ilvl="5" w:tplc="28D4D59C" w:tentative="1">
      <w:start w:val="1"/>
      <w:numFmt w:val="bullet"/>
      <w:lvlText w:val="•"/>
      <w:lvlJc w:val="left"/>
      <w:pPr>
        <w:tabs>
          <w:tab w:val="num" w:pos="4320"/>
        </w:tabs>
        <w:ind w:left="4320" w:hanging="360"/>
      </w:pPr>
      <w:rPr>
        <w:rFonts w:ascii="Arial" w:hAnsi="Arial" w:hint="default"/>
      </w:rPr>
    </w:lvl>
    <w:lvl w:ilvl="6" w:tplc="42C4C080" w:tentative="1">
      <w:start w:val="1"/>
      <w:numFmt w:val="bullet"/>
      <w:lvlText w:val="•"/>
      <w:lvlJc w:val="left"/>
      <w:pPr>
        <w:tabs>
          <w:tab w:val="num" w:pos="5040"/>
        </w:tabs>
        <w:ind w:left="5040" w:hanging="360"/>
      </w:pPr>
      <w:rPr>
        <w:rFonts w:ascii="Arial" w:hAnsi="Arial" w:hint="default"/>
      </w:rPr>
    </w:lvl>
    <w:lvl w:ilvl="7" w:tplc="622EE586" w:tentative="1">
      <w:start w:val="1"/>
      <w:numFmt w:val="bullet"/>
      <w:lvlText w:val="•"/>
      <w:lvlJc w:val="left"/>
      <w:pPr>
        <w:tabs>
          <w:tab w:val="num" w:pos="5760"/>
        </w:tabs>
        <w:ind w:left="5760" w:hanging="360"/>
      </w:pPr>
      <w:rPr>
        <w:rFonts w:ascii="Arial" w:hAnsi="Arial" w:hint="default"/>
      </w:rPr>
    </w:lvl>
    <w:lvl w:ilvl="8" w:tplc="0978A450" w:tentative="1">
      <w:start w:val="1"/>
      <w:numFmt w:val="bullet"/>
      <w:lvlText w:val="•"/>
      <w:lvlJc w:val="left"/>
      <w:pPr>
        <w:tabs>
          <w:tab w:val="num" w:pos="6480"/>
        </w:tabs>
        <w:ind w:left="6480" w:hanging="360"/>
      </w:pPr>
      <w:rPr>
        <w:rFonts w:ascii="Arial" w:hAnsi="Arial" w:hint="default"/>
      </w:rPr>
    </w:lvl>
  </w:abstractNum>
  <w:abstractNum w:abstractNumId="3">
    <w:nsid w:val="68D91C37"/>
    <w:multiLevelType w:val="hybridMultilevel"/>
    <w:tmpl w:val="56348168"/>
    <w:lvl w:ilvl="0" w:tplc="E7AA0572">
      <w:start w:val="1"/>
      <w:numFmt w:val="bullet"/>
      <w:lvlText w:val="•"/>
      <w:lvlJc w:val="left"/>
      <w:pPr>
        <w:tabs>
          <w:tab w:val="num" w:pos="720"/>
        </w:tabs>
        <w:ind w:left="720" w:hanging="360"/>
      </w:pPr>
      <w:rPr>
        <w:rFonts w:ascii="Arial" w:hAnsi="Arial" w:hint="default"/>
      </w:rPr>
    </w:lvl>
    <w:lvl w:ilvl="1" w:tplc="257A051C" w:tentative="1">
      <w:start w:val="1"/>
      <w:numFmt w:val="bullet"/>
      <w:lvlText w:val="•"/>
      <w:lvlJc w:val="left"/>
      <w:pPr>
        <w:tabs>
          <w:tab w:val="num" w:pos="1440"/>
        </w:tabs>
        <w:ind w:left="1440" w:hanging="360"/>
      </w:pPr>
      <w:rPr>
        <w:rFonts w:ascii="Arial" w:hAnsi="Arial" w:hint="default"/>
      </w:rPr>
    </w:lvl>
    <w:lvl w:ilvl="2" w:tplc="7EF4D190" w:tentative="1">
      <w:start w:val="1"/>
      <w:numFmt w:val="bullet"/>
      <w:lvlText w:val="•"/>
      <w:lvlJc w:val="left"/>
      <w:pPr>
        <w:tabs>
          <w:tab w:val="num" w:pos="2160"/>
        </w:tabs>
        <w:ind w:left="2160" w:hanging="360"/>
      </w:pPr>
      <w:rPr>
        <w:rFonts w:ascii="Arial" w:hAnsi="Arial" w:hint="default"/>
      </w:rPr>
    </w:lvl>
    <w:lvl w:ilvl="3" w:tplc="408A3D30" w:tentative="1">
      <w:start w:val="1"/>
      <w:numFmt w:val="bullet"/>
      <w:lvlText w:val="•"/>
      <w:lvlJc w:val="left"/>
      <w:pPr>
        <w:tabs>
          <w:tab w:val="num" w:pos="2880"/>
        </w:tabs>
        <w:ind w:left="2880" w:hanging="360"/>
      </w:pPr>
      <w:rPr>
        <w:rFonts w:ascii="Arial" w:hAnsi="Arial" w:hint="default"/>
      </w:rPr>
    </w:lvl>
    <w:lvl w:ilvl="4" w:tplc="C0FE7EB8" w:tentative="1">
      <w:start w:val="1"/>
      <w:numFmt w:val="bullet"/>
      <w:lvlText w:val="•"/>
      <w:lvlJc w:val="left"/>
      <w:pPr>
        <w:tabs>
          <w:tab w:val="num" w:pos="3600"/>
        </w:tabs>
        <w:ind w:left="3600" w:hanging="360"/>
      </w:pPr>
      <w:rPr>
        <w:rFonts w:ascii="Arial" w:hAnsi="Arial" w:hint="default"/>
      </w:rPr>
    </w:lvl>
    <w:lvl w:ilvl="5" w:tplc="F1562FDC" w:tentative="1">
      <w:start w:val="1"/>
      <w:numFmt w:val="bullet"/>
      <w:lvlText w:val="•"/>
      <w:lvlJc w:val="left"/>
      <w:pPr>
        <w:tabs>
          <w:tab w:val="num" w:pos="4320"/>
        </w:tabs>
        <w:ind w:left="4320" w:hanging="360"/>
      </w:pPr>
      <w:rPr>
        <w:rFonts w:ascii="Arial" w:hAnsi="Arial" w:hint="default"/>
      </w:rPr>
    </w:lvl>
    <w:lvl w:ilvl="6" w:tplc="94341CFE" w:tentative="1">
      <w:start w:val="1"/>
      <w:numFmt w:val="bullet"/>
      <w:lvlText w:val="•"/>
      <w:lvlJc w:val="left"/>
      <w:pPr>
        <w:tabs>
          <w:tab w:val="num" w:pos="5040"/>
        </w:tabs>
        <w:ind w:left="5040" w:hanging="360"/>
      </w:pPr>
      <w:rPr>
        <w:rFonts w:ascii="Arial" w:hAnsi="Arial" w:hint="default"/>
      </w:rPr>
    </w:lvl>
    <w:lvl w:ilvl="7" w:tplc="95BE363A" w:tentative="1">
      <w:start w:val="1"/>
      <w:numFmt w:val="bullet"/>
      <w:lvlText w:val="•"/>
      <w:lvlJc w:val="left"/>
      <w:pPr>
        <w:tabs>
          <w:tab w:val="num" w:pos="5760"/>
        </w:tabs>
        <w:ind w:left="5760" w:hanging="360"/>
      </w:pPr>
      <w:rPr>
        <w:rFonts w:ascii="Arial" w:hAnsi="Arial" w:hint="default"/>
      </w:rPr>
    </w:lvl>
    <w:lvl w:ilvl="8" w:tplc="D0BEC5C2" w:tentative="1">
      <w:start w:val="1"/>
      <w:numFmt w:val="bullet"/>
      <w:lvlText w:val="•"/>
      <w:lvlJc w:val="left"/>
      <w:pPr>
        <w:tabs>
          <w:tab w:val="num" w:pos="6480"/>
        </w:tabs>
        <w:ind w:left="6480" w:hanging="360"/>
      </w:pPr>
      <w:rPr>
        <w:rFonts w:ascii="Arial" w:hAnsi="Arial" w:hint="default"/>
      </w:rPr>
    </w:lvl>
  </w:abstractNum>
  <w:abstractNum w:abstractNumId="4">
    <w:nsid w:val="7E2532FD"/>
    <w:multiLevelType w:val="hybridMultilevel"/>
    <w:tmpl w:val="B11E7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C12"/>
    <w:rsid w:val="000118A8"/>
    <w:rsid w:val="00055B38"/>
    <w:rsid w:val="00056270"/>
    <w:rsid w:val="00065EC3"/>
    <w:rsid w:val="00072753"/>
    <w:rsid w:val="000812DC"/>
    <w:rsid w:val="000A1FC8"/>
    <w:rsid w:val="000C650B"/>
    <w:rsid w:val="000E7FEE"/>
    <w:rsid w:val="000F60A7"/>
    <w:rsid w:val="0011273B"/>
    <w:rsid w:val="00112EE5"/>
    <w:rsid w:val="00146A1B"/>
    <w:rsid w:val="00147451"/>
    <w:rsid w:val="00166DCD"/>
    <w:rsid w:val="001A66B0"/>
    <w:rsid w:val="001B72E4"/>
    <w:rsid w:val="001E2A6C"/>
    <w:rsid w:val="001E58BB"/>
    <w:rsid w:val="00220444"/>
    <w:rsid w:val="00242C4C"/>
    <w:rsid w:val="002569BF"/>
    <w:rsid w:val="00274431"/>
    <w:rsid w:val="00283F94"/>
    <w:rsid w:val="00296991"/>
    <w:rsid w:val="002E6740"/>
    <w:rsid w:val="002E7E35"/>
    <w:rsid w:val="002F121F"/>
    <w:rsid w:val="002F5CBA"/>
    <w:rsid w:val="00301602"/>
    <w:rsid w:val="0033140F"/>
    <w:rsid w:val="00343FD0"/>
    <w:rsid w:val="00347843"/>
    <w:rsid w:val="003611B7"/>
    <w:rsid w:val="003639C3"/>
    <w:rsid w:val="003A56C6"/>
    <w:rsid w:val="003B3E2A"/>
    <w:rsid w:val="003E4ACC"/>
    <w:rsid w:val="003E644D"/>
    <w:rsid w:val="003E66A7"/>
    <w:rsid w:val="003F10B2"/>
    <w:rsid w:val="0044303F"/>
    <w:rsid w:val="00495FF2"/>
    <w:rsid w:val="004B35DE"/>
    <w:rsid w:val="004B4383"/>
    <w:rsid w:val="004D4C12"/>
    <w:rsid w:val="005026D1"/>
    <w:rsid w:val="00503D46"/>
    <w:rsid w:val="00527500"/>
    <w:rsid w:val="00535897"/>
    <w:rsid w:val="005526A1"/>
    <w:rsid w:val="00553269"/>
    <w:rsid w:val="00561B2F"/>
    <w:rsid w:val="00584238"/>
    <w:rsid w:val="00587F68"/>
    <w:rsid w:val="0059570B"/>
    <w:rsid w:val="005F63A9"/>
    <w:rsid w:val="006100B5"/>
    <w:rsid w:val="00625E4B"/>
    <w:rsid w:val="00630F3D"/>
    <w:rsid w:val="00634185"/>
    <w:rsid w:val="00646CE3"/>
    <w:rsid w:val="00663C6B"/>
    <w:rsid w:val="006B0EC9"/>
    <w:rsid w:val="0070200A"/>
    <w:rsid w:val="007516A3"/>
    <w:rsid w:val="00767514"/>
    <w:rsid w:val="007B29A1"/>
    <w:rsid w:val="007C4285"/>
    <w:rsid w:val="007C7314"/>
    <w:rsid w:val="007D0AF0"/>
    <w:rsid w:val="007D6351"/>
    <w:rsid w:val="007E2787"/>
    <w:rsid w:val="007E281E"/>
    <w:rsid w:val="007F2E37"/>
    <w:rsid w:val="007F4A74"/>
    <w:rsid w:val="00825A9B"/>
    <w:rsid w:val="0084344C"/>
    <w:rsid w:val="008571FE"/>
    <w:rsid w:val="00890A94"/>
    <w:rsid w:val="008C345B"/>
    <w:rsid w:val="008F2D58"/>
    <w:rsid w:val="008F6438"/>
    <w:rsid w:val="009008FA"/>
    <w:rsid w:val="009B6223"/>
    <w:rsid w:val="009C2FD9"/>
    <w:rsid w:val="009D3566"/>
    <w:rsid w:val="009E078A"/>
    <w:rsid w:val="009F24F1"/>
    <w:rsid w:val="00A015A9"/>
    <w:rsid w:val="00A03BEE"/>
    <w:rsid w:val="00A11FD0"/>
    <w:rsid w:val="00A30FCA"/>
    <w:rsid w:val="00A36343"/>
    <w:rsid w:val="00A53BC5"/>
    <w:rsid w:val="00A64983"/>
    <w:rsid w:val="00A75B1D"/>
    <w:rsid w:val="00AB2B4B"/>
    <w:rsid w:val="00AB5398"/>
    <w:rsid w:val="00AC4FF1"/>
    <w:rsid w:val="00AD5C36"/>
    <w:rsid w:val="00AE2198"/>
    <w:rsid w:val="00B34398"/>
    <w:rsid w:val="00B54A72"/>
    <w:rsid w:val="00B731B2"/>
    <w:rsid w:val="00BC6C08"/>
    <w:rsid w:val="00BD216C"/>
    <w:rsid w:val="00BE1189"/>
    <w:rsid w:val="00C1103F"/>
    <w:rsid w:val="00C14F7F"/>
    <w:rsid w:val="00CB1698"/>
    <w:rsid w:val="00D00805"/>
    <w:rsid w:val="00D53025"/>
    <w:rsid w:val="00D61D65"/>
    <w:rsid w:val="00D76D2B"/>
    <w:rsid w:val="00D966AB"/>
    <w:rsid w:val="00DB3F97"/>
    <w:rsid w:val="00DF34B6"/>
    <w:rsid w:val="00E267B5"/>
    <w:rsid w:val="00E42913"/>
    <w:rsid w:val="00E4455B"/>
    <w:rsid w:val="00E55ECE"/>
    <w:rsid w:val="00EB40C9"/>
    <w:rsid w:val="00EC515D"/>
    <w:rsid w:val="00EC5189"/>
    <w:rsid w:val="00ED0485"/>
    <w:rsid w:val="00F26140"/>
    <w:rsid w:val="00F92288"/>
    <w:rsid w:val="00FD0DD7"/>
    <w:rsid w:val="00FD30E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EAB9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3C6B"/>
    <w:pPr>
      <w:ind w:left="720"/>
      <w:contextualSpacing/>
    </w:pPr>
  </w:style>
  <w:style w:type="character" w:styleId="Hyperlink">
    <w:name w:val="Hyperlink"/>
    <w:basedOn w:val="DefaultParagraphFont"/>
    <w:uiPriority w:val="99"/>
    <w:unhideWhenUsed/>
    <w:rsid w:val="00584238"/>
    <w:rPr>
      <w:color w:val="0000FF" w:themeColor="hyperlink"/>
      <w:u w:val="single"/>
    </w:rPr>
  </w:style>
  <w:style w:type="paragraph" w:styleId="Footer">
    <w:name w:val="footer"/>
    <w:basedOn w:val="Normal"/>
    <w:link w:val="FooterChar"/>
    <w:uiPriority w:val="99"/>
    <w:unhideWhenUsed/>
    <w:rsid w:val="002E7E35"/>
    <w:pPr>
      <w:tabs>
        <w:tab w:val="center" w:pos="4320"/>
        <w:tab w:val="right" w:pos="8640"/>
      </w:tabs>
    </w:pPr>
  </w:style>
  <w:style w:type="character" w:customStyle="1" w:styleId="FooterChar">
    <w:name w:val="Footer Char"/>
    <w:basedOn w:val="DefaultParagraphFont"/>
    <w:link w:val="Footer"/>
    <w:uiPriority w:val="99"/>
    <w:rsid w:val="002E7E35"/>
  </w:style>
  <w:style w:type="character" w:styleId="PageNumber">
    <w:name w:val="page number"/>
    <w:basedOn w:val="DefaultParagraphFont"/>
    <w:uiPriority w:val="99"/>
    <w:semiHidden/>
    <w:unhideWhenUsed/>
    <w:rsid w:val="002E7E35"/>
  </w:style>
  <w:style w:type="table" w:styleId="TableGrid">
    <w:name w:val="Table Grid"/>
    <w:basedOn w:val="TableNormal"/>
    <w:uiPriority w:val="59"/>
    <w:rsid w:val="00A363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DF34B6"/>
    <w:rPr>
      <w:sz w:val="16"/>
      <w:szCs w:val="16"/>
    </w:rPr>
  </w:style>
  <w:style w:type="paragraph" w:styleId="CommentText">
    <w:name w:val="annotation text"/>
    <w:basedOn w:val="Normal"/>
    <w:link w:val="CommentTextChar"/>
    <w:uiPriority w:val="99"/>
    <w:semiHidden/>
    <w:unhideWhenUsed/>
    <w:rsid w:val="00DF34B6"/>
    <w:rPr>
      <w:sz w:val="20"/>
      <w:szCs w:val="20"/>
    </w:rPr>
  </w:style>
  <w:style w:type="character" w:customStyle="1" w:styleId="CommentTextChar">
    <w:name w:val="Comment Text Char"/>
    <w:basedOn w:val="DefaultParagraphFont"/>
    <w:link w:val="CommentText"/>
    <w:uiPriority w:val="99"/>
    <w:semiHidden/>
    <w:rsid w:val="00DF34B6"/>
    <w:rPr>
      <w:sz w:val="20"/>
      <w:szCs w:val="20"/>
    </w:rPr>
  </w:style>
  <w:style w:type="paragraph" w:styleId="CommentSubject">
    <w:name w:val="annotation subject"/>
    <w:basedOn w:val="CommentText"/>
    <w:next w:val="CommentText"/>
    <w:link w:val="CommentSubjectChar"/>
    <w:uiPriority w:val="99"/>
    <w:semiHidden/>
    <w:unhideWhenUsed/>
    <w:rsid w:val="00DF34B6"/>
    <w:rPr>
      <w:b/>
      <w:bCs/>
    </w:rPr>
  </w:style>
  <w:style w:type="character" w:customStyle="1" w:styleId="CommentSubjectChar">
    <w:name w:val="Comment Subject Char"/>
    <w:basedOn w:val="CommentTextChar"/>
    <w:link w:val="CommentSubject"/>
    <w:uiPriority w:val="99"/>
    <w:semiHidden/>
    <w:rsid w:val="00DF34B6"/>
    <w:rPr>
      <w:b/>
      <w:bCs/>
      <w:sz w:val="20"/>
      <w:szCs w:val="20"/>
    </w:rPr>
  </w:style>
  <w:style w:type="paragraph" w:styleId="BalloonText">
    <w:name w:val="Balloon Text"/>
    <w:basedOn w:val="Normal"/>
    <w:link w:val="BalloonTextChar"/>
    <w:uiPriority w:val="99"/>
    <w:semiHidden/>
    <w:unhideWhenUsed/>
    <w:rsid w:val="00DF34B6"/>
    <w:rPr>
      <w:rFonts w:ascii="Tahoma" w:hAnsi="Tahoma" w:cs="Tahoma"/>
      <w:sz w:val="16"/>
      <w:szCs w:val="16"/>
    </w:rPr>
  </w:style>
  <w:style w:type="character" w:customStyle="1" w:styleId="BalloonTextChar">
    <w:name w:val="Balloon Text Char"/>
    <w:basedOn w:val="DefaultParagraphFont"/>
    <w:link w:val="BalloonText"/>
    <w:uiPriority w:val="99"/>
    <w:semiHidden/>
    <w:rsid w:val="00DF34B6"/>
    <w:rPr>
      <w:rFonts w:ascii="Tahoma" w:hAnsi="Tahoma" w:cs="Tahoma"/>
      <w:sz w:val="16"/>
      <w:szCs w:val="16"/>
    </w:rPr>
  </w:style>
  <w:style w:type="character" w:styleId="FollowedHyperlink">
    <w:name w:val="FollowedHyperlink"/>
    <w:basedOn w:val="DefaultParagraphFont"/>
    <w:uiPriority w:val="99"/>
    <w:semiHidden/>
    <w:unhideWhenUsed/>
    <w:rsid w:val="00343FD0"/>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3C6B"/>
    <w:pPr>
      <w:ind w:left="720"/>
      <w:contextualSpacing/>
    </w:pPr>
  </w:style>
  <w:style w:type="character" w:styleId="Hyperlink">
    <w:name w:val="Hyperlink"/>
    <w:basedOn w:val="DefaultParagraphFont"/>
    <w:uiPriority w:val="99"/>
    <w:unhideWhenUsed/>
    <w:rsid w:val="00584238"/>
    <w:rPr>
      <w:color w:val="0000FF" w:themeColor="hyperlink"/>
      <w:u w:val="single"/>
    </w:rPr>
  </w:style>
  <w:style w:type="paragraph" w:styleId="Footer">
    <w:name w:val="footer"/>
    <w:basedOn w:val="Normal"/>
    <w:link w:val="FooterChar"/>
    <w:uiPriority w:val="99"/>
    <w:unhideWhenUsed/>
    <w:rsid w:val="002E7E35"/>
    <w:pPr>
      <w:tabs>
        <w:tab w:val="center" w:pos="4320"/>
        <w:tab w:val="right" w:pos="8640"/>
      </w:tabs>
    </w:pPr>
  </w:style>
  <w:style w:type="character" w:customStyle="1" w:styleId="FooterChar">
    <w:name w:val="Footer Char"/>
    <w:basedOn w:val="DefaultParagraphFont"/>
    <w:link w:val="Footer"/>
    <w:uiPriority w:val="99"/>
    <w:rsid w:val="002E7E35"/>
  </w:style>
  <w:style w:type="character" w:styleId="PageNumber">
    <w:name w:val="page number"/>
    <w:basedOn w:val="DefaultParagraphFont"/>
    <w:uiPriority w:val="99"/>
    <w:semiHidden/>
    <w:unhideWhenUsed/>
    <w:rsid w:val="002E7E35"/>
  </w:style>
  <w:style w:type="table" w:styleId="TableGrid">
    <w:name w:val="Table Grid"/>
    <w:basedOn w:val="TableNormal"/>
    <w:uiPriority w:val="59"/>
    <w:rsid w:val="00A363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DF34B6"/>
    <w:rPr>
      <w:sz w:val="16"/>
      <w:szCs w:val="16"/>
    </w:rPr>
  </w:style>
  <w:style w:type="paragraph" w:styleId="CommentText">
    <w:name w:val="annotation text"/>
    <w:basedOn w:val="Normal"/>
    <w:link w:val="CommentTextChar"/>
    <w:uiPriority w:val="99"/>
    <w:semiHidden/>
    <w:unhideWhenUsed/>
    <w:rsid w:val="00DF34B6"/>
    <w:rPr>
      <w:sz w:val="20"/>
      <w:szCs w:val="20"/>
    </w:rPr>
  </w:style>
  <w:style w:type="character" w:customStyle="1" w:styleId="CommentTextChar">
    <w:name w:val="Comment Text Char"/>
    <w:basedOn w:val="DefaultParagraphFont"/>
    <w:link w:val="CommentText"/>
    <w:uiPriority w:val="99"/>
    <w:semiHidden/>
    <w:rsid w:val="00DF34B6"/>
    <w:rPr>
      <w:sz w:val="20"/>
      <w:szCs w:val="20"/>
    </w:rPr>
  </w:style>
  <w:style w:type="paragraph" w:styleId="CommentSubject">
    <w:name w:val="annotation subject"/>
    <w:basedOn w:val="CommentText"/>
    <w:next w:val="CommentText"/>
    <w:link w:val="CommentSubjectChar"/>
    <w:uiPriority w:val="99"/>
    <w:semiHidden/>
    <w:unhideWhenUsed/>
    <w:rsid w:val="00DF34B6"/>
    <w:rPr>
      <w:b/>
      <w:bCs/>
    </w:rPr>
  </w:style>
  <w:style w:type="character" w:customStyle="1" w:styleId="CommentSubjectChar">
    <w:name w:val="Comment Subject Char"/>
    <w:basedOn w:val="CommentTextChar"/>
    <w:link w:val="CommentSubject"/>
    <w:uiPriority w:val="99"/>
    <w:semiHidden/>
    <w:rsid w:val="00DF34B6"/>
    <w:rPr>
      <w:b/>
      <w:bCs/>
      <w:sz w:val="20"/>
      <w:szCs w:val="20"/>
    </w:rPr>
  </w:style>
  <w:style w:type="paragraph" w:styleId="BalloonText">
    <w:name w:val="Balloon Text"/>
    <w:basedOn w:val="Normal"/>
    <w:link w:val="BalloonTextChar"/>
    <w:uiPriority w:val="99"/>
    <w:semiHidden/>
    <w:unhideWhenUsed/>
    <w:rsid w:val="00DF34B6"/>
    <w:rPr>
      <w:rFonts w:ascii="Tahoma" w:hAnsi="Tahoma" w:cs="Tahoma"/>
      <w:sz w:val="16"/>
      <w:szCs w:val="16"/>
    </w:rPr>
  </w:style>
  <w:style w:type="character" w:customStyle="1" w:styleId="BalloonTextChar">
    <w:name w:val="Balloon Text Char"/>
    <w:basedOn w:val="DefaultParagraphFont"/>
    <w:link w:val="BalloonText"/>
    <w:uiPriority w:val="99"/>
    <w:semiHidden/>
    <w:rsid w:val="00DF34B6"/>
    <w:rPr>
      <w:rFonts w:ascii="Tahoma" w:hAnsi="Tahoma" w:cs="Tahoma"/>
      <w:sz w:val="16"/>
      <w:szCs w:val="16"/>
    </w:rPr>
  </w:style>
  <w:style w:type="character" w:styleId="FollowedHyperlink">
    <w:name w:val="FollowedHyperlink"/>
    <w:basedOn w:val="DefaultParagraphFont"/>
    <w:uiPriority w:val="99"/>
    <w:semiHidden/>
    <w:unhideWhenUsed/>
    <w:rsid w:val="00343FD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402107">
      <w:bodyDiv w:val="1"/>
      <w:marLeft w:val="0"/>
      <w:marRight w:val="0"/>
      <w:marTop w:val="0"/>
      <w:marBottom w:val="0"/>
      <w:divBdr>
        <w:top w:val="none" w:sz="0" w:space="0" w:color="auto"/>
        <w:left w:val="none" w:sz="0" w:space="0" w:color="auto"/>
        <w:bottom w:val="none" w:sz="0" w:space="0" w:color="auto"/>
        <w:right w:val="none" w:sz="0" w:space="0" w:color="auto"/>
      </w:divBdr>
      <w:divsChild>
        <w:div w:id="651444595">
          <w:marLeft w:val="547"/>
          <w:marRight w:val="0"/>
          <w:marTop w:val="96"/>
          <w:marBottom w:val="0"/>
          <w:divBdr>
            <w:top w:val="none" w:sz="0" w:space="0" w:color="auto"/>
            <w:left w:val="none" w:sz="0" w:space="0" w:color="auto"/>
            <w:bottom w:val="none" w:sz="0" w:space="0" w:color="auto"/>
            <w:right w:val="none" w:sz="0" w:space="0" w:color="auto"/>
          </w:divBdr>
        </w:div>
        <w:div w:id="794182537">
          <w:marLeft w:val="547"/>
          <w:marRight w:val="0"/>
          <w:marTop w:val="96"/>
          <w:marBottom w:val="0"/>
          <w:divBdr>
            <w:top w:val="none" w:sz="0" w:space="0" w:color="auto"/>
            <w:left w:val="none" w:sz="0" w:space="0" w:color="auto"/>
            <w:bottom w:val="none" w:sz="0" w:space="0" w:color="auto"/>
            <w:right w:val="none" w:sz="0" w:space="0" w:color="auto"/>
          </w:divBdr>
        </w:div>
        <w:div w:id="247035022">
          <w:marLeft w:val="547"/>
          <w:marRight w:val="0"/>
          <w:marTop w:val="96"/>
          <w:marBottom w:val="0"/>
          <w:divBdr>
            <w:top w:val="none" w:sz="0" w:space="0" w:color="auto"/>
            <w:left w:val="none" w:sz="0" w:space="0" w:color="auto"/>
            <w:bottom w:val="none" w:sz="0" w:space="0" w:color="auto"/>
            <w:right w:val="none" w:sz="0" w:space="0" w:color="auto"/>
          </w:divBdr>
        </w:div>
        <w:div w:id="1185754319">
          <w:marLeft w:val="547"/>
          <w:marRight w:val="0"/>
          <w:marTop w:val="96"/>
          <w:marBottom w:val="0"/>
          <w:divBdr>
            <w:top w:val="none" w:sz="0" w:space="0" w:color="auto"/>
            <w:left w:val="none" w:sz="0" w:space="0" w:color="auto"/>
            <w:bottom w:val="none" w:sz="0" w:space="0" w:color="auto"/>
            <w:right w:val="none" w:sz="0" w:space="0" w:color="auto"/>
          </w:divBdr>
        </w:div>
      </w:divsChild>
    </w:div>
    <w:div w:id="163784984">
      <w:bodyDiv w:val="1"/>
      <w:marLeft w:val="0"/>
      <w:marRight w:val="0"/>
      <w:marTop w:val="0"/>
      <w:marBottom w:val="0"/>
      <w:divBdr>
        <w:top w:val="none" w:sz="0" w:space="0" w:color="auto"/>
        <w:left w:val="none" w:sz="0" w:space="0" w:color="auto"/>
        <w:bottom w:val="none" w:sz="0" w:space="0" w:color="auto"/>
        <w:right w:val="none" w:sz="0" w:space="0" w:color="auto"/>
      </w:divBdr>
    </w:div>
    <w:div w:id="169762473">
      <w:bodyDiv w:val="1"/>
      <w:marLeft w:val="0"/>
      <w:marRight w:val="0"/>
      <w:marTop w:val="0"/>
      <w:marBottom w:val="0"/>
      <w:divBdr>
        <w:top w:val="none" w:sz="0" w:space="0" w:color="auto"/>
        <w:left w:val="none" w:sz="0" w:space="0" w:color="auto"/>
        <w:bottom w:val="none" w:sz="0" w:space="0" w:color="auto"/>
        <w:right w:val="none" w:sz="0" w:space="0" w:color="auto"/>
      </w:divBdr>
    </w:div>
    <w:div w:id="262349432">
      <w:bodyDiv w:val="1"/>
      <w:marLeft w:val="0"/>
      <w:marRight w:val="0"/>
      <w:marTop w:val="0"/>
      <w:marBottom w:val="0"/>
      <w:divBdr>
        <w:top w:val="none" w:sz="0" w:space="0" w:color="auto"/>
        <w:left w:val="none" w:sz="0" w:space="0" w:color="auto"/>
        <w:bottom w:val="none" w:sz="0" w:space="0" w:color="auto"/>
        <w:right w:val="none" w:sz="0" w:space="0" w:color="auto"/>
      </w:divBdr>
    </w:div>
    <w:div w:id="731661432">
      <w:bodyDiv w:val="1"/>
      <w:marLeft w:val="0"/>
      <w:marRight w:val="0"/>
      <w:marTop w:val="0"/>
      <w:marBottom w:val="0"/>
      <w:divBdr>
        <w:top w:val="none" w:sz="0" w:space="0" w:color="auto"/>
        <w:left w:val="none" w:sz="0" w:space="0" w:color="auto"/>
        <w:bottom w:val="none" w:sz="0" w:space="0" w:color="auto"/>
        <w:right w:val="none" w:sz="0" w:space="0" w:color="auto"/>
      </w:divBdr>
      <w:divsChild>
        <w:div w:id="1448086780">
          <w:marLeft w:val="547"/>
          <w:marRight w:val="0"/>
          <w:marTop w:val="0"/>
          <w:marBottom w:val="240"/>
          <w:divBdr>
            <w:top w:val="none" w:sz="0" w:space="0" w:color="auto"/>
            <w:left w:val="none" w:sz="0" w:space="0" w:color="auto"/>
            <w:bottom w:val="none" w:sz="0" w:space="0" w:color="auto"/>
            <w:right w:val="none" w:sz="0" w:space="0" w:color="auto"/>
          </w:divBdr>
        </w:div>
        <w:div w:id="909659649">
          <w:marLeft w:val="547"/>
          <w:marRight w:val="0"/>
          <w:marTop w:val="0"/>
          <w:marBottom w:val="240"/>
          <w:divBdr>
            <w:top w:val="none" w:sz="0" w:space="0" w:color="auto"/>
            <w:left w:val="none" w:sz="0" w:space="0" w:color="auto"/>
            <w:bottom w:val="none" w:sz="0" w:space="0" w:color="auto"/>
            <w:right w:val="none" w:sz="0" w:space="0" w:color="auto"/>
          </w:divBdr>
        </w:div>
      </w:divsChild>
    </w:div>
    <w:div w:id="755636189">
      <w:bodyDiv w:val="1"/>
      <w:marLeft w:val="0"/>
      <w:marRight w:val="0"/>
      <w:marTop w:val="0"/>
      <w:marBottom w:val="0"/>
      <w:divBdr>
        <w:top w:val="none" w:sz="0" w:space="0" w:color="auto"/>
        <w:left w:val="none" w:sz="0" w:space="0" w:color="auto"/>
        <w:bottom w:val="none" w:sz="0" w:space="0" w:color="auto"/>
        <w:right w:val="none" w:sz="0" w:space="0" w:color="auto"/>
      </w:divBdr>
    </w:div>
    <w:div w:id="860776064">
      <w:bodyDiv w:val="1"/>
      <w:marLeft w:val="0"/>
      <w:marRight w:val="0"/>
      <w:marTop w:val="0"/>
      <w:marBottom w:val="0"/>
      <w:divBdr>
        <w:top w:val="none" w:sz="0" w:space="0" w:color="auto"/>
        <w:left w:val="none" w:sz="0" w:space="0" w:color="auto"/>
        <w:bottom w:val="none" w:sz="0" w:space="0" w:color="auto"/>
        <w:right w:val="none" w:sz="0" w:space="0" w:color="auto"/>
      </w:divBdr>
      <w:divsChild>
        <w:div w:id="64035029">
          <w:marLeft w:val="547"/>
          <w:marRight w:val="0"/>
          <w:marTop w:val="96"/>
          <w:marBottom w:val="0"/>
          <w:divBdr>
            <w:top w:val="none" w:sz="0" w:space="0" w:color="auto"/>
            <w:left w:val="none" w:sz="0" w:space="0" w:color="auto"/>
            <w:bottom w:val="none" w:sz="0" w:space="0" w:color="auto"/>
            <w:right w:val="none" w:sz="0" w:space="0" w:color="auto"/>
          </w:divBdr>
        </w:div>
      </w:divsChild>
    </w:div>
    <w:div w:id="1030226101">
      <w:bodyDiv w:val="1"/>
      <w:marLeft w:val="0"/>
      <w:marRight w:val="0"/>
      <w:marTop w:val="0"/>
      <w:marBottom w:val="0"/>
      <w:divBdr>
        <w:top w:val="none" w:sz="0" w:space="0" w:color="auto"/>
        <w:left w:val="none" w:sz="0" w:space="0" w:color="auto"/>
        <w:bottom w:val="none" w:sz="0" w:space="0" w:color="auto"/>
        <w:right w:val="none" w:sz="0" w:space="0" w:color="auto"/>
      </w:divBdr>
    </w:div>
    <w:div w:id="1427652658">
      <w:bodyDiv w:val="1"/>
      <w:marLeft w:val="0"/>
      <w:marRight w:val="0"/>
      <w:marTop w:val="0"/>
      <w:marBottom w:val="0"/>
      <w:divBdr>
        <w:top w:val="none" w:sz="0" w:space="0" w:color="auto"/>
        <w:left w:val="none" w:sz="0" w:space="0" w:color="auto"/>
        <w:bottom w:val="none" w:sz="0" w:space="0" w:color="auto"/>
        <w:right w:val="none" w:sz="0" w:space="0" w:color="auto"/>
      </w:divBdr>
    </w:div>
    <w:div w:id="177323940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community.icann.org/display/CMG/3.++WG+Charter" TargetMode="External"/><Relationship Id="rId12" Type="http://schemas.openxmlformats.org/officeDocument/2006/relationships/hyperlink" Target="http://www.icmregistry.com/about/sponsored-community/" TargetMode="Externa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icann.org/en/documents/affirmation-of-commitments-30sep09-en.htm" TargetMode="External"/><Relationship Id="rId9" Type="http://schemas.openxmlformats.org/officeDocument/2006/relationships/hyperlink" Target="http://www.icann.org/en/minutes/resolutions-10dec10-en.htm" TargetMode="External"/><Relationship Id="rId10" Type="http://schemas.openxmlformats.org/officeDocument/2006/relationships/hyperlink" Target="https://community.icann.org/download/attachments/28903722/Consumer+Choice%2C+Competition+and+Innovation+Working+Group+%28CCI%29+Working+Group+Charter.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13</Pages>
  <Words>4350</Words>
  <Characters>23756</Characters>
  <Application>Microsoft Macintosh Word</Application>
  <DocSecurity>0</DocSecurity>
  <Lines>879</Lines>
  <Paragraphs>425</Paragraphs>
  <ScaleCrop>false</ScaleCrop>
  <HeadingPairs>
    <vt:vector size="2" baseType="variant">
      <vt:variant>
        <vt:lpstr>Title</vt:lpstr>
      </vt:variant>
      <vt:variant>
        <vt:i4>1</vt:i4>
      </vt:variant>
    </vt:vector>
  </HeadingPairs>
  <TitlesOfParts>
    <vt:vector size="1" baseType="lpstr">
      <vt:lpstr/>
    </vt:vector>
  </TitlesOfParts>
  <Manager/>
  <Company>NetChoice</Company>
  <LinksUpToDate>false</LinksUpToDate>
  <CharactersWithSpaces>27681</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DelBianco</dc:creator>
  <cp:keywords/>
  <dc:description/>
  <cp:lastModifiedBy>Steve DelBianco</cp:lastModifiedBy>
  <cp:revision>5</cp:revision>
  <cp:lastPrinted>2012-02-15T14:17:00Z</cp:lastPrinted>
  <dcterms:created xsi:type="dcterms:W3CDTF">2012-02-15T13:32:00Z</dcterms:created>
  <dcterms:modified xsi:type="dcterms:W3CDTF">2012-02-15T15:56:00Z</dcterms:modified>
  <cp:category/>
</cp:coreProperties>
</file>