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82FFB" w14:textId="4D446330" w:rsidR="00112967" w:rsidRDefault="00D61615" w:rsidP="004A7660">
      <w:pPr>
        <w:rPr>
          <w:b/>
        </w:rPr>
        <w:sectPr w:rsidR="00112967" w:rsidSect="002579A6">
          <w:footerReference w:type="even" r:id="rId9"/>
          <w:footerReference w:type="default" r:id="rId10"/>
          <w:footerReference w:type="first" r:id="rId11"/>
          <w:pgSz w:w="12240" w:h="15840"/>
          <w:pgMar w:top="1080" w:right="1008" w:bottom="720" w:left="1008" w:header="720" w:footer="720" w:gutter="0"/>
          <w:pgNumType w:start="1"/>
          <w:cols w:space="720"/>
          <w:rtlGutter/>
          <w:docGrid w:linePitch="360"/>
        </w:sectPr>
      </w:pPr>
      <w:bookmarkStart w:id="0" w:name="_GoBack"/>
      <w:bookmarkEnd w:id="0"/>
      <w:r>
        <w:rPr>
          <w:noProof/>
          <w:sz w:val="28"/>
        </w:rPr>
        <mc:AlternateContent>
          <mc:Choice Requires="wps">
            <w:drawing>
              <wp:anchor distT="0" distB="0" distL="114300" distR="114300" simplePos="0" relativeHeight="251658240" behindDoc="0" locked="0" layoutInCell="1" allowOverlap="1" wp14:anchorId="4D9A3D36" wp14:editId="38ED827A">
                <wp:simplePos x="0" y="0"/>
                <wp:positionH relativeFrom="column">
                  <wp:posOffset>1676400</wp:posOffset>
                </wp:positionH>
                <wp:positionV relativeFrom="paragraph">
                  <wp:posOffset>1714500</wp:posOffset>
                </wp:positionV>
                <wp:extent cx="4540250" cy="475488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0" cy="475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A30B4" w14:textId="77777777" w:rsidR="00C45BB3" w:rsidRDefault="00C45BB3" w:rsidP="004A7660">
                            <w:pPr>
                              <w:rPr>
                                <w:rFonts w:ascii="Arial Rounded MT Bold" w:hAnsi="Arial Rounded MT Bold"/>
                                <w:sz w:val="48"/>
                                <w:szCs w:val="48"/>
                              </w:rPr>
                            </w:pPr>
                            <w:r w:rsidRPr="005470A2">
                              <w:rPr>
                                <w:rFonts w:ascii="Arial Rounded MT Bold" w:hAnsi="Arial Rounded MT Bold"/>
                                <w:sz w:val="48"/>
                                <w:szCs w:val="48"/>
                              </w:rPr>
                              <w:t>C</w:t>
                            </w:r>
                            <w:r>
                              <w:rPr>
                                <w:rFonts w:ascii="Arial Rounded MT Bold" w:hAnsi="Arial Rounded MT Bold"/>
                                <w:sz w:val="48"/>
                                <w:szCs w:val="48"/>
                              </w:rPr>
                              <w:t xml:space="preserve">omments on </w:t>
                            </w:r>
                          </w:p>
                          <w:p w14:paraId="0AB3459C" w14:textId="77777777" w:rsidR="00C45BB3" w:rsidRDefault="00C45BB3" w:rsidP="006F69B4">
                            <w:pPr>
                              <w:rPr>
                                <w:rFonts w:ascii="Arial Rounded MT Bold" w:hAnsi="Arial Rounded MT Bold"/>
                                <w:sz w:val="48"/>
                                <w:szCs w:val="48"/>
                              </w:rPr>
                            </w:pPr>
                            <w:r>
                              <w:rPr>
                                <w:rFonts w:ascii="Arial Rounded MT Bold" w:hAnsi="Arial Rounded MT Bold"/>
                                <w:sz w:val="48"/>
                                <w:szCs w:val="48"/>
                              </w:rPr>
                              <w:t xml:space="preserve">New gTLD </w:t>
                            </w:r>
                          </w:p>
                          <w:p w14:paraId="0015AE35" w14:textId="30BBE9C5" w:rsidR="00C45BB3" w:rsidRDefault="00C45BB3" w:rsidP="006F69B4">
                            <w:pPr>
                              <w:rPr>
                                <w:rFonts w:ascii="Arial Rounded MT Bold" w:hAnsi="Arial Rounded MT Bold"/>
                                <w:sz w:val="48"/>
                                <w:szCs w:val="48"/>
                              </w:rPr>
                            </w:pPr>
                            <w:r>
                              <w:rPr>
                                <w:rFonts w:ascii="Arial Rounded MT Bold" w:hAnsi="Arial Rounded MT Bold"/>
                                <w:sz w:val="48"/>
                                <w:szCs w:val="48"/>
                              </w:rPr>
                              <w:t>Registry Agreement,</w:t>
                            </w:r>
                          </w:p>
                          <w:p w14:paraId="5BED1142" w14:textId="030D532A" w:rsidR="00C45BB3" w:rsidRPr="005470A2" w:rsidRDefault="00C45BB3" w:rsidP="006F69B4">
                            <w:pPr>
                              <w:rPr>
                                <w:rFonts w:ascii="Arial Rounded MT Bold" w:hAnsi="Arial Rounded MT Bold"/>
                                <w:sz w:val="48"/>
                                <w:szCs w:val="48"/>
                              </w:rPr>
                            </w:pPr>
                            <w:r>
                              <w:rPr>
                                <w:rFonts w:ascii="Arial Rounded MT Bold" w:hAnsi="Arial Rounded MT Bold"/>
                                <w:sz w:val="48"/>
                                <w:szCs w:val="48"/>
                              </w:rPr>
                              <w:t>Including Public Interest Commitments Specification</w:t>
                            </w:r>
                          </w:p>
                          <w:p w14:paraId="2BAD4390" w14:textId="2045F1AE" w:rsidR="00C45BB3" w:rsidRPr="005470A2" w:rsidRDefault="00C45BB3" w:rsidP="004A7660">
                            <w:pPr>
                              <w:rPr>
                                <w:rFonts w:ascii="Arial Rounded MT Bold" w:hAnsi="Arial Rounded MT Bold"/>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32pt;margin-top:135pt;width:357.5pt;height:37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" filled="f" stroked="f">
                <v:textbox>
                  <w:txbxContent>
                    <w:p w14:paraId="320A30B4" w14:textId="77777777" w:rsidR="00C45BB3" w:rsidRDefault="00C45BB3" w:rsidP="004A7660">
                      <w:pPr>
                        <w:rPr>
                          <w:rFonts w:ascii="Arial Rounded MT Bold" w:hAnsi="Arial Rounded MT Bold"/>
                          <w:sz w:val="48"/>
                          <w:szCs w:val="48"/>
                        </w:rPr>
                      </w:pPr>
                      <w:r w:rsidRPr="005470A2">
                        <w:rPr>
                          <w:rFonts w:ascii="Arial Rounded MT Bold" w:hAnsi="Arial Rounded MT Bold"/>
                          <w:sz w:val="48"/>
                          <w:szCs w:val="48"/>
                        </w:rPr>
                        <w:t>C</w:t>
                      </w:r>
                      <w:r>
                        <w:rPr>
                          <w:rFonts w:ascii="Arial Rounded MT Bold" w:hAnsi="Arial Rounded MT Bold"/>
                          <w:sz w:val="48"/>
                          <w:szCs w:val="48"/>
                        </w:rPr>
                        <w:t xml:space="preserve">omments on </w:t>
                      </w:r>
                    </w:p>
                    <w:p w14:paraId="0AB3459C" w14:textId="77777777" w:rsidR="00C45BB3" w:rsidRDefault="00C45BB3" w:rsidP="006F69B4">
                      <w:pPr>
                        <w:rPr>
                          <w:rFonts w:ascii="Arial Rounded MT Bold" w:hAnsi="Arial Rounded MT Bold"/>
                          <w:sz w:val="48"/>
                          <w:szCs w:val="48"/>
                        </w:rPr>
                      </w:pPr>
                      <w:r>
                        <w:rPr>
                          <w:rFonts w:ascii="Arial Rounded MT Bold" w:hAnsi="Arial Rounded MT Bold"/>
                          <w:sz w:val="48"/>
                          <w:szCs w:val="48"/>
                        </w:rPr>
                        <w:t xml:space="preserve">New gTLD </w:t>
                      </w:r>
                    </w:p>
                    <w:p w14:paraId="0015AE35" w14:textId="30BBE9C5" w:rsidR="00C45BB3" w:rsidRDefault="00C45BB3" w:rsidP="006F69B4">
                      <w:pPr>
                        <w:rPr>
                          <w:rFonts w:ascii="Arial Rounded MT Bold" w:hAnsi="Arial Rounded MT Bold"/>
                          <w:sz w:val="48"/>
                          <w:szCs w:val="48"/>
                        </w:rPr>
                      </w:pPr>
                      <w:r>
                        <w:rPr>
                          <w:rFonts w:ascii="Arial Rounded MT Bold" w:hAnsi="Arial Rounded MT Bold"/>
                          <w:sz w:val="48"/>
                          <w:szCs w:val="48"/>
                        </w:rPr>
                        <w:t>Registry Agreement,</w:t>
                      </w:r>
                    </w:p>
                    <w:p w14:paraId="5BED1142" w14:textId="030D532A" w:rsidR="00C45BB3" w:rsidRPr="005470A2" w:rsidRDefault="00C45BB3" w:rsidP="006F69B4">
                      <w:pPr>
                        <w:rPr>
                          <w:rFonts w:ascii="Arial Rounded MT Bold" w:hAnsi="Arial Rounded MT Bold"/>
                          <w:sz w:val="48"/>
                          <w:szCs w:val="48"/>
                        </w:rPr>
                      </w:pPr>
                      <w:r>
                        <w:rPr>
                          <w:rFonts w:ascii="Arial Rounded MT Bold" w:hAnsi="Arial Rounded MT Bold"/>
                          <w:sz w:val="48"/>
                          <w:szCs w:val="48"/>
                        </w:rPr>
                        <w:t>Including Public Interest Commitments Specification</w:t>
                      </w:r>
                    </w:p>
                    <w:p w14:paraId="2BAD4390" w14:textId="2045F1AE" w:rsidR="00C45BB3" w:rsidRPr="005470A2" w:rsidRDefault="00C45BB3" w:rsidP="004A7660">
                      <w:pPr>
                        <w:rPr>
                          <w:rFonts w:ascii="Arial Rounded MT Bold" w:hAnsi="Arial Rounded MT Bold"/>
                          <w:sz w:val="48"/>
                          <w:szCs w:val="48"/>
                        </w:rPr>
                      </w:pPr>
                    </w:p>
                  </w:txbxContent>
                </v:textbox>
              </v:shape>
            </w:pict>
          </mc:Fallback>
        </mc:AlternateContent>
      </w:r>
      <w:r w:rsidR="00C9673A" w:rsidRPr="004A7660">
        <w:rPr>
          <w:noProof/>
          <w:sz w:val="28"/>
        </w:rPr>
        <w:drawing>
          <wp:anchor distT="0" distB="0" distL="114935" distR="114935" simplePos="0" relativeHeight="251660288" behindDoc="0" locked="0" layoutInCell="1" allowOverlap="1" wp14:anchorId="5C77D9A0" wp14:editId="41437250">
            <wp:simplePos x="0" y="0"/>
            <wp:positionH relativeFrom="page">
              <wp:posOffset>779780</wp:posOffset>
            </wp:positionH>
            <wp:positionV relativeFrom="page">
              <wp:posOffset>1028700</wp:posOffset>
            </wp:positionV>
            <wp:extent cx="6281420" cy="1098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1420" cy="1098550"/>
                    </a:xfrm>
                    <a:prstGeom prst="rect">
                      <a:avLst/>
                    </a:prstGeom>
                    <a:noFill/>
                  </pic:spPr>
                </pic:pic>
              </a:graphicData>
            </a:graphic>
            <wp14:sizeRelH relativeFrom="margin">
              <wp14:pctWidth>0</wp14:pctWidth>
            </wp14:sizeRelH>
            <wp14:sizeRelV relativeFrom="margin">
              <wp14:pctHeight>0</wp14:pctHeight>
            </wp14:sizeRelV>
          </wp:anchor>
        </w:drawing>
      </w:r>
      <w:r w:rsidR="00C9673A">
        <w:rPr>
          <w:noProof/>
          <w:sz w:val="28"/>
        </w:rPr>
        <mc:AlternateContent>
          <mc:Choice Requires="wps">
            <w:drawing>
              <wp:anchor distT="0" distB="0" distL="114300" distR="114300" simplePos="0" relativeHeight="251655168" behindDoc="0" locked="0" layoutInCell="1" allowOverlap="1" wp14:anchorId="6C1E92CC" wp14:editId="65BDE693">
                <wp:simplePos x="0" y="0"/>
                <wp:positionH relativeFrom="column">
                  <wp:posOffset>139700</wp:posOffset>
                </wp:positionH>
                <wp:positionV relativeFrom="paragraph">
                  <wp:posOffset>342900</wp:posOffset>
                </wp:positionV>
                <wp:extent cx="6286500" cy="8343900"/>
                <wp:effectExtent l="0" t="0" r="38100" b="3810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34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1pt;margin-top:27pt;width:495pt;height:6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" filled="f"/>
            </w:pict>
          </mc:Fallback>
        </mc:AlternateContent>
      </w:r>
      <w:r w:rsidR="00112967">
        <w:rPr>
          <w:noProof/>
          <w:sz w:val="28"/>
        </w:rPr>
        <mc:AlternateContent>
          <mc:Choice Requires="wps">
            <w:drawing>
              <wp:anchor distT="0" distB="0" distL="114300" distR="114300" simplePos="0" relativeHeight="251657216" behindDoc="0" locked="0" layoutInCell="1" allowOverlap="1" wp14:anchorId="170E7DC4" wp14:editId="539E14DC">
                <wp:simplePos x="0" y="0"/>
                <wp:positionH relativeFrom="column">
                  <wp:posOffset>139700</wp:posOffset>
                </wp:positionH>
                <wp:positionV relativeFrom="paragraph">
                  <wp:posOffset>6926580</wp:posOffset>
                </wp:positionV>
                <wp:extent cx="1536700" cy="1512570"/>
                <wp:effectExtent l="0" t="0" r="0" b="1143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51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729BD" w14:textId="2CBEC35F" w:rsidR="00C45BB3" w:rsidRPr="0091661B" w:rsidRDefault="00C45BB3" w:rsidP="00D04118">
                            <w:pPr>
                              <w:rPr>
                                <w:rFonts w:cs="Arial"/>
                                <w:sz w:val="32"/>
                                <w:szCs w:val="32"/>
                              </w:rPr>
                            </w:pPr>
                            <w:r w:rsidRPr="0091661B">
                              <w:rPr>
                                <w:rFonts w:cs="Arial"/>
                                <w:sz w:val="32"/>
                                <w:szCs w:val="32"/>
                              </w:rPr>
                              <w:t xml:space="preserve">Status: </w:t>
                            </w:r>
                            <w:r>
                              <w:rPr>
                                <w:rFonts w:cs="Arial"/>
                                <w:sz w:val="32"/>
                                <w:szCs w:val="32"/>
                              </w:rPr>
                              <w:t>DRAFT</w:t>
                            </w:r>
                          </w:p>
                          <w:p w14:paraId="57BB8A62" w14:textId="69B7B81F" w:rsidR="00C45BB3" w:rsidRDefault="00C45BB3" w:rsidP="00D04118">
                            <w:pPr>
                              <w:rPr>
                                <w:rFonts w:cs="Arial"/>
                                <w:sz w:val="32"/>
                                <w:szCs w:val="32"/>
                              </w:rPr>
                            </w:pPr>
                            <w:r>
                              <w:rPr>
                                <w:rFonts w:cs="Arial"/>
                                <w:sz w:val="32"/>
                                <w:szCs w:val="32"/>
                              </w:rPr>
                              <w:t>Version: 1</w:t>
                            </w:r>
                          </w:p>
                          <w:p w14:paraId="2604D60A" w14:textId="782911E9" w:rsidR="00C45BB3" w:rsidRPr="0091661B" w:rsidRDefault="00C45BB3" w:rsidP="00D04118">
                            <w:pPr>
                              <w:rPr>
                                <w:rFonts w:cs="Arial"/>
                                <w:sz w:val="32"/>
                                <w:szCs w:val="32"/>
                              </w:rPr>
                            </w:pPr>
                            <w:r>
                              <w:rPr>
                                <w:rFonts w:cs="Arial"/>
                                <w:sz w:val="32"/>
                                <w:szCs w:val="32"/>
                              </w:rPr>
                              <w:t>14-Mar-2013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1pt;margin-top:545.4pt;width:121pt;height:11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" filled="f" stroked="f">
                <v:textbox>
                  <w:txbxContent>
                    <w:p w14:paraId="059729BD" w14:textId="2CBEC35F" w:rsidR="00C45BB3" w:rsidRPr="0091661B" w:rsidRDefault="00C45BB3" w:rsidP="00D04118">
                      <w:pPr>
                        <w:rPr>
                          <w:rFonts w:cs="Arial"/>
                          <w:sz w:val="32"/>
                          <w:szCs w:val="32"/>
                        </w:rPr>
                      </w:pPr>
                      <w:r w:rsidRPr="0091661B">
                        <w:rPr>
                          <w:rFonts w:cs="Arial"/>
                          <w:sz w:val="32"/>
                          <w:szCs w:val="32"/>
                        </w:rPr>
                        <w:t xml:space="preserve">Status: </w:t>
                      </w:r>
                      <w:r>
                        <w:rPr>
                          <w:rFonts w:cs="Arial"/>
                          <w:sz w:val="32"/>
                          <w:szCs w:val="32"/>
                        </w:rPr>
                        <w:t>DRAFT</w:t>
                      </w:r>
                    </w:p>
                    <w:p w14:paraId="57BB8A62" w14:textId="69B7B81F" w:rsidR="00C45BB3" w:rsidRDefault="00C45BB3" w:rsidP="00D04118">
                      <w:pPr>
                        <w:rPr>
                          <w:rFonts w:cs="Arial"/>
                          <w:sz w:val="32"/>
                          <w:szCs w:val="32"/>
                        </w:rPr>
                      </w:pPr>
                      <w:r>
                        <w:rPr>
                          <w:rFonts w:cs="Arial"/>
                          <w:sz w:val="32"/>
                          <w:szCs w:val="32"/>
                        </w:rPr>
                        <w:t>Version: 1</w:t>
                      </w:r>
                    </w:p>
                    <w:p w14:paraId="2604D60A" w14:textId="782911E9" w:rsidR="00C45BB3" w:rsidRPr="0091661B" w:rsidRDefault="00C45BB3" w:rsidP="00D04118">
                      <w:pPr>
                        <w:rPr>
                          <w:rFonts w:cs="Arial"/>
                          <w:sz w:val="32"/>
                          <w:szCs w:val="32"/>
                        </w:rPr>
                      </w:pPr>
                      <w:r>
                        <w:rPr>
                          <w:rFonts w:cs="Arial"/>
                          <w:sz w:val="32"/>
                          <w:szCs w:val="32"/>
                        </w:rPr>
                        <w:t>14-Mar-2013</w:t>
                      </w:r>
                    </w:p>
                  </w:txbxContent>
                </v:textbox>
              </v:shape>
            </w:pict>
          </mc:Fallback>
        </mc:AlternateContent>
      </w:r>
      <w:r w:rsidR="004A7660">
        <w:rPr>
          <w:noProof/>
          <w:sz w:val="28"/>
        </w:rPr>
        <mc:AlternateContent>
          <mc:Choice Requires="wps">
            <w:drawing>
              <wp:anchor distT="0" distB="0" distL="114300" distR="114300" simplePos="0" relativeHeight="251659264" behindDoc="0" locked="0" layoutInCell="1" allowOverlap="1" wp14:anchorId="50AC3120" wp14:editId="5D9FD84A">
                <wp:simplePos x="0" y="0"/>
                <wp:positionH relativeFrom="column">
                  <wp:posOffset>1611630</wp:posOffset>
                </wp:positionH>
                <wp:positionV relativeFrom="paragraph">
                  <wp:posOffset>6926580</wp:posOffset>
                </wp:positionV>
                <wp:extent cx="4572000" cy="1466215"/>
                <wp:effectExtent l="0" t="0" r="0" b="698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6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4BA53" w14:textId="550CC499" w:rsidR="00C45BB3" w:rsidRPr="002569A6" w:rsidRDefault="00C45BB3" w:rsidP="002569A6">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2A1CCB0F" w14:textId="77777777" w:rsidR="00C45BB3" w:rsidRPr="002569A6" w:rsidRDefault="00C45BB3" w:rsidP="002569A6">
                            <w:pPr>
                              <w:pStyle w:val="ListParagraph"/>
                              <w:ind w:left="0"/>
                              <w:rPr>
                                <w:rFonts w:ascii="Arial" w:hAnsi="Arial" w:cs="Arial"/>
                                <w:b/>
                                <w:sz w:val="36"/>
                                <w:szCs w:val="36"/>
                              </w:rPr>
                            </w:pPr>
                          </w:p>
                          <w:p w14:paraId="2DA6CE2D" w14:textId="77777777" w:rsidR="00C45BB3" w:rsidRPr="002569A6" w:rsidRDefault="00C45BB3" w:rsidP="002569A6">
                            <w:pPr>
                              <w:pStyle w:val="ListParagraph"/>
                              <w:ind w:left="0"/>
                              <w:rPr>
                                <w:rFonts w:ascii="Arial" w:hAnsi="Arial" w:cs="Arial"/>
                                <w:b/>
                                <w:sz w:val="36"/>
                                <w:szCs w:val="36"/>
                              </w:rPr>
                            </w:pPr>
                            <w:r w:rsidRPr="002569A6">
                              <w:rPr>
                                <w:rFonts w:ascii="Arial" w:hAnsi="Arial" w:cs="Arial"/>
                                <w:b/>
                                <w:sz w:val="36"/>
                                <w:szCs w:val="36"/>
                              </w:rPr>
                              <w:t>GNSO//CSG//BC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26.9pt;margin-top:545.4pt;width:5in;height:1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" filled="f" stroked="f">
                <v:textbox>
                  <w:txbxContent>
                    <w:p w14:paraId="4574BA53" w14:textId="550CC499" w:rsidR="00C45BB3" w:rsidRPr="002569A6" w:rsidRDefault="00C45BB3" w:rsidP="002569A6">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2A1CCB0F" w14:textId="77777777" w:rsidR="00C45BB3" w:rsidRPr="002569A6" w:rsidRDefault="00C45BB3" w:rsidP="002569A6">
                      <w:pPr>
                        <w:pStyle w:val="ListParagraph"/>
                        <w:ind w:left="0"/>
                        <w:rPr>
                          <w:rFonts w:ascii="Arial" w:hAnsi="Arial" w:cs="Arial"/>
                          <w:b/>
                          <w:sz w:val="36"/>
                          <w:szCs w:val="36"/>
                        </w:rPr>
                      </w:pPr>
                    </w:p>
                    <w:p w14:paraId="2DA6CE2D" w14:textId="77777777" w:rsidR="00C45BB3" w:rsidRPr="002569A6" w:rsidRDefault="00C45BB3" w:rsidP="002569A6">
                      <w:pPr>
                        <w:pStyle w:val="ListParagraph"/>
                        <w:ind w:left="0"/>
                        <w:rPr>
                          <w:rFonts w:ascii="Arial" w:hAnsi="Arial" w:cs="Arial"/>
                          <w:b/>
                          <w:sz w:val="36"/>
                          <w:szCs w:val="36"/>
                        </w:rPr>
                      </w:pPr>
                      <w:r w:rsidRPr="002569A6">
                        <w:rPr>
                          <w:rFonts w:ascii="Arial" w:hAnsi="Arial" w:cs="Arial"/>
                          <w:b/>
                          <w:sz w:val="36"/>
                          <w:szCs w:val="36"/>
                        </w:rPr>
                        <w:t>GNSO//CSG//BC</w:t>
                      </w:r>
                    </w:p>
                  </w:txbxContent>
                </v:textbox>
              </v:shape>
            </w:pict>
          </mc:Fallback>
        </mc:AlternateContent>
      </w:r>
      <w:r w:rsidR="004A7660">
        <w:rPr>
          <w:noProof/>
          <w:sz w:val="28"/>
        </w:rPr>
        <mc:AlternateContent>
          <mc:Choice Requires="wps">
            <w:drawing>
              <wp:anchor distT="0" distB="0" distL="114293" distR="114293" simplePos="0" relativeHeight="251656192" behindDoc="0" locked="0" layoutInCell="1" allowOverlap="1" wp14:anchorId="484E8DAD" wp14:editId="61030424">
                <wp:simplePos x="0" y="0"/>
                <wp:positionH relativeFrom="column">
                  <wp:posOffset>1471930</wp:posOffset>
                </wp:positionH>
                <wp:positionV relativeFrom="paragraph">
                  <wp:posOffset>1633220</wp:posOffset>
                </wp:positionV>
                <wp:extent cx="0" cy="6858000"/>
                <wp:effectExtent l="25400" t="0" r="50800" b="254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0"/>
                        </a:xfrm>
                        <a:prstGeom prst="line">
                          <a:avLst/>
                        </a:prstGeom>
                        <a:noFill/>
                        <a:ln w="63500">
                          <a:solidFill>
                            <a:srgbClr val="4F81BD">
                              <a:lumMod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114293emu;mso-wrap-distance-top:0;mso-wrap-distance-right:114293emu;mso-wrap-distance-bottom:0;mso-position-horizontal:absolute;mso-position-horizontal-relative:text;mso-position-vertical:absolute;mso-position-vertical-relative:text;mso-width-percent:0;mso-height-percent:0;mso-width-relative:page;mso-height-relative:page" from="115.9pt,128.6pt" to="115.9pt,66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" strokecolor="#376092" strokeweight="5pt"/>
            </w:pict>
          </mc:Fallback>
        </mc:AlternateContent>
      </w:r>
    </w:p>
    <w:p w14:paraId="5C5BFDC7" w14:textId="21E765E1" w:rsidR="006357A2" w:rsidRDefault="00CC239F" w:rsidP="00EC1C24">
      <w:pPr>
        <w:spacing w:line="240" w:lineRule="auto"/>
        <w:rPr>
          <w:rFonts w:asciiTheme="minorHAnsi" w:hAnsiTheme="minorHAnsi"/>
        </w:rPr>
      </w:pPr>
      <w:r w:rsidRPr="00CC239F">
        <w:rPr>
          <w:rFonts w:asciiTheme="minorHAnsi" w:hAnsiTheme="minorHAnsi"/>
        </w:rPr>
        <w:lastRenderedPageBreak/>
        <w:t>ICANN opened a public comment period </w:t>
      </w:r>
      <w:r w:rsidR="00774E6F">
        <w:rPr>
          <w:rFonts w:asciiTheme="minorHAnsi" w:hAnsiTheme="minorHAnsi"/>
        </w:rPr>
        <w:t>seeking feedback on the revised new gTLD Registry Agreement, which includes a Public Interest Commitments Specification.</w:t>
      </w:r>
    </w:p>
    <w:p w14:paraId="2E9D358B" w14:textId="77777777" w:rsidR="00370073" w:rsidRDefault="00370073" w:rsidP="00EC1C24">
      <w:pPr>
        <w:spacing w:line="240" w:lineRule="auto"/>
        <w:rPr>
          <w:rFonts w:asciiTheme="minorHAnsi" w:hAnsiTheme="minorHAnsi"/>
        </w:rPr>
      </w:pPr>
    </w:p>
    <w:p w14:paraId="4FF83B3A" w14:textId="555EE08E" w:rsidR="00AC211F" w:rsidRDefault="00370073" w:rsidP="00EC1C24">
      <w:pPr>
        <w:spacing w:line="240" w:lineRule="auto"/>
        <w:rPr>
          <w:rFonts w:asciiTheme="minorHAnsi" w:hAnsiTheme="minorHAnsi"/>
        </w:rPr>
      </w:pPr>
      <w:r>
        <w:rPr>
          <w:rFonts w:asciiTheme="minorHAnsi" w:hAnsiTheme="minorHAnsi"/>
        </w:rPr>
        <w:t xml:space="preserve">The </w:t>
      </w:r>
      <w:r w:rsidR="009D236F">
        <w:rPr>
          <w:rFonts w:asciiTheme="minorHAnsi" w:hAnsiTheme="minorHAnsi"/>
        </w:rPr>
        <w:t>Business Constituency (</w:t>
      </w:r>
      <w:r>
        <w:rPr>
          <w:rFonts w:asciiTheme="minorHAnsi" w:hAnsiTheme="minorHAnsi"/>
        </w:rPr>
        <w:t>BC</w:t>
      </w:r>
      <w:r w:rsidR="009D236F">
        <w:rPr>
          <w:rFonts w:asciiTheme="minorHAnsi" w:hAnsiTheme="minorHAnsi"/>
        </w:rPr>
        <w:t>)</w:t>
      </w:r>
      <w:r>
        <w:rPr>
          <w:rFonts w:asciiTheme="minorHAnsi" w:hAnsiTheme="minorHAnsi"/>
        </w:rPr>
        <w:t xml:space="preserve"> </w:t>
      </w:r>
      <w:r w:rsidR="00AC211F">
        <w:rPr>
          <w:rFonts w:asciiTheme="minorHAnsi" w:hAnsiTheme="minorHAnsi"/>
        </w:rPr>
        <w:t xml:space="preserve">comments here on 4 parts of the proposed </w:t>
      </w:r>
      <w:proofErr w:type="gramStart"/>
      <w:r w:rsidR="00AC211F">
        <w:rPr>
          <w:rFonts w:asciiTheme="minorHAnsi" w:hAnsiTheme="minorHAnsi"/>
        </w:rPr>
        <w:t>New</w:t>
      </w:r>
      <w:proofErr w:type="gramEnd"/>
      <w:r w:rsidR="00AC211F">
        <w:rPr>
          <w:rFonts w:asciiTheme="minorHAnsi" w:hAnsiTheme="minorHAnsi"/>
        </w:rPr>
        <w:t xml:space="preserve"> gTLD Registry Agreement: </w:t>
      </w:r>
    </w:p>
    <w:p w14:paraId="377433A8" w14:textId="77777777" w:rsidR="00AC211F" w:rsidRPr="00AC211F" w:rsidRDefault="00AC211F" w:rsidP="00AC211F">
      <w:pPr>
        <w:spacing w:before="120" w:line="240" w:lineRule="auto"/>
        <w:ind w:left="720"/>
        <w:rPr>
          <w:rFonts w:asciiTheme="minorHAnsi" w:hAnsiTheme="minorHAnsi"/>
        </w:rPr>
      </w:pPr>
      <w:r w:rsidRPr="00AC211F">
        <w:rPr>
          <w:rFonts w:asciiTheme="minorHAnsi" w:hAnsiTheme="minorHAnsi"/>
        </w:rPr>
        <w:t>Specification 11: Public Interest Commitments</w:t>
      </w:r>
    </w:p>
    <w:p w14:paraId="66A67DA3" w14:textId="77777777" w:rsidR="00AC211F" w:rsidRPr="00AC211F" w:rsidRDefault="00AC211F" w:rsidP="00AC211F">
      <w:pPr>
        <w:spacing w:before="120" w:line="240" w:lineRule="auto"/>
        <w:ind w:left="720"/>
        <w:rPr>
          <w:rFonts w:asciiTheme="minorHAnsi" w:hAnsiTheme="minorHAnsi"/>
        </w:rPr>
      </w:pPr>
      <w:r w:rsidRPr="00AC211F">
        <w:rPr>
          <w:rFonts w:asciiTheme="minorHAnsi" w:hAnsiTheme="minorHAnsi"/>
        </w:rPr>
        <w:t>Base Agreement Article 4: Transition of Registry upon termination of Agreement</w:t>
      </w:r>
    </w:p>
    <w:p w14:paraId="40FB853D" w14:textId="77777777" w:rsidR="00AC211F" w:rsidRPr="00AC211F" w:rsidRDefault="00AC211F" w:rsidP="00AC211F">
      <w:pPr>
        <w:spacing w:before="120" w:line="240" w:lineRule="auto"/>
        <w:ind w:left="720"/>
        <w:rPr>
          <w:rFonts w:asciiTheme="minorHAnsi" w:hAnsiTheme="minorHAnsi"/>
        </w:rPr>
      </w:pPr>
      <w:r w:rsidRPr="00AC211F">
        <w:rPr>
          <w:rFonts w:asciiTheme="minorHAnsi" w:hAnsiTheme="minorHAnsi"/>
        </w:rPr>
        <w:t>Base Agreement Article 7: Amendments to the Registry Agreement</w:t>
      </w:r>
    </w:p>
    <w:p w14:paraId="26E08AE2" w14:textId="77777777" w:rsidR="00AC211F" w:rsidRPr="00AC211F" w:rsidRDefault="00AC211F" w:rsidP="00AC211F">
      <w:pPr>
        <w:spacing w:before="120" w:line="240" w:lineRule="auto"/>
        <w:ind w:left="720"/>
        <w:rPr>
          <w:rFonts w:asciiTheme="minorHAnsi" w:hAnsiTheme="minorHAnsi"/>
        </w:rPr>
      </w:pPr>
      <w:r w:rsidRPr="00AC211F">
        <w:rPr>
          <w:rFonts w:asciiTheme="minorHAnsi" w:hAnsiTheme="minorHAnsi"/>
        </w:rPr>
        <w:t>Specification 5: Reserving Country and Territory Names at the Second Level</w:t>
      </w:r>
    </w:p>
    <w:p w14:paraId="374A6D70" w14:textId="77777777" w:rsidR="00AC211F" w:rsidRDefault="00AC211F" w:rsidP="00EC1C24">
      <w:pPr>
        <w:spacing w:line="240" w:lineRule="auto"/>
        <w:rPr>
          <w:rFonts w:asciiTheme="minorHAnsi" w:hAnsiTheme="minorHAnsi"/>
        </w:rPr>
      </w:pPr>
    </w:p>
    <w:p w14:paraId="601BE49E" w14:textId="3E745429" w:rsidR="00370073" w:rsidRDefault="00AC211F" w:rsidP="00EC1C24">
      <w:pPr>
        <w:spacing w:line="240" w:lineRule="auto"/>
        <w:rPr>
          <w:rFonts w:asciiTheme="minorHAnsi" w:hAnsiTheme="minorHAnsi"/>
        </w:rPr>
      </w:pPr>
      <w:r>
        <w:rPr>
          <w:rFonts w:asciiTheme="minorHAnsi" w:hAnsiTheme="minorHAnsi"/>
        </w:rPr>
        <w:t xml:space="preserve">The BC premised </w:t>
      </w:r>
      <w:r w:rsidR="00370073">
        <w:rPr>
          <w:rFonts w:asciiTheme="minorHAnsi" w:hAnsiTheme="minorHAnsi"/>
        </w:rPr>
        <w:t xml:space="preserve">these comments upon prior positions adopted by the BC in accordance with its charter. </w:t>
      </w:r>
      <w:r w:rsidR="009D236F">
        <w:rPr>
          <w:rFonts w:asciiTheme="minorHAnsi" w:hAnsiTheme="minorHAnsi"/>
        </w:rPr>
        <w:t>Three</w:t>
      </w:r>
      <w:r w:rsidR="00370073">
        <w:rPr>
          <w:rFonts w:asciiTheme="minorHAnsi" w:hAnsiTheme="minorHAnsi"/>
        </w:rPr>
        <w:t xml:space="preserve"> specific BC position documents are cited here:</w:t>
      </w:r>
    </w:p>
    <w:p w14:paraId="0240FFB7" w14:textId="77777777" w:rsidR="00370073" w:rsidRDefault="00370073" w:rsidP="00EC1C24">
      <w:pPr>
        <w:spacing w:line="240" w:lineRule="auto"/>
        <w:rPr>
          <w:rFonts w:cs="Calibri"/>
          <w:color w:val="FF0000"/>
        </w:rPr>
      </w:pPr>
    </w:p>
    <w:p w14:paraId="13FE1A18" w14:textId="13F8ABA2" w:rsidR="009D236F" w:rsidRDefault="009D236F" w:rsidP="009D236F">
      <w:pPr>
        <w:spacing w:line="240" w:lineRule="auto"/>
        <w:ind w:left="720"/>
        <w:rPr>
          <w:rFonts w:asciiTheme="minorHAnsi" w:hAnsiTheme="minorHAnsi"/>
        </w:rPr>
      </w:pPr>
      <w:r>
        <w:rPr>
          <w:rFonts w:asciiTheme="minorHAnsi" w:hAnsiTheme="minorHAnsi"/>
        </w:rPr>
        <w:t>Implementation Improvements request to ICANN Board of Directors and CEO</w:t>
      </w:r>
      <w:r w:rsidR="006C2DC7">
        <w:rPr>
          <w:rFonts w:asciiTheme="minorHAnsi" w:hAnsiTheme="minorHAnsi"/>
        </w:rPr>
        <w:t>, Feb-2012</w:t>
      </w:r>
    </w:p>
    <w:p w14:paraId="163BD01B" w14:textId="07BF5715" w:rsidR="009D236F" w:rsidRPr="009D236F" w:rsidRDefault="00870548" w:rsidP="009D236F">
      <w:pPr>
        <w:spacing w:line="240" w:lineRule="auto"/>
        <w:ind w:left="720"/>
        <w:rPr>
          <w:rFonts w:asciiTheme="minorHAnsi" w:hAnsiTheme="minorHAnsi"/>
          <w:sz w:val="18"/>
        </w:rPr>
      </w:pPr>
      <w:hyperlink r:id="rId13" w:history="1">
        <w:r w:rsidR="009D236F" w:rsidRPr="009D236F">
          <w:rPr>
            <w:rStyle w:val="Hyperlink"/>
            <w:rFonts w:asciiTheme="minorHAnsi" w:hAnsiTheme="minorHAnsi"/>
            <w:sz w:val="18"/>
          </w:rPr>
          <w:t>http://www.bizconst.org/Positions-Statements/BC%20request%20for%20implementation%20improvements.pd</w:t>
        </w:r>
        <w:r w:rsidR="009D236F">
          <w:rPr>
            <w:rStyle w:val="Hyperlink"/>
            <w:rFonts w:asciiTheme="minorHAnsi" w:hAnsiTheme="minorHAnsi"/>
            <w:sz w:val="18"/>
          </w:rPr>
          <w:t xml:space="preserve">f </w:t>
        </w:r>
      </w:hyperlink>
      <w:r w:rsidR="009D236F" w:rsidRPr="009D236F">
        <w:rPr>
          <w:rFonts w:asciiTheme="minorHAnsi" w:hAnsiTheme="minorHAnsi"/>
          <w:sz w:val="18"/>
        </w:rPr>
        <w:t xml:space="preserve"> </w:t>
      </w:r>
    </w:p>
    <w:p w14:paraId="3B32A800" w14:textId="77777777" w:rsidR="009D236F" w:rsidRDefault="009D236F" w:rsidP="009D236F">
      <w:pPr>
        <w:spacing w:line="240" w:lineRule="auto"/>
        <w:ind w:left="720"/>
        <w:rPr>
          <w:rFonts w:asciiTheme="minorHAnsi" w:hAnsiTheme="minorHAnsi"/>
        </w:rPr>
      </w:pPr>
      <w:r>
        <w:rPr>
          <w:rFonts w:asciiTheme="minorHAnsi" w:hAnsiTheme="minorHAnsi"/>
        </w:rPr>
        <w:t xml:space="preserve"> </w:t>
      </w:r>
    </w:p>
    <w:p w14:paraId="3C55871B" w14:textId="4E6A6E58" w:rsidR="00D95261" w:rsidRPr="00D95261" w:rsidRDefault="003206FD" w:rsidP="009D236F">
      <w:pPr>
        <w:spacing w:line="240" w:lineRule="auto"/>
        <w:ind w:left="720"/>
        <w:rPr>
          <w:rFonts w:asciiTheme="minorHAnsi" w:hAnsiTheme="minorHAnsi"/>
        </w:rPr>
      </w:pPr>
      <w:r>
        <w:rPr>
          <w:rFonts w:asciiTheme="minorHAnsi" w:hAnsiTheme="minorHAnsi"/>
        </w:rPr>
        <w:t xml:space="preserve">BC Comments on </w:t>
      </w:r>
      <w:r w:rsidR="00D95261" w:rsidRPr="00D95261">
        <w:rPr>
          <w:rFonts w:asciiTheme="minorHAnsi" w:hAnsiTheme="minorHAnsi"/>
        </w:rPr>
        <w:t>New gTLD Applicant Guidebook – April 2011 Discussion Draft</w:t>
      </w:r>
      <w:r w:rsidR="006C2DC7">
        <w:rPr>
          <w:rFonts w:asciiTheme="minorHAnsi" w:hAnsiTheme="minorHAnsi"/>
        </w:rPr>
        <w:t>, May-2011</w:t>
      </w:r>
    </w:p>
    <w:p w14:paraId="414D5C4E" w14:textId="6769C4A4" w:rsidR="00D95261" w:rsidRPr="009D236F" w:rsidRDefault="00870548" w:rsidP="009D236F">
      <w:pPr>
        <w:spacing w:line="240" w:lineRule="auto"/>
        <w:ind w:left="720"/>
        <w:rPr>
          <w:rFonts w:asciiTheme="minorHAnsi" w:hAnsiTheme="minorHAnsi"/>
          <w:sz w:val="18"/>
        </w:rPr>
      </w:pPr>
      <w:hyperlink r:id="rId14" w:history="1">
        <w:r w:rsidR="00D95261" w:rsidRPr="009D236F">
          <w:rPr>
            <w:rStyle w:val="Hyperlink"/>
            <w:rFonts w:asciiTheme="minorHAnsi" w:hAnsiTheme="minorHAnsi"/>
            <w:sz w:val="18"/>
          </w:rPr>
          <w:t>http://www.bizconst.org/Positions-Statements/BC+on+Final+App+Guidebook+May+2011+v3.pdf</w:t>
        </w:r>
      </w:hyperlink>
      <w:r w:rsidR="00D95261" w:rsidRPr="009D236F">
        <w:rPr>
          <w:rFonts w:asciiTheme="minorHAnsi" w:hAnsiTheme="minorHAnsi"/>
          <w:sz w:val="18"/>
        </w:rPr>
        <w:t xml:space="preserve"> </w:t>
      </w:r>
    </w:p>
    <w:p w14:paraId="5FA9B3EC" w14:textId="77777777" w:rsidR="00D95261" w:rsidRDefault="00D95261" w:rsidP="009D236F">
      <w:pPr>
        <w:spacing w:line="240" w:lineRule="auto"/>
        <w:ind w:left="720"/>
        <w:rPr>
          <w:rFonts w:asciiTheme="minorHAnsi" w:hAnsiTheme="minorHAnsi"/>
        </w:rPr>
      </w:pPr>
    </w:p>
    <w:p w14:paraId="0B325F2C" w14:textId="60EC6C1B" w:rsidR="009D236F" w:rsidRDefault="009D236F" w:rsidP="009D236F">
      <w:pPr>
        <w:spacing w:line="240" w:lineRule="auto"/>
        <w:ind w:left="720"/>
        <w:rPr>
          <w:rFonts w:asciiTheme="minorHAnsi" w:hAnsiTheme="minorHAnsi"/>
        </w:rPr>
      </w:pPr>
      <w:r>
        <w:rPr>
          <w:rFonts w:asciiTheme="minorHAnsi" w:hAnsiTheme="minorHAnsi"/>
        </w:rPr>
        <w:t>BC Position on Process for Amendments to new gTLD Registry Agreements</w:t>
      </w:r>
      <w:r w:rsidR="006C2DC7">
        <w:rPr>
          <w:rFonts w:asciiTheme="minorHAnsi" w:hAnsiTheme="minorHAnsi"/>
        </w:rPr>
        <w:t>, Apr-2010</w:t>
      </w:r>
    </w:p>
    <w:p w14:paraId="2679C59F" w14:textId="77777777" w:rsidR="009D236F" w:rsidRPr="009D236F" w:rsidRDefault="00870548" w:rsidP="009D236F">
      <w:pPr>
        <w:spacing w:line="240" w:lineRule="auto"/>
        <w:ind w:left="720"/>
        <w:rPr>
          <w:rFonts w:asciiTheme="minorHAnsi" w:hAnsiTheme="minorHAnsi"/>
          <w:sz w:val="18"/>
        </w:rPr>
      </w:pPr>
      <w:hyperlink r:id="rId15" w:history="1">
        <w:r w:rsidR="009D236F" w:rsidRPr="009D236F">
          <w:rPr>
            <w:rStyle w:val="Hyperlink"/>
            <w:rFonts w:asciiTheme="minorHAnsi" w:hAnsiTheme="minorHAnsi"/>
            <w:sz w:val="18"/>
          </w:rPr>
          <w:t>http://www.bizconst.org/Positions-Statements/BC_on_TLD_contract_amendments.pdf</w:t>
        </w:r>
      </w:hyperlink>
    </w:p>
    <w:p w14:paraId="1134E258" w14:textId="77777777" w:rsidR="00D6089F" w:rsidRDefault="00D6089F" w:rsidP="00EC1C24">
      <w:pPr>
        <w:spacing w:line="240" w:lineRule="auto"/>
        <w:rPr>
          <w:rFonts w:asciiTheme="minorHAnsi" w:hAnsiTheme="minorHAnsi"/>
        </w:rPr>
      </w:pPr>
    </w:p>
    <w:p w14:paraId="12FE738C" w14:textId="77777777" w:rsidR="009D236F" w:rsidRDefault="009D236F" w:rsidP="009D236F">
      <w:pPr>
        <w:spacing w:line="240" w:lineRule="auto"/>
        <w:rPr>
          <w:rFonts w:asciiTheme="minorHAnsi" w:hAnsiTheme="minorHAnsi"/>
        </w:rPr>
      </w:pPr>
    </w:p>
    <w:p w14:paraId="56127D63" w14:textId="719C851A" w:rsidR="00CB4564" w:rsidRPr="00CB4564" w:rsidRDefault="00CB4564" w:rsidP="009D236F">
      <w:pPr>
        <w:spacing w:line="240" w:lineRule="auto"/>
        <w:rPr>
          <w:rFonts w:asciiTheme="minorHAnsi" w:hAnsiTheme="minorHAnsi"/>
          <w:b/>
          <w:u w:val="single"/>
        </w:rPr>
      </w:pPr>
      <w:r w:rsidRPr="00CB4564">
        <w:rPr>
          <w:rFonts w:asciiTheme="minorHAnsi" w:hAnsiTheme="minorHAnsi"/>
          <w:b/>
          <w:u w:val="single"/>
        </w:rPr>
        <w:t>Specification 11</w:t>
      </w:r>
      <w:r>
        <w:rPr>
          <w:rFonts w:asciiTheme="minorHAnsi" w:hAnsiTheme="minorHAnsi"/>
          <w:b/>
          <w:u w:val="single"/>
        </w:rPr>
        <w:t>: Public Interest Commitments</w:t>
      </w:r>
    </w:p>
    <w:p w14:paraId="1CAB239E" w14:textId="77777777" w:rsidR="00CB4564" w:rsidRDefault="00CB4564" w:rsidP="009D236F">
      <w:pPr>
        <w:spacing w:line="240" w:lineRule="auto"/>
        <w:rPr>
          <w:rFonts w:asciiTheme="minorHAnsi" w:hAnsiTheme="minorHAnsi"/>
        </w:rPr>
      </w:pPr>
    </w:p>
    <w:p w14:paraId="728AA00A" w14:textId="1E612CE3" w:rsidR="009D236F" w:rsidRDefault="009D236F" w:rsidP="009D236F">
      <w:pPr>
        <w:spacing w:line="240" w:lineRule="auto"/>
        <w:rPr>
          <w:rFonts w:asciiTheme="minorHAnsi" w:hAnsiTheme="minorHAnsi"/>
        </w:rPr>
      </w:pPr>
      <w:r>
        <w:rPr>
          <w:rFonts w:asciiTheme="minorHAnsi" w:hAnsiTheme="minorHAnsi"/>
        </w:rPr>
        <w:t xml:space="preserve">From the BC’s perspective, the most significant change in the new Registry Agreement is the addition of Specification 11 for Public Interest Commitments. </w:t>
      </w:r>
      <w:r w:rsidR="00C94568">
        <w:rPr>
          <w:rFonts w:asciiTheme="minorHAnsi" w:hAnsiTheme="minorHAnsi"/>
        </w:rPr>
        <w:t>First, we address section 1 of the Specification 11:</w:t>
      </w:r>
    </w:p>
    <w:p w14:paraId="7D079E46" w14:textId="77777777" w:rsidR="00C94568" w:rsidRDefault="00C94568" w:rsidP="009D236F">
      <w:pPr>
        <w:spacing w:line="240" w:lineRule="auto"/>
        <w:rPr>
          <w:rFonts w:asciiTheme="minorHAnsi" w:hAnsiTheme="minorHAnsi"/>
        </w:rPr>
      </w:pPr>
    </w:p>
    <w:p w14:paraId="69A00EB2" w14:textId="5B79E7C1" w:rsidR="00C94568" w:rsidRPr="00C976AB" w:rsidRDefault="00C94568" w:rsidP="00C976AB">
      <w:pPr>
        <w:spacing w:line="240" w:lineRule="auto"/>
        <w:ind w:left="720" w:right="792"/>
        <w:rPr>
          <w:rFonts w:asciiTheme="minorHAnsi" w:hAnsiTheme="minorHAnsi"/>
          <w:sz w:val="20"/>
        </w:rPr>
      </w:pPr>
      <w:r w:rsidRPr="00C976AB">
        <w:rPr>
          <w:rFonts w:asciiTheme="minorHAnsi" w:hAnsiTheme="minorHAnsi"/>
          <w:sz w:val="20"/>
        </w:rPr>
        <w:t>1. Registry Operator will use only ICANN accredited registrars that are party to the Registrar Accreditation Agreement approved by the ICANN Board of Directors on _______ _, 2013</w:t>
      </w:r>
      <w:r w:rsidR="00C976AB" w:rsidRPr="00C976AB">
        <w:rPr>
          <w:rFonts w:asciiTheme="minorHAnsi" w:hAnsiTheme="minorHAnsi"/>
          <w:sz w:val="20"/>
        </w:rPr>
        <w:t xml:space="preserve"> </w:t>
      </w:r>
      <w:r w:rsidRPr="00C976AB">
        <w:rPr>
          <w:rFonts w:asciiTheme="minorHAnsi" w:hAnsiTheme="minorHAnsi"/>
          <w:sz w:val="20"/>
        </w:rPr>
        <w:t>(or any subsequent form of Registrar Accreditation Agreement approved by the ICANN Board of Directors) in registering domain names. A list of such registrars shall be maintained by ICANN on ICANN’s website.</w:t>
      </w:r>
    </w:p>
    <w:p w14:paraId="271A8941" w14:textId="77777777" w:rsidR="009D236F" w:rsidRDefault="009D236F" w:rsidP="009D236F">
      <w:pPr>
        <w:spacing w:line="240" w:lineRule="auto"/>
        <w:rPr>
          <w:rFonts w:asciiTheme="minorHAnsi" w:hAnsiTheme="minorHAnsi"/>
        </w:rPr>
      </w:pPr>
    </w:p>
    <w:p w14:paraId="1818FCBB" w14:textId="1DEDE7B8" w:rsidR="00EC1C24" w:rsidRPr="00EC1C24" w:rsidRDefault="00C94568" w:rsidP="009D236F">
      <w:pPr>
        <w:spacing w:line="240" w:lineRule="auto"/>
        <w:rPr>
          <w:rFonts w:asciiTheme="minorHAnsi" w:hAnsiTheme="minorHAnsi"/>
        </w:rPr>
      </w:pPr>
      <w:r>
        <w:rPr>
          <w:rFonts w:asciiTheme="minorHAnsi" w:hAnsiTheme="minorHAnsi"/>
        </w:rPr>
        <w:t>The BC enthusiastically supports this requirement.   Beginning in</w:t>
      </w:r>
      <w:r w:rsidR="009D236F">
        <w:rPr>
          <w:rFonts w:asciiTheme="minorHAnsi" w:hAnsiTheme="minorHAnsi"/>
        </w:rPr>
        <w:t xml:space="preserve"> 2012 </w:t>
      </w:r>
      <w:r>
        <w:rPr>
          <w:rFonts w:asciiTheme="minorHAnsi" w:hAnsiTheme="minorHAnsi"/>
        </w:rPr>
        <w:t xml:space="preserve">the BC requested </w:t>
      </w:r>
      <w:r w:rsidR="009D236F">
        <w:rPr>
          <w:rFonts w:asciiTheme="minorHAnsi" w:hAnsiTheme="minorHAnsi"/>
        </w:rPr>
        <w:t xml:space="preserve">that ICANN require </w:t>
      </w:r>
      <w:r>
        <w:rPr>
          <w:rFonts w:asciiTheme="minorHAnsi" w:hAnsiTheme="minorHAnsi"/>
        </w:rPr>
        <w:t>all</w:t>
      </w:r>
      <w:r w:rsidR="009D236F">
        <w:rPr>
          <w:rFonts w:asciiTheme="minorHAnsi" w:hAnsiTheme="minorHAnsi"/>
        </w:rPr>
        <w:t xml:space="preserve"> registrars distributing names in the new </w:t>
      </w:r>
      <w:proofErr w:type="spellStart"/>
      <w:r w:rsidR="009D236F">
        <w:rPr>
          <w:rFonts w:asciiTheme="minorHAnsi" w:hAnsiTheme="minorHAnsi"/>
        </w:rPr>
        <w:t>gTLDs</w:t>
      </w:r>
      <w:proofErr w:type="spellEnd"/>
      <w:r w:rsidR="009D236F">
        <w:rPr>
          <w:rFonts w:asciiTheme="minorHAnsi" w:hAnsiTheme="minorHAnsi"/>
        </w:rPr>
        <w:t xml:space="preserve"> </w:t>
      </w:r>
      <w:r>
        <w:rPr>
          <w:rFonts w:asciiTheme="minorHAnsi" w:hAnsiTheme="minorHAnsi"/>
        </w:rPr>
        <w:t xml:space="preserve">to be held to the </w:t>
      </w:r>
      <w:r w:rsidR="009D236F">
        <w:rPr>
          <w:rFonts w:asciiTheme="minorHAnsi" w:hAnsiTheme="minorHAnsi"/>
        </w:rPr>
        <w:t xml:space="preserve">amended RAA </w:t>
      </w:r>
      <w:r w:rsidR="00EC1C24" w:rsidRPr="00EC1C24">
        <w:rPr>
          <w:rFonts w:asciiTheme="minorHAnsi" w:hAnsiTheme="minorHAnsi"/>
        </w:rPr>
        <w:t>(Registrar Accreditation Agreement).</w:t>
      </w:r>
      <w:r>
        <w:rPr>
          <w:rFonts w:asciiTheme="minorHAnsi" w:hAnsiTheme="minorHAnsi"/>
        </w:rPr>
        <w:t xml:space="preserve">  Here’s how the BC </w:t>
      </w:r>
      <w:r w:rsidR="00C959EC">
        <w:rPr>
          <w:rFonts w:asciiTheme="minorHAnsi" w:hAnsiTheme="minorHAnsi"/>
        </w:rPr>
        <w:t>explained</w:t>
      </w:r>
      <w:r>
        <w:rPr>
          <w:rFonts w:asciiTheme="minorHAnsi" w:hAnsiTheme="minorHAnsi"/>
        </w:rPr>
        <w:t xml:space="preserve"> this request in our Feb-2012 letter to ICANN Board and CEO</w:t>
      </w:r>
      <w:r w:rsidR="00870548">
        <w:rPr>
          <w:rStyle w:val="FootnoteReference"/>
          <w:rFonts w:asciiTheme="minorHAnsi" w:hAnsiTheme="minorHAnsi"/>
        </w:rPr>
        <w:footnoteReference w:id="1"/>
      </w:r>
      <w:r>
        <w:rPr>
          <w:rFonts w:asciiTheme="minorHAnsi" w:hAnsiTheme="minorHAnsi"/>
        </w:rPr>
        <w:t>:</w:t>
      </w:r>
    </w:p>
    <w:p w14:paraId="11A44C28" w14:textId="77777777" w:rsidR="00EC1C24" w:rsidRPr="00EC1C24" w:rsidRDefault="00EC1C24" w:rsidP="00EC1C24">
      <w:pPr>
        <w:spacing w:line="240" w:lineRule="auto"/>
        <w:rPr>
          <w:rFonts w:asciiTheme="minorHAnsi" w:hAnsiTheme="minorHAnsi"/>
        </w:rPr>
      </w:pPr>
    </w:p>
    <w:p w14:paraId="2D89EFA2" w14:textId="1BD0BB48" w:rsidR="00EC1C24" w:rsidRPr="00863D7C" w:rsidRDefault="00EC1C24" w:rsidP="00C959EC">
      <w:pPr>
        <w:spacing w:line="240" w:lineRule="auto"/>
        <w:ind w:left="720" w:right="1062"/>
        <w:rPr>
          <w:rFonts w:asciiTheme="minorHAnsi" w:hAnsiTheme="minorHAnsi"/>
          <w:sz w:val="20"/>
        </w:rPr>
      </w:pPr>
      <w:r w:rsidRPr="00863D7C">
        <w:rPr>
          <w:rFonts w:asciiTheme="minorHAnsi" w:hAnsiTheme="minorHAnsi"/>
          <w:sz w:val="20"/>
        </w:rPr>
        <w:t xml:space="preserve">4) Amend the Registrar Accreditation Agreement (RAA) for registrars distributing names in new </w:t>
      </w:r>
      <w:proofErr w:type="spellStart"/>
      <w:r w:rsidRPr="00863D7C">
        <w:rPr>
          <w:rFonts w:asciiTheme="minorHAnsi" w:hAnsiTheme="minorHAnsi"/>
          <w:sz w:val="20"/>
        </w:rPr>
        <w:t>gTLDS</w:t>
      </w:r>
      <w:proofErr w:type="spellEnd"/>
      <w:r w:rsidRPr="00863D7C">
        <w:rPr>
          <w:rFonts w:asciiTheme="minorHAnsi" w:hAnsiTheme="minorHAnsi"/>
          <w:sz w:val="20"/>
        </w:rPr>
        <w:t>. With all the focus on new registry agreements, the new gTLD program missed the opportunity to strengthen ICANN's contractual agreements with registrars who will sell and manage names in new TLDs. When millions of new registrants enter the market, it is registrars — not registries — they will be dealing with. New TLDs are just as important for registrars as for registries, especially now that cross-­-ownership and vertical integration are permitted.</w:t>
      </w:r>
    </w:p>
    <w:p w14:paraId="1DE3E5C6" w14:textId="77777777" w:rsidR="00863D7C" w:rsidRPr="00863D7C" w:rsidRDefault="00863D7C" w:rsidP="00C959EC">
      <w:pPr>
        <w:spacing w:line="240" w:lineRule="auto"/>
        <w:ind w:left="720" w:right="1062"/>
        <w:rPr>
          <w:rFonts w:asciiTheme="minorHAnsi" w:hAnsiTheme="minorHAnsi"/>
          <w:sz w:val="20"/>
        </w:rPr>
      </w:pPr>
    </w:p>
    <w:p w14:paraId="1FBAD8CB" w14:textId="66F65FF5" w:rsidR="00EC1C24" w:rsidRPr="00863D7C" w:rsidRDefault="00EC1C24" w:rsidP="00C959EC">
      <w:pPr>
        <w:spacing w:line="240" w:lineRule="auto"/>
        <w:ind w:left="720" w:right="1062"/>
        <w:rPr>
          <w:rFonts w:asciiTheme="minorHAnsi" w:hAnsiTheme="minorHAnsi"/>
          <w:sz w:val="20"/>
        </w:rPr>
      </w:pPr>
      <w:r w:rsidRPr="00863D7C">
        <w:rPr>
          <w:rFonts w:asciiTheme="minorHAnsi" w:hAnsiTheme="minorHAnsi"/>
          <w:sz w:val="20"/>
        </w:rPr>
        <w:t xml:space="preserve">With the benefit of hindsight, the ICANN community probably should have pushed for an </w:t>
      </w:r>
      <w:r w:rsidR="00C959EC">
        <w:rPr>
          <w:rFonts w:asciiTheme="minorHAnsi" w:hAnsiTheme="minorHAnsi"/>
          <w:sz w:val="20"/>
        </w:rPr>
        <w:t>i</w:t>
      </w:r>
      <w:r w:rsidRPr="00863D7C">
        <w:rPr>
          <w:rFonts w:asciiTheme="minorHAnsi" w:hAnsiTheme="minorHAnsi"/>
          <w:sz w:val="20"/>
        </w:rPr>
        <w:t xml:space="preserve">mproved registrar agreement as a requirement to sell names in new TLDs. But it is not too late to </w:t>
      </w:r>
      <w:r w:rsidRPr="00863D7C">
        <w:rPr>
          <w:rFonts w:asciiTheme="minorHAnsi" w:hAnsiTheme="minorHAnsi"/>
          <w:sz w:val="20"/>
        </w:rPr>
        <w:lastRenderedPageBreak/>
        <w:t>create a new registrar agreement—one that incorporates the consensus recommendations of law enforcement agencies from around the world.</w:t>
      </w:r>
    </w:p>
    <w:p w14:paraId="4AF296B3" w14:textId="77777777" w:rsidR="00863D7C" w:rsidRPr="00863D7C" w:rsidRDefault="00863D7C" w:rsidP="00C959EC">
      <w:pPr>
        <w:spacing w:line="240" w:lineRule="auto"/>
        <w:ind w:left="720" w:right="1062"/>
        <w:rPr>
          <w:rFonts w:asciiTheme="minorHAnsi" w:hAnsiTheme="minorHAnsi"/>
          <w:sz w:val="20"/>
        </w:rPr>
      </w:pPr>
    </w:p>
    <w:p w14:paraId="5E1BAD66" w14:textId="77777777" w:rsidR="00EC1C24" w:rsidRPr="00863D7C" w:rsidRDefault="00EC1C24" w:rsidP="00C959EC">
      <w:pPr>
        <w:spacing w:line="240" w:lineRule="auto"/>
        <w:ind w:left="720" w:right="1062"/>
        <w:rPr>
          <w:rFonts w:asciiTheme="minorHAnsi" w:hAnsiTheme="minorHAnsi"/>
          <w:sz w:val="20"/>
        </w:rPr>
      </w:pPr>
      <w:r w:rsidRPr="00863D7C">
        <w:rPr>
          <w:rFonts w:asciiTheme="minorHAnsi" w:hAnsiTheme="minorHAnsi"/>
          <w:sz w:val="20"/>
        </w:rPr>
        <w:t xml:space="preserve">Citing urgency to address law enforcement issues, ICANN’s Board adopted a resolution in Dakar directing RAA negotiations to commence immediately. While ICANN has a protective and often prolonged process for amending </w:t>
      </w:r>
      <w:r w:rsidRPr="00863D7C">
        <w:rPr>
          <w:rFonts w:asciiTheme="minorHAnsi" w:hAnsiTheme="minorHAnsi"/>
          <w:i/>
          <w:iCs/>
          <w:sz w:val="20"/>
        </w:rPr>
        <w:t xml:space="preserve">existing </w:t>
      </w:r>
      <w:r w:rsidRPr="00863D7C">
        <w:rPr>
          <w:rFonts w:asciiTheme="minorHAnsi" w:hAnsiTheme="minorHAnsi"/>
          <w:sz w:val="20"/>
        </w:rPr>
        <w:t xml:space="preserve">contracts like the RAA, these negotiations can quickly generate a </w:t>
      </w:r>
      <w:r w:rsidRPr="00863D7C">
        <w:rPr>
          <w:rFonts w:asciiTheme="minorHAnsi" w:hAnsiTheme="minorHAnsi"/>
          <w:i/>
          <w:iCs/>
          <w:sz w:val="20"/>
        </w:rPr>
        <w:t xml:space="preserve">new </w:t>
      </w:r>
      <w:r w:rsidRPr="00863D7C">
        <w:rPr>
          <w:rFonts w:asciiTheme="minorHAnsi" w:hAnsiTheme="minorHAnsi"/>
          <w:sz w:val="20"/>
        </w:rPr>
        <w:t xml:space="preserve">RAA covering new </w:t>
      </w:r>
      <w:proofErr w:type="spellStart"/>
      <w:r w:rsidRPr="00863D7C">
        <w:rPr>
          <w:rFonts w:asciiTheme="minorHAnsi" w:hAnsiTheme="minorHAnsi"/>
          <w:sz w:val="20"/>
        </w:rPr>
        <w:t>gTLDs</w:t>
      </w:r>
      <w:proofErr w:type="spellEnd"/>
      <w:r w:rsidRPr="00863D7C">
        <w:rPr>
          <w:rFonts w:asciiTheme="minorHAnsi" w:hAnsiTheme="minorHAnsi"/>
          <w:sz w:val="20"/>
        </w:rPr>
        <w:t>.</w:t>
      </w:r>
    </w:p>
    <w:p w14:paraId="578C2C97" w14:textId="77777777" w:rsidR="00863D7C" w:rsidRPr="00863D7C" w:rsidRDefault="00863D7C" w:rsidP="00C959EC">
      <w:pPr>
        <w:spacing w:line="240" w:lineRule="auto"/>
        <w:ind w:left="720" w:right="1062"/>
        <w:rPr>
          <w:rFonts w:asciiTheme="minorHAnsi" w:hAnsiTheme="minorHAnsi"/>
          <w:sz w:val="20"/>
        </w:rPr>
      </w:pPr>
    </w:p>
    <w:p w14:paraId="66D81119" w14:textId="77777777" w:rsidR="00EC1C24" w:rsidRPr="00863D7C" w:rsidRDefault="00EC1C24" w:rsidP="00C959EC">
      <w:pPr>
        <w:spacing w:line="240" w:lineRule="auto"/>
        <w:ind w:left="720" w:right="1062"/>
        <w:rPr>
          <w:rFonts w:asciiTheme="minorHAnsi" w:hAnsiTheme="minorHAnsi"/>
          <w:sz w:val="20"/>
        </w:rPr>
      </w:pPr>
      <w:r w:rsidRPr="00863D7C">
        <w:rPr>
          <w:rFonts w:asciiTheme="minorHAnsi" w:hAnsiTheme="minorHAnsi"/>
          <w:sz w:val="20"/>
        </w:rPr>
        <w:t xml:space="preserve">ICANN should require registrars to comply with the amended RAA in order to gain accreditation to distribute names in new </w:t>
      </w:r>
      <w:proofErr w:type="spellStart"/>
      <w:r w:rsidRPr="00863D7C">
        <w:rPr>
          <w:rFonts w:asciiTheme="minorHAnsi" w:hAnsiTheme="minorHAnsi"/>
          <w:sz w:val="20"/>
        </w:rPr>
        <w:t>gTLDs</w:t>
      </w:r>
      <w:proofErr w:type="spellEnd"/>
      <w:r w:rsidRPr="00863D7C">
        <w:rPr>
          <w:rFonts w:asciiTheme="minorHAnsi" w:hAnsiTheme="minorHAnsi"/>
          <w:sz w:val="20"/>
        </w:rPr>
        <w:t>. At a minimum, ICANN should encourage each new gTLD registry to require this improved RAA for any registrar distributing or managing its domain names. </w:t>
      </w:r>
    </w:p>
    <w:p w14:paraId="0A14CD45" w14:textId="77777777" w:rsidR="00EC1C24" w:rsidRPr="00EC1C24" w:rsidRDefault="00EC1C24" w:rsidP="00863D7C">
      <w:pPr>
        <w:spacing w:line="240" w:lineRule="auto"/>
        <w:ind w:left="720"/>
        <w:rPr>
          <w:rFonts w:asciiTheme="minorHAnsi" w:hAnsiTheme="minorHAnsi"/>
        </w:rPr>
      </w:pPr>
    </w:p>
    <w:p w14:paraId="0FCD83C9" w14:textId="77777777" w:rsidR="00AC211F" w:rsidRDefault="00C94568" w:rsidP="00C94568">
      <w:pPr>
        <w:spacing w:line="240" w:lineRule="auto"/>
        <w:rPr>
          <w:rFonts w:asciiTheme="minorHAnsi" w:hAnsiTheme="minorHAnsi"/>
        </w:rPr>
      </w:pPr>
      <w:r>
        <w:rPr>
          <w:rFonts w:asciiTheme="minorHAnsi" w:hAnsiTheme="minorHAnsi"/>
        </w:rPr>
        <w:t xml:space="preserve">Sections 2 and 3 of </w:t>
      </w:r>
      <w:r w:rsidRPr="00EC1C24">
        <w:rPr>
          <w:rFonts w:asciiTheme="minorHAnsi" w:hAnsiTheme="minorHAnsi"/>
        </w:rPr>
        <w:t xml:space="preserve">Specification 11 </w:t>
      </w:r>
      <w:r>
        <w:rPr>
          <w:rFonts w:asciiTheme="minorHAnsi" w:hAnsiTheme="minorHAnsi"/>
        </w:rPr>
        <w:t xml:space="preserve">provide a </w:t>
      </w:r>
      <w:r w:rsidR="00C976AB">
        <w:rPr>
          <w:rFonts w:asciiTheme="minorHAnsi" w:hAnsiTheme="minorHAnsi"/>
        </w:rPr>
        <w:t>way</w:t>
      </w:r>
      <w:r>
        <w:rPr>
          <w:rFonts w:asciiTheme="minorHAnsi" w:hAnsiTheme="minorHAnsi"/>
        </w:rPr>
        <w:t xml:space="preserve"> for applicants to list</w:t>
      </w:r>
      <w:r w:rsidRPr="00EC1C24">
        <w:rPr>
          <w:rFonts w:asciiTheme="minorHAnsi" w:hAnsiTheme="minorHAnsi"/>
        </w:rPr>
        <w:t xml:space="preserve"> commitments and statements of intent </w:t>
      </w:r>
      <w:r>
        <w:rPr>
          <w:rFonts w:asciiTheme="minorHAnsi" w:hAnsiTheme="minorHAnsi"/>
        </w:rPr>
        <w:t xml:space="preserve">that would </w:t>
      </w:r>
      <w:r w:rsidRPr="00EC1C24">
        <w:rPr>
          <w:rFonts w:asciiTheme="minorHAnsi" w:hAnsiTheme="minorHAnsi"/>
        </w:rPr>
        <w:t>be</w:t>
      </w:r>
      <w:r>
        <w:rPr>
          <w:rFonts w:asciiTheme="minorHAnsi" w:hAnsiTheme="minorHAnsi"/>
        </w:rPr>
        <w:t xml:space="preserve">come part of the </w:t>
      </w:r>
      <w:r w:rsidRPr="00EC1C24">
        <w:rPr>
          <w:rFonts w:asciiTheme="minorHAnsi" w:hAnsiTheme="minorHAnsi"/>
        </w:rPr>
        <w:t>Registry agreement</w:t>
      </w:r>
      <w:r>
        <w:rPr>
          <w:rFonts w:asciiTheme="minorHAnsi" w:hAnsiTheme="minorHAnsi"/>
        </w:rPr>
        <w:t xml:space="preserve"> and thereby </w:t>
      </w:r>
      <w:r w:rsidRPr="00EC1C24">
        <w:rPr>
          <w:rFonts w:asciiTheme="minorHAnsi" w:hAnsiTheme="minorHAnsi"/>
        </w:rPr>
        <w:t>enforce</w:t>
      </w:r>
      <w:r>
        <w:rPr>
          <w:rFonts w:asciiTheme="minorHAnsi" w:hAnsiTheme="minorHAnsi"/>
        </w:rPr>
        <w:t>able</w:t>
      </w:r>
      <w:r w:rsidRPr="00EC1C24">
        <w:rPr>
          <w:rFonts w:asciiTheme="minorHAnsi" w:hAnsiTheme="minorHAnsi"/>
        </w:rPr>
        <w:t xml:space="preserve"> by ICANN. </w:t>
      </w:r>
      <w:r>
        <w:rPr>
          <w:rFonts w:asciiTheme="minorHAnsi" w:hAnsiTheme="minorHAnsi"/>
        </w:rPr>
        <w:t xml:space="preserve"> </w:t>
      </w:r>
    </w:p>
    <w:p w14:paraId="35D2C8F4" w14:textId="77777777" w:rsidR="00AC211F" w:rsidRDefault="00AC211F" w:rsidP="00C94568">
      <w:pPr>
        <w:spacing w:line="240" w:lineRule="auto"/>
        <w:rPr>
          <w:rFonts w:asciiTheme="minorHAnsi" w:hAnsiTheme="minorHAnsi"/>
        </w:rPr>
      </w:pPr>
    </w:p>
    <w:p w14:paraId="00F8EC80" w14:textId="5A457628" w:rsidR="00C976AB" w:rsidRDefault="00C94568" w:rsidP="00C94568">
      <w:pPr>
        <w:spacing w:line="240" w:lineRule="auto"/>
        <w:rPr>
          <w:rFonts w:asciiTheme="minorHAnsi" w:hAnsiTheme="minorHAnsi"/>
        </w:rPr>
      </w:pPr>
      <w:r>
        <w:rPr>
          <w:rFonts w:asciiTheme="minorHAnsi" w:hAnsiTheme="minorHAnsi"/>
        </w:rPr>
        <w:t xml:space="preserve">The BC supports this change to the registry agreement.   </w:t>
      </w:r>
    </w:p>
    <w:p w14:paraId="4C5C2E34" w14:textId="77777777" w:rsidR="00C976AB" w:rsidRDefault="00C976AB" w:rsidP="00C94568">
      <w:pPr>
        <w:spacing w:line="240" w:lineRule="auto"/>
        <w:rPr>
          <w:rFonts w:asciiTheme="minorHAnsi" w:hAnsiTheme="minorHAnsi"/>
        </w:rPr>
      </w:pPr>
    </w:p>
    <w:p w14:paraId="582DE578" w14:textId="5F38BA35" w:rsidR="00C94568" w:rsidRDefault="00C94568" w:rsidP="00C94568">
      <w:pPr>
        <w:spacing w:line="240" w:lineRule="auto"/>
        <w:rPr>
          <w:rFonts w:asciiTheme="minorHAnsi" w:hAnsiTheme="minorHAnsi"/>
        </w:rPr>
      </w:pPr>
      <w:r>
        <w:rPr>
          <w:rFonts w:asciiTheme="minorHAnsi" w:hAnsiTheme="minorHAnsi"/>
        </w:rPr>
        <w:t>Beginning in 2012 the BC requested that ICANN could enforce restrictions and commitments relied upon by actual and potential objectors, particularly law enforcement and government regulators</w:t>
      </w:r>
      <w:r w:rsidR="00C959EC">
        <w:rPr>
          <w:rFonts w:asciiTheme="minorHAnsi" w:hAnsiTheme="minorHAnsi"/>
        </w:rPr>
        <w:t xml:space="preserve">.   </w:t>
      </w:r>
      <w:r>
        <w:rPr>
          <w:rFonts w:asciiTheme="minorHAnsi" w:hAnsiTheme="minorHAnsi"/>
        </w:rPr>
        <w:t xml:space="preserve">Here’s how the BC described </w:t>
      </w:r>
      <w:r w:rsidR="00C959EC">
        <w:rPr>
          <w:rFonts w:asciiTheme="minorHAnsi" w:hAnsiTheme="minorHAnsi"/>
        </w:rPr>
        <w:t xml:space="preserve">and justified </w:t>
      </w:r>
      <w:r>
        <w:rPr>
          <w:rFonts w:asciiTheme="minorHAnsi" w:hAnsiTheme="minorHAnsi"/>
        </w:rPr>
        <w:t>this request in our Feb-2012 letter to ICANN Board and CEO</w:t>
      </w:r>
      <w:r w:rsidR="00870548">
        <w:rPr>
          <w:rStyle w:val="FootnoteReference"/>
          <w:rFonts w:asciiTheme="minorHAnsi" w:hAnsiTheme="minorHAnsi"/>
        </w:rPr>
        <w:footnoteReference w:id="2"/>
      </w:r>
      <w:r>
        <w:rPr>
          <w:rFonts w:asciiTheme="minorHAnsi" w:hAnsiTheme="minorHAnsi"/>
        </w:rPr>
        <w:t>:</w:t>
      </w:r>
    </w:p>
    <w:p w14:paraId="350E4B5A" w14:textId="77777777" w:rsidR="00C94568" w:rsidRPr="00EC1C24" w:rsidRDefault="00C94568" w:rsidP="00C94568">
      <w:pPr>
        <w:spacing w:line="240" w:lineRule="auto"/>
        <w:rPr>
          <w:rFonts w:asciiTheme="minorHAnsi" w:hAnsiTheme="minorHAnsi"/>
        </w:rPr>
      </w:pPr>
    </w:p>
    <w:p w14:paraId="0BFB2256" w14:textId="77777777" w:rsidR="00C94568" w:rsidRPr="00C959EC" w:rsidRDefault="00C94568" w:rsidP="00C959EC">
      <w:pPr>
        <w:spacing w:line="240" w:lineRule="auto"/>
        <w:ind w:left="720" w:right="1152"/>
        <w:rPr>
          <w:rFonts w:asciiTheme="minorHAnsi" w:hAnsiTheme="minorHAnsi"/>
          <w:sz w:val="20"/>
        </w:rPr>
      </w:pPr>
      <w:r w:rsidRPr="00C959EC">
        <w:rPr>
          <w:rFonts w:asciiTheme="minorHAnsi" w:hAnsiTheme="minorHAnsi"/>
          <w:sz w:val="20"/>
        </w:rPr>
        <w:t>1) Ensure that ICANN can enforce all registry restrictions and commitments made to potential objectors. Perhaps the most important promise ICANN made to the GAC and to its government representatives was to allow early warnings and objections to proposed TLDs that may offend cultural, religious or national sensibilities. However, the BC is concerned that the planned process won't empower ICANN to deliver on that promise.</w:t>
      </w:r>
    </w:p>
    <w:p w14:paraId="7FF1A606" w14:textId="77777777" w:rsidR="00C94568" w:rsidRPr="00C959EC" w:rsidRDefault="00C94568" w:rsidP="00C959EC">
      <w:pPr>
        <w:spacing w:line="240" w:lineRule="auto"/>
        <w:ind w:left="720" w:right="1152"/>
        <w:rPr>
          <w:rFonts w:asciiTheme="minorHAnsi" w:hAnsiTheme="minorHAnsi"/>
          <w:sz w:val="20"/>
        </w:rPr>
      </w:pPr>
    </w:p>
    <w:p w14:paraId="3C60EA16" w14:textId="77777777" w:rsidR="00C94568" w:rsidRPr="00C959EC" w:rsidRDefault="00C94568" w:rsidP="00C959EC">
      <w:pPr>
        <w:spacing w:line="240" w:lineRule="auto"/>
        <w:ind w:left="720" w:right="1152"/>
        <w:rPr>
          <w:rFonts w:asciiTheme="minorHAnsi" w:hAnsiTheme="minorHAnsi"/>
          <w:sz w:val="20"/>
        </w:rPr>
      </w:pPr>
      <w:r w:rsidRPr="00C959EC">
        <w:rPr>
          <w:rFonts w:asciiTheme="minorHAnsi" w:hAnsiTheme="minorHAnsi"/>
          <w:sz w:val="20"/>
        </w:rPr>
        <w:t>While ICANN is asking governments and other stakeholders to base their response to proposed strings on the proposed terms in the application, those terms won't actually be enforceable unless they are included as part of the formal Registry Agreement. This raises the risk that for some applicants, promised restrictions on registrants or uses of domain names could be ignored after their applications are approved. That would leave ICANN with little leverage to hold TLD operators to the restrictions that were relied upon to satisfy governments and other potential objectors.</w:t>
      </w:r>
    </w:p>
    <w:p w14:paraId="747B30DC" w14:textId="77777777" w:rsidR="00C94568" w:rsidRPr="00C959EC" w:rsidRDefault="00C94568" w:rsidP="00C959EC">
      <w:pPr>
        <w:spacing w:line="240" w:lineRule="auto"/>
        <w:ind w:left="720" w:right="1152"/>
        <w:rPr>
          <w:rFonts w:asciiTheme="minorHAnsi" w:hAnsiTheme="minorHAnsi"/>
          <w:sz w:val="20"/>
        </w:rPr>
      </w:pPr>
    </w:p>
    <w:p w14:paraId="6D012FF5" w14:textId="6EFC6041" w:rsidR="00C94568" w:rsidRPr="00C959EC" w:rsidRDefault="00C94568" w:rsidP="00C959EC">
      <w:pPr>
        <w:spacing w:line="240" w:lineRule="auto"/>
        <w:ind w:left="720" w:right="1152"/>
        <w:rPr>
          <w:rFonts w:asciiTheme="minorHAnsi" w:hAnsiTheme="minorHAnsi"/>
          <w:sz w:val="20"/>
        </w:rPr>
      </w:pPr>
      <w:r w:rsidRPr="00C959EC">
        <w:rPr>
          <w:rFonts w:asciiTheme="minorHAnsi" w:hAnsiTheme="minorHAnsi"/>
          <w:sz w:val="20"/>
        </w:rPr>
        <w:t>This loophole should be closed before the first applications are accepted, or ICANN risks breaking a critical promise made to governments that are already skeptical of the multi-‐stakeholder model.</w:t>
      </w:r>
    </w:p>
    <w:p w14:paraId="0FF7D47C" w14:textId="78C5D29E" w:rsidR="00C94568" w:rsidRPr="00EC1C24" w:rsidRDefault="00C94568" w:rsidP="00C94568">
      <w:pPr>
        <w:spacing w:line="240" w:lineRule="auto"/>
        <w:rPr>
          <w:rFonts w:asciiTheme="minorHAnsi" w:hAnsiTheme="minorHAnsi"/>
        </w:rPr>
      </w:pPr>
    </w:p>
    <w:p w14:paraId="4B8FE64B" w14:textId="77777777" w:rsidR="00A878E9" w:rsidRDefault="001865B3" w:rsidP="00F97B6D">
      <w:pPr>
        <w:spacing w:line="240" w:lineRule="auto"/>
        <w:rPr>
          <w:rFonts w:asciiTheme="minorHAnsi" w:hAnsiTheme="minorHAnsi"/>
        </w:rPr>
      </w:pPr>
      <w:r>
        <w:rPr>
          <w:rFonts w:asciiTheme="minorHAnsi" w:hAnsiTheme="minorHAnsi"/>
        </w:rPr>
        <w:t>While it was helpful to add the capability for enforceable public interest commitments, t</w:t>
      </w:r>
      <w:r w:rsidR="00D95261">
        <w:rPr>
          <w:rFonts w:asciiTheme="minorHAnsi" w:hAnsiTheme="minorHAnsi"/>
        </w:rPr>
        <w:t xml:space="preserve">he BC </w:t>
      </w:r>
      <w:r>
        <w:rPr>
          <w:rFonts w:asciiTheme="minorHAnsi" w:hAnsiTheme="minorHAnsi"/>
        </w:rPr>
        <w:t xml:space="preserve">notes with concern that </w:t>
      </w:r>
      <w:proofErr w:type="gramStart"/>
      <w:r>
        <w:rPr>
          <w:rFonts w:asciiTheme="minorHAnsi" w:hAnsiTheme="minorHAnsi"/>
        </w:rPr>
        <w:t>a small minority of applicants have</w:t>
      </w:r>
      <w:proofErr w:type="gramEnd"/>
      <w:r>
        <w:rPr>
          <w:rFonts w:asciiTheme="minorHAnsi" w:hAnsiTheme="minorHAnsi"/>
        </w:rPr>
        <w:t xml:space="preserve"> thus far elected to insert relevant </w:t>
      </w:r>
      <w:r w:rsidR="0036319A">
        <w:rPr>
          <w:rFonts w:asciiTheme="minorHAnsi" w:hAnsiTheme="minorHAnsi"/>
        </w:rPr>
        <w:t>commitments into</w:t>
      </w:r>
      <w:r>
        <w:rPr>
          <w:rFonts w:asciiTheme="minorHAnsi" w:hAnsiTheme="minorHAnsi"/>
        </w:rPr>
        <w:t xml:space="preserve"> Specification 11. </w:t>
      </w:r>
      <w:r w:rsidR="0036319A">
        <w:rPr>
          <w:rFonts w:asciiTheme="minorHAnsi" w:hAnsiTheme="minorHAnsi"/>
        </w:rPr>
        <w:t xml:space="preserve"> </w:t>
      </w:r>
    </w:p>
    <w:p w14:paraId="73FE3408" w14:textId="6A82AC0D" w:rsidR="004D7EDB" w:rsidRDefault="0036319A" w:rsidP="00F97B6D">
      <w:pPr>
        <w:spacing w:line="240" w:lineRule="auto"/>
        <w:rPr>
          <w:rFonts w:asciiTheme="minorHAnsi" w:hAnsiTheme="minorHAnsi"/>
        </w:rPr>
      </w:pPr>
      <w:r>
        <w:rPr>
          <w:rFonts w:asciiTheme="minorHAnsi" w:hAnsiTheme="minorHAnsi"/>
        </w:rPr>
        <w:t xml:space="preserve"> </w:t>
      </w:r>
    </w:p>
    <w:p w14:paraId="3E4AF21E" w14:textId="19BCB73F" w:rsidR="00A878E9" w:rsidRDefault="00A878E9" w:rsidP="00A878E9">
      <w:pPr>
        <w:spacing w:line="240" w:lineRule="auto"/>
        <w:rPr>
          <w:rFonts w:asciiTheme="minorHAnsi" w:hAnsiTheme="minorHAnsi"/>
        </w:rPr>
      </w:pPr>
      <w:r>
        <w:rPr>
          <w:rFonts w:asciiTheme="minorHAnsi" w:hAnsiTheme="minorHAnsi"/>
        </w:rPr>
        <w:t xml:space="preserve">Governments are likely to expect greater participation by applicants.   The US Government, for instance, encouraged applicants “to take advantage of this opportunity to address the concerns expressed by the GAC in its Toronto Communiqué, the individual early warnings issued by GAC members, and the ICANN public comment process on new </w:t>
      </w:r>
      <w:proofErr w:type="spellStart"/>
      <w:r>
        <w:rPr>
          <w:rFonts w:asciiTheme="minorHAnsi" w:hAnsiTheme="minorHAnsi"/>
        </w:rPr>
        <w:t>gTLDs</w:t>
      </w:r>
      <w:proofErr w:type="spellEnd"/>
      <w:r>
        <w:rPr>
          <w:rFonts w:asciiTheme="minorHAnsi" w:hAnsiTheme="minorHAnsi"/>
        </w:rPr>
        <w:t>, as appropriate</w:t>
      </w:r>
      <w:proofErr w:type="gramStart"/>
      <w:r>
        <w:rPr>
          <w:rFonts w:asciiTheme="minorHAnsi" w:hAnsiTheme="minorHAnsi"/>
        </w:rPr>
        <w:t xml:space="preserve">”  </w:t>
      </w:r>
      <w:proofErr w:type="gramEnd"/>
      <w:r w:rsidR="00C976AB">
        <w:rPr>
          <w:rStyle w:val="FootnoteReference"/>
          <w:rFonts w:asciiTheme="minorHAnsi" w:hAnsiTheme="minorHAnsi"/>
        </w:rPr>
        <w:footnoteReference w:id="3"/>
      </w:r>
    </w:p>
    <w:p w14:paraId="130EBE38" w14:textId="77777777" w:rsidR="004D7EDB" w:rsidRDefault="004D7EDB" w:rsidP="00F97B6D">
      <w:pPr>
        <w:spacing w:line="240" w:lineRule="auto"/>
        <w:rPr>
          <w:rFonts w:asciiTheme="minorHAnsi" w:hAnsiTheme="minorHAnsi"/>
        </w:rPr>
      </w:pPr>
    </w:p>
    <w:p w14:paraId="34357498" w14:textId="3CF873EA" w:rsidR="00CC239F" w:rsidRDefault="00C976AB" w:rsidP="00F97B6D">
      <w:pPr>
        <w:spacing w:line="240" w:lineRule="auto"/>
        <w:rPr>
          <w:rFonts w:asciiTheme="minorHAnsi" w:hAnsiTheme="minorHAnsi"/>
        </w:rPr>
      </w:pPr>
      <w:r>
        <w:rPr>
          <w:rFonts w:asciiTheme="minorHAnsi" w:hAnsiTheme="minorHAnsi"/>
        </w:rPr>
        <w:t>There wer</w:t>
      </w:r>
      <w:r w:rsidR="004D7EDB">
        <w:rPr>
          <w:rFonts w:asciiTheme="minorHAnsi" w:hAnsiTheme="minorHAnsi"/>
        </w:rPr>
        <w:t xml:space="preserve">e </w:t>
      </w:r>
      <w:r>
        <w:rPr>
          <w:rFonts w:asciiTheme="minorHAnsi" w:hAnsiTheme="minorHAnsi"/>
        </w:rPr>
        <w:t>over 200</w:t>
      </w:r>
      <w:r w:rsidR="004D7EDB">
        <w:rPr>
          <w:rFonts w:asciiTheme="minorHAnsi" w:hAnsiTheme="minorHAnsi"/>
        </w:rPr>
        <w:t xml:space="preserve"> applicants receiving GAC Early Warnings, </w:t>
      </w:r>
      <w:r>
        <w:rPr>
          <w:rFonts w:asciiTheme="minorHAnsi" w:hAnsiTheme="minorHAnsi"/>
        </w:rPr>
        <w:t xml:space="preserve">but </w:t>
      </w:r>
      <w:r w:rsidR="0036319A">
        <w:rPr>
          <w:rFonts w:asciiTheme="minorHAnsi" w:hAnsiTheme="minorHAnsi"/>
        </w:rPr>
        <w:t xml:space="preserve">only </w:t>
      </w:r>
      <w:r w:rsidR="004D7EDB">
        <w:rPr>
          <w:rFonts w:asciiTheme="minorHAnsi" w:hAnsiTheme="minorHAnsi"/>
        </w:rPr>
        <w:t xml:space="preserve">83 applicants added any commitments to their Specification 11.  It may be that the early warnings on the other applications did not lead to adding new enforceable commitments to the registry contract.  But the BC encourages applicants, the GAC, and ICANN to examine all GAC early warnings and objections to ensure that ICANN can enforce any relevant commitments as part of new registry agreements. </w:t>
      </w:r>
    </w:p>
    <w:p w14:paraId="6B5E3D3B" w14:textId="77777777" w:rsidR="00C976AB" w:rsidRDefault="00C976AB" w:rsidP="00F97B6D">
      <w:pPr>
        <w:spacing w:line="240" w:lineRule="auto"/>
        <w:rPr>
          <w:rFonts w:asciiTheme="minorHAnsi" w:hAnsiTheme="minorHAnsi"/>
        </w:rPr>
      </w:pPr>
    </w:p>
    <w:p w14:paraId="4965C81B" w14:textId="77777777" w:rsidR="001865B3" w:rsidRDefault="001865B3" w:rsidP="00F97B6D">
      <w:pPr>
        <w:spacing w:line="240" w:lineRule="auto"/>
        <w:rPr>
          <w:rFonts w:asciiTheme="minorHAnsi" w:hAnsiTheme="minorHAnsi"/>
        </w:rPr>
      </w:pPr>
    </w:p>
    <w:p w14:paraId="1F7D91EA" w14:textId="7E0A7294" w:rsidR="00CB4564" w:rsidRPr="00CB4564" w:rsidRDefault="00AC211F" w:rsidP="00F97B6D">
      <w:pPr>
        <w:spacing w:line="240" w:lineRule="auto"/>
        <w:rPr>
          <w:rFonts w:asciiTheme="minorHAnsi" w:hAnsiTheme="minorHAnsi"/>
          <w:b/>
          <w:u w:val="single"/>
        </w:rPr>
      </w:pPr>
      <w:r>
        <w:rPr>
          <w:rFonts w:asciiTheme="minorHAnsi" w:hAnsiTheme="minorHAnsi"/>
          <w:b/>
          <w:u w:val="single"/>
        </w:rPr>
        <w:t xml:space="preserve">Base Agreement </w:t>
      </w:r>
      <w:r w:rsidR="00CB4564" w:rsidRPr="00CB4564">
        <w:rPr>
          <w:rFonts w:asciiTheme="minorHAnsi" w:hAnsiTheme="minorHAnsi"/>
          <w:b/>
          <w:u w:val="single"/>
        </w:rPr>
        <w:t>A</w:t>
      </w:r>
      <w:r w:rsidR="00CB4564">
        <w:rPr>
          <w:rFonts w:asciiTheme="minorHAnsi" w:hAnsiTheme="minorHAnsi"/>
          <w:b/>
          <w:u w:val="single"/>
        </w:rPr>
        <w:t>rticle 4: Transi</w:t>
      </w:r>
      <w:r w:rsidR="00CB4564" w:rsidRPr="00CB4564">
        <w:rPr>
          <w:rFonts w:asciiTheme="minorHAnsi" w:hAnsiTheme="minorHAnsi"/>
          <w:b/>
          <w:u w:val="single"/>
        </w:rPr>
        <w:t>tion of Registry upon termination of Agreement</w:t>
      </w:r>
    </w:p>
    <w:p w14:paraId="2F538351" w14:textId="77777777" w:rsidR="00CB4564" w:rsidRDefault="00CB4564" w:rsidP="00F97B6D">
      <w:pPr>
        <w:spacing w:line="240" w:lineRule="auto"/>
        <w:rPr>
          <w:rFonts w:asciiTheme="minorHAnsi" w:hAnsiTheme="minorHAnsi"/>
        </w:rPr>
      </w:pPr>
    </w:p>
    <w:p w14:paraId="3A76C723" w14:textId="69017559" w:rsidR="001D43F4" w:rsidRDefault="001D43F4" w:rsidP="002F47AE">
      <w:pPr>
        <w:spacing w:line="240" w:lineRule="auto"/>
        <w:rPr>
          <w:rFonts w:asciiTheme="minorHAnsi" w:hAnsiTheme="minorHAnsi"/>
        </w:rPr>
      </w:pPr>
      <w:r>
        <w:rPr>
          <w:rFonts w:asciiTheme="minorHAnsi" w:hAnsiTheme="minorHAnsi"/>
        </w:rPr>
        <w:t xml:space="preserve">The BC believes that the transition of a new gTLD registry upon termination should be subject to approval by the TLD operator </w:t>
      </w:r>
      <w:r w:rsidRPr="003206FD">
        <w:rPr>
          <w:rFonts w:asciiTheme="minorHAnsi" w:hAnsiTheme="minorHAnsi"/>
          <w:b/>
          <w:i/>
        </w:rPr>
        <w:t xml:space="preserve">in cases where </w:t>
      </w:r>
      <w:proofErr w:type="gramStart"/>
      <w:r w:rsidRPr="003206FD">
        <w:rPr>
          <w:rFonts w:asciiTheme="minorHAnsi" w:hAnsiTheme="minorHAnsi"/>
          <w:b/>
          <w:i/>
        </w:rPr>
        <w:t xml:space="preserve">all of the domains </w:t>
      </w:r>
      <w:r w:rsidR="00AC211F">
        <w:rPr>
          <w:rFonts w:asciiTheme="minorHAnsi" w:hAnsiTheme="minorHAnsi"/>
          <w:b/>
          <w:i/>
        </w:rPr>
        <w:t>are</w:t>
      </w:r>
      <w:r w:rsidRPr="003206FD">
        <w:rPr>
          <w:rFonts w:asciiTheme="minorHAnsi" w:hAnsiTheme="minorHAnsi"/>
          <w:b/>
          <w:i/>
        </w:rPr>
        <w:t xml:space="preserve"> registered by the TLD operator</w:t>
      </w:r>
      <w:proofErr w:type="gramEnd"/>
      <w:r>
        <w:rPr>
          <w:rFonts w:asciiTheme="minorHAnsi" w:hAnsiTheme="minorHAnsi"/>
        </w:rPr>
        <w:t>.</w:t>
      </w:r>
      <w:r w:rsidR="003206FD" w:rsidRPr="003206FD">
        <w:rPr>
          <w:rFonts w:asciiTheme="minorHAnsi" w:hAnsiTheme="minorHAnsi"/>
        </w:rPr>
        <w:t xml:space="preserve"> </w:t>
      </w:r>
      <w:r w:rsidR="003206FD">
        <w:rPr>
          <w:rFonts w:asciiTheme="minorHAnsi" w:hAnsiTheme="minorHAnsi"/>
        </w:rPr>
        <w:t xml:space="preserve">  Here is how the BC argued for that principle in our May-2011 comments on the Draft Applicant Guidebook</w:t>
      </w:r>
      <w:r w:rsidR="003206FD">
        <w:rPr>
          <w:rStyle w:val="FootnoteReference"/>
          <w:rFonts w:asciiTheme="minorHAnsi" w:hAnsiTheme="minorHAnsi"/>
        </w:rPr>
        <w:footnoteReference w:id="4"/>
      </w:r>
      <w:r w:rsidR="003206FD">
        <w:rPr>
          <w:rFonts w:asciiTheme="minorHAnsi" w:hAnsiTheme="minorHAnsi"/>
        </w:rPr>
        <w:t>:</w:t>
      </w:r>
    </w:p>
    <w:p w14:paraId="63E2CCC3" w14:textId="77777777" w:rsidR="003206FD" w:rsidRDefault="003206FD" w:rsidP="002F47AE">
      <w:pPr>
        <w:spacing w:line="240" w:lineRule="auto"/>
        <w:rPr>
          <w:rFonts w:asciiTheme="minorHAnsi" w:hAnsiTheme="minorHAnsi"/>
        </w:rPr>
      </w:pPr>
    </w:p>
    <w:tbl>
      <w:tblPr>
        <w:tblW w:w="883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38"/>
      </w:tblGrid>
      <w:tr w:rsidR="003206FD" w:rsidRPr="004B63EC" w14:paraId="36A1E374" w14:textId="77777777" w:rsidTr="003206FD">
        <w:trPr>
          <w:trHeight w:val="1052"/>
        </w:trPr>
        <w:tc>
          <w:tcPr>
            <w:tcW w:w="8838" w:type="dxa"/>
          </w:tcPr>
          <w:p w14:paraId="4FF375D1" w14:textId="77777777" w:rsidR="003206FD" w:rsidRPr="004B63EC" w:rsidRDefault="003206FD" w:rsidP="003206FD">
            <w:pPr>
              <w:rPr>
                <w:rFonts w:ascii="Arial" w:hAnsi="Arial" w:cs="Arial"/>
                <w:b/>
                <w:sz w:val="20"/>
                <w:szCs w:val="20"/>
              </w:rPr>
            </w:pPr>
            <w:r w:rsidRPr="004B63EC">
              <w:rPr>
                <w:rFonts w:ascii="Arial" w:hAnsi="Arial" w:cs="Arial"/>
                <w:b/>
                <w:sz w:val="20"/>
                <w:szCs w:val="20"/>
              </w:rPr>
              <w:t>Rationale for BC Recommendation:</w:t>
            </w:r>
          </w:p>
          <w:p w14:paraId="49FBA040" w14:textId="77777777" w:rsidR="003206FD" w:rsidRPr="004B63EC" w:rsidRDefault="003206FD" w:rsidP="003206FD">
            <w:pPr>
              <w:rPr>
                <w:rFonts w:ascii="Arial" w:hAnsi="Arial" w:cs="Arial"/>
                <w:sz w:val="20"/>
                <w:szCs w:val="20"/>
              </w:rPr>
            </w:pPr>
            <w:r w:rsidRPr="004B63EC">
              <w:rPr>
                <w:rFonts w:ascii="Arial" w:hAnsi="Arial" w:cs="Arial"/>
                <w:sz w:val="20"/>
                <w:szCs w:val="20"/>
              </w:rPr>
              <w:t>Single-registrant TLDs will be operated by entities whose IP rights survive any termination of their registry operating agreement with ICANN.   Moreover, all second level domains would be under control of the TLD operator, who is in the sole position to determine whether interests of domain owners are better served by transition or outright termination of the gTLD.</w:t>
            </w:r>
          </w:p>
          <w:p w14:paraId="553FA279" w14:textId="77777777" w:rsidR="003206FD" w:rsidRPr="004B63EC" w:rsidRDefault="003206FD" w:rsidP="003206FD">
            <w:pPr>
              <w:rPr>
                <w:rFonts w:ascii="Arial" w:eastAsia="MS MinNew Roman" w:hAnsi="Arial" w:cs="Arial"/>
                <w:sz w:val="20"/>
                <w:szCs w:val="20"/>
              </w:rPr>
            </w:pPr>
          </w:p>
          <w:p w14:paraId="0548D307" w14:textId="77777777" w:rsidR="003206FD" w:rsidRPr="004B63EC" w:rsidRDefault="003206FD" w:rsidP="003206FD">
            <w:pPr>
              <w:rPr>
                <w:rFonts w:ascii="Arial" w:eastAsia="MS MinNew Roman" w:hAnsi="Arial" w:cs="Arial"/>
                <w:sz w:val="20"/>
                <w:szCs w:val="20"/>
              </w:rPr>
            </w:pPr>
            <w:r w:rsidRPr="004B63EC">
              <w:rPr>
                <w:rFonts w:ascii="Arial" w:eastAsia="MS MinNew Roman" w:hAnsi="Arial" w:cs="Arial"/>
                <w:sz w:val="20"/>
                <w:szCs w:val="20"/>
              </w:rPr>
              <w:t>In situa</w:t>
            </w:r>
            <w:r>
              <w:rPr>
                <w:rFonts w:ascii="Arial" w:eastAsia="MS MinNew Roman" w:hAnsi="Arial" w:cs="Arial"/>
                <w:sz w:val="20"/>
                <w:szCs w:val="20"/>
              </w:rPr>
              <w:t xml:space="preserve">tions where a single-registrant </w:t>
            </w:r>
            <w:r w:rsidRPr="004B63EC">
              <w:rPr>
                <w:rFonts w:ascii="Arial" w:eastAsia="MS MinNew Roman" w:hAnsi="Arial" w:cs="Arial"/>
                <w:sz w:val="20"/>
                <w:szCs w:val="20"/>
              </w:rPr>
              <w:t xml:space="preserve">owns or controls all second level domains, an expiration or termination of the Registry Agreement may lead to the closure of the gTLD or transfer to a new entity by a bankruptcy court or administrator instead of transition to a new operator.  </w:t>
            </w:r>
          </w:p>
          <w:p w14:paraId="55D46991" w14:textId="77777777" w:rsidR="003206FD" w:rsidRPr="004B63EC" w:rsidRDefault="003206FD" w:rsidP="003206FD">
            <w:pPr>
              <w:rPr>
                <w:rFonts w:ascii="Arial" w:eastAsia="MS MinNew Roman" w:hAnsi="Arial" w:cs="Arial"/>
                <w:sz w:val="20"/>
                <w:szCs w:val="20"/>
              </w:rPr>
            </w:pPr>
          </w:p>
          <w:p w14:paraId="50E2B817" w14:textId="77777777" w:rsidR="003206FD" w:rsidRPr="004B63EC" w:rsidRDefault="003206FD" w:rsidP="003206FD">
            <w:pPr>
              <w:rPr>
                <w:rFonts w:ascii="Arial" w:eastAsia="MS MinNew Roman" w:hAnsi="Arial" w:cs="Arial"/>
                <w:sz w:val="20"/>
                <w:szCs w:val="20"/>
              </w:rPr>
            </w:pPr>
            <w:r w:rsidRPr="004B63EC">
              <w:rPr>
                <w:rFonts w:ascii="Arial" w:eastAsia="MS MinNew Roman" w:hAnsi="Arial" w:cs="Arial"/>
                <w:sz w:val="20"/>
                <w:szCs w:val="20"/>
              </w:rPr>
              <w:t>In these circumstances, the registry operator has reason to deny transition or transfer of registry data to a new operator designated by ICANN.</w:t>
            </w:r>
          </w:p>
          <w:p w14:paraId="24BD3116" w14:textId="77777777" w:rsidR="003206FD" w:rsidRPr="004B63EC" w:rsidRDefault="003206FD" w:rsidP="003206FD">
            <w:pPr>
              <w:rPr>
                <w:rFonts w:ascii="Arial" w:eastAsia="MS MinNew Roman" w:hAnsi="Arial" w:cs="Arial"/>
                <w:sz w:val="20"/>
                <w:szCs w:val="20"/>
              </w:rPr>
            </w:pPr>
          </w:p>
          <w:p w14:paraId="0910CD98" w14:textId="77777777" w:rsidR="003206FD" w:rsidRPr="004B63EC" w:rsidRDefault="003206FD" w:rsidP="003206FD">
            <w:pPr>
              <w:rPr>
                <w:rFonts w:ascii="Arial" w:eastAsia="MS MinNew Roman" w:hAnsi="Arial" w:cs="Arial"/>
                <w:sz w:val="20"/>
                <w:szCs w:val="20"/>
              </w:rPr>
            </w:pPr>
            <w:r w:rsidRPr="004B63EC">
              <w:rPr>
                <w:rFonts w:ascii="Arial" w:eastAsia="MS MinNew Roman" w:hAnsi="Arial" w:cs="Arial"/>
                <w:sz w:val="20"/>
                <w:szCs w:val="20"/>
              </w:rPr>
              <w:t>In circumstances where ICANN transitions a single-registrant TLD to a new operator, intellectual property rights of the original operator should not be conveyed to the new operator or to ICANN, as transferring registry data may reveal trade secrets to a third-party, including customer lists.</w:t>
            </w:r>
          </w:p>
          <w:p w14:paraId="64AC0753" w14:textId="77777777" w:rsidR="003206FD" w:rsidRPr="004B63EC" w:rsidRDefault="003206FD" w:rsidP="003206FD">
            <w:pPr>
              <w:rPr>
                <w:rFonts w:ascii="Arial" w:hAnsi="Arial" w:cs="Arial"/>
                <w:b/>
                <w:sz w:val="20"/>
                <w:szCs w:val="20"/>
              </w:rPr>
            </w:pPr>
          </w:p>
        </w:tc>
      </w:tr>
      <w:tr w:rsidR="003206FD" w:rsidRPr="004B63EC" w14:paraId="12ABCCF7" w14:textId="77777777" w:rsidTr="003206FD">
        <w:trPr>
          <w:trHeight w:val="1052"/>
        </w:trPr>
        <w:tc>
          <w:tcPr>
            <w:tcW w:w="8838" w:type="dxa"/>
          </w:tcPr>
          <w:p w14:paraId="7B9FACFB" w14:textId="77777777" w:rsidR="003206FD" w:rsidRDefault="003206FD" w:rsidP="00320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color w:val="000000"/>
                <w:sz w:val="20"/>
                <w:szCs w:val="20"/>
              </w:rPr>
            </w:pPr>
          </w:p>
          <w:p w14:paraId="37BC2334" w14:textId="77777777" w:rsidR="003206FD" w:rsidRPr="004B63EC" w:rsidRDefault="003206FD" w:rsidP="00320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color w:val="000000"/>
                <w:sz w:val="20"/>
                <w:szCs w:val="20"/>
              </w:rPr>
            </w:pPr>
            <w:r w:rsidRPr="004B63EC">
              <w:rPr>
                <w:rFonts w:ascii="Arial" w:eastAsia="Times New Roman" w:hAnsi="Arial" w:cs="Arial"/>
                <w:color w:val="000000"/>
                <w:sz w:val="20"/>
                <w:szCs w:val="20"/>
              </w:rPr>
              <w:t>Since 2009, the BC has maintained that TLDs intended for "internal use" include those registries that are “not for sale to the general public". BC discussions of "internal use" include the following entities:</w:t>
            </w:r>
          </w:p>
          <w:p w14:paraId="479F4BD8" w14:textId="77777777" w:rsidR="003206FD" w:rsidRPr="004B63EC" w:rsidRDefault="003206FD" w:rsidP="003206FD">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rPr>
                <w:rFonts w:ascii="Arial" w:eastAsia="Times New Roman" w:hAnsi="Arial" w:cs="Arial"/>
                <w:color w:val="000000"/>
                <w:sz w:val="20"/>
                <w:szCs w:val="20"/>
              </w:rPr>
            </w:pPr>
            <w:r w:rsidRPr="004B63EC">
              <w:rPr>
                <w:rFonts w:ascii="Arial" w:eastAsia="Times New Roman" w:hAnsi="Arial" w:cs="Arial"/>
                <w:color w:val="000000"/>
                <w:sz w:val="20"/>
                <w:szCs w:val="20"/>
              </w:rPr>
              <w:t xml:space="preserve">Divisions and product names for a single registrant (e.g. </w:t>
            </w:r>
            <w:proofErr w:type="spellStart"/>
            <w:r w:rsidRPr="004B63EC">
              <w:rPr>
                <w:rFonts w:ascii="Arial" w:eastAsia="Times New Roman" w:hAnsi="Arial" w:cs="Arial"/>
                <w:color w:val="000000"/>
                <w:sz w:val="20"/>
                <w:szCs w:val="20"/>
              </w:rPr>
              <w:t>copiers.canon</w:t>
            </w:r>
            <w:proofErr w:type="spellEnd"/>
            <w:r w:rsidRPr="004B63EC">
              <w:rPr>
                <w:rFonts w:ascii="Arial" w:eastAsia="Times New Roman" w:hAnsi="Arial" w:cs="Arial"/>
                <w:color w:val="000000"/>
                <w:sz w:val="20"/>
                <w:szCs w:val="20"/>
              </w:rPr>
              <w:t>)</w:t>
            </w:r>
          </w:p>
          <w:p w14:paraId="452D8206" w14:textId="77777777" w:rsidR="003206FD" w:rsidRPr="004B63EC" w:rsidRDefault="003206FD" w:rsidP="003206FD">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rPr>
                <w:rFonts w:ascii="Arial" w:eastAsia="Times New Roman" w:hAnsi="Arial" w:cs="Arial"/>
                <w:color w:val="000000"/>
                <w:sz w:val="20"/>
                <w:szCs w:val="20"/>
              </w:rPr>
            </w:pPr>
            <w:r w:rsidRPr="004B63EC">
              <w:rPr>
                <w:rFonts w:ascii="Arial" w:eastAsia="Times New Roman" w:hAnsi="Arial" w:cs="Arial"/>
                <w:color w:val="000000"/>
                <w:sz w:val="20"/>
                <w:szCs w:val="20"/>
              </w:rPr>
              <w:t>Employees of a single registrant, for use in second level domains and email addresses</w:t>
            </w:r>
          </w:p>
          <w:p w14:paraId="7DE1F0E0" w14:textId="77777777" w:rsidR="003206FD" w:rsidRPr="004B63EC" w:rsidRDefault="003206FD" w:rsidP="003206FD">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rPr>
                <w:rFonts w:ascii="Arial" w:eastAsia="Times New Roman" w:hAnsi="Arial" w:cs="Arial"/>
                <w:color w:val="000000"/>
                <w:sz w:val="20"/>
                <w:szCs w:val="20"/>
              </w:rPr>
            </w:pPr>
            <w:r w:rsidRPr="004B63EC">
              <w:rPr>
                <w:rFonts w:ascii="Arial" w:eastAsia="Times New Roman" w:hAnsi="Arial" w:cs="Arial"/>
                <w:color w:val="000000"/>
                <w:sz w:val="20"/>
                <w:szCs w:val="20"/>
              </w:rPr>
              <w:t>Subscribers, customers, and registered users of a single registrant, subject to approval and control by the single registrant.</w:t>
            </w:r>
          </w:p>
          <w:p w14:paraId="5FE2B344" w14:textId="77777777" w:rsidR="003206FD" w:rsidRPr="004B63EC" w:rsidRDefault="003206FD" w:rsidP="003206FD">
            <w:pPr>
              <w:rPr>
                <w:rFonts w:ascii="Arial" w:hAnsi="Arial" w:cs="Arial"/>
                <w:sz w:val="20"/>
                <w:szCs w:val="20"/>
              </w:rPr>
            </w:pPr>
          </w:p>
          <w:p w14:paraId="17041524" w14:textId="77777777" w:rsidR="003206FD" w:rsidRPr="004B63EC" w:rsidRDefault="003206FD" w:rsidP="003206FD">
            <w:pPr>
              <w:rPr>
                <w:rFonts w:ascii="Arial" w:hAnsi="Arial" w:cs="Arial"/>
                <w:sz w:val="20"/>
                <w:szCs w:val="20"/>
              </w:rPr>
            </w:pPr>
            <w:r w:rsidRPr="004B63EC">
              <w:rPr>
                <w:rFonts w:ascii="Arial" w:hAnsi="Arial" w:cs="Arial"/>
                <w:sz w:val="20"/>
                <w:szCs w:val="20"/>
              </w:rPr>
              <w:t>In all these cases, the registry Operator shall be the registrant of record for all second level domain names in the TLD.</w:t>
            </w:r>
          </w:p>
        </w:tc>
      </w:tr>
    </w:tbl>
    <w:p w14:paraId="30B309FE" w14:textId="77777777" w:rsidR="001D43F4" w:rsidRDefault="001D43F4" w:rsidP="002F47AE">
      <w:pPr>
        <w:spacing w:line="240" w:lineRule="auto"/>
        <w:rPr>
          <w:rFonts w:asciiTheme="minorHAnsi" w:hAnsiTheme="minorHAnsi"/>
        </w:rPr>
      </w:pPr>
    </w:p>
    <w:p w14:paraId="0192D903" w14:textId="6F036F70" w:rsidR="003206FD" w:rsidRDefault="001D43F4" w:rsidP="002F47AE">
      <w:pPr>
        <w:spacing w:line="240" w:lineRule="auto"/>
        <w:rPr>
          <w:rFonts w:asciiTheme="minorHAnsi" w:hAnsiTheme="minorHAnsi"/>
        </w:rPr>
      </w:pPr>
      <w:r>
        <w:rPr>
          <w:rFonts w:asciiTheme="minorHAnsi" w:hAnsiTheme="minorHAnsi"/>
        </w:rPr>
        <w:lastRenderedPageBreak/>
        <w:t xml:space="preserve">Article 4 of the </w:t>
      </w:r>
      <w:r w:rsidR="003206FD">
        <w:rPr>
          <w:rFonts w:asciiTheme="minorHAnsi" w:hAnsiTheme="minorHAnsi"/>
        </w:rPr>
        <w:t xml:space="preserve">proposed </w:t>
      </w:r>
      <w:r>
        <w:rPr>
          <w:rFonts w:asciiTheme="minorHAnsi" w:hAnsiTheme="minorHAnsi"/>
        </w:rPr>
        <w:t>Registry Agreement comes close to meeting the BC position</w:t>
      </w:r>
      <w:r w:rsidR="003206FD">
        <w:rPr>
          <w:rFonts w:asciiTheme="minorHAnsi" w:hAnsiTheme="minorHAnsi"/>
        </w:rPr>
        <w:t>, except that ICANN would retain sole discretion for transferring control if the registry had allowed a</w:t>
      </w:r>
      <w:r w:rsidR="00907A58">
        <w:rPr>
          <w:rFonts w:asciiTheme="minorHAnsi" w:hAnsiTheme="minorHAnsi"/>
        </w:rPr>
        <w:t>ny non-affiliates to</w:t>
      </w:r>
      <w:r w:rsidR="003206FD">
        <w:rPr>
          <w:rFonts w:asciiTheme="minorHAnsi" w:hAnsiTheme="minorHAnsi"/>
        </w:rPr>
        <w:t xml:space="preserve"> use of any domains it had registered.  Here is how the proposed Registry Agreement has it (emphasis added):</w:t>
      </w:r>
    </w:p>
    <w:p w14:paraId="2E2CF46B" w14:textId="77777777" w:rsidR="002F47AE" w:rsidRDefault="002F47AE" w:rsidP="002F47AE">
      <w:pPr>
        <w:spacing w:line="240" w:lineRule="auto"/>
        <w:rPr>
          <w:rFonts w:asciiTheme="minorHAnsi" w:hAnsiTheme="minorHAnsi"/>
        </w:rPr>
      </w:pPr>
    </w:p>
    <w:p w14:paraId="01C3CBC4" w14:textId="03ED6789" w:rsidR="002F47AE" w:rsidRPr="003206FD" w:rsidRDefault="002F47AE" w:rsidP="002F47AE">
      <w:pPr>
        <w:spacing w:line="240" w:lineRule="auto"/>
        <w:ind w:left="720" w:right="792"/>
        <w:rPr>
          <w:rFonts w:asciiTheme="minorHAnsi" w:hAnsiTheme="minorHAnsi"/>
          <w:sz w:val="20"/>
        </w:rPr>
      </w:pPr>
      <w:proofErr w:type="gramStart"/>
      <w:r w:rsidRPr="002F47AE">
        <w:rPr>
          <w:rFonts w:asciiTheme="minorHAnsi" w:hAnsiTheme="minorHAnsi"/>
          <w:sz w:val="20"/>
        </w:rPr>
        <w:t>provided</w:t>
      </w:r>
      <w:proofErr w:type="gramEnd"/>
      <w:r w:rsidRPr="002F47AE">
        <w:rPr>
          <w:rFonts w:asciiTheme="minorHAnsi" w:hAnsiTheme="minorHAnsi"/>
          <w:sz w:val="20"/>
        </w:rPr>
        <w:t>, however, that if Registry Operator demonstrates to ICANN’s reasonable satisfaction that (</w:t>
      </w:r>
      <w:proofErr w:type="spellStart"/>
      <w:r w:rsidRPr="002F47AE">
        <w:rPr>
          <w:rFonts w:asciiTheme="minorHAnsi" w:hAnsiTheme="minorHAnsi"/>
          <w:sz w:val="20"/>
        </w:rPr>
        <w:t>i</w:t>
      </w:r>
      <w:proofErr w:type="spellEnd"/>
      <w:r w:rsidRPr="002F47AE">
        <w:rPr>
          <w:rFonts w:asciiTheme="minorHAnsi" w:hAnsiTheme="minorHAnsi"/>
          <w:sz w:val="20"/>
        </w:rPr>
        <w:t xml:space="preserve">) all domain name registrations in the TLD are registered to, and maintained by, Registry Operator for its own exclusive use, (ii) Registry Operator does not sell, distribute or </w:t>
      </w:r>
      <w:r w:rsidRPr="003206FD">
        <w:rPr>
          <w:rFonts w:asciiTheme="minorHAnsi" w:hAnsiTheme="minorHAnsi"/>
          <w:sz w:val="20"/>
        </w:rPr>
        <w:t xml:space="preserve">transfer control </w:t>
      </w:r>
      <w:r w:rsidRPr="00AC211F">
        <w:rPr>
          <w:rFonts w:asciiTheme="minorHAnsi" w:hAnsiTheme="minorHAnsi"/>
          <w:b/>
          <w:sz w:val="20"/>
          <w:u w:val="single"/>
        </w:rPr>
        <w:t>or use</w:t>
      </w:r>
      <w:r w:rsidRPr="003206FD">
        <w:rPr>
          <w:rFonts w:asciiTheme="minorHAnsi" w:hAnsiTheme="minorHAnsi"/>
          <w:b/>
          <w:sz w:val="20"/>
        </w:rPr>
        <w:t xml:space="preserve"> </w:t>
      </w:r>
      <w:r w:rsidRPr="003206FD">
        <w:rPr>
          <w:rFonts w:asciiTheme="minorHAnsi" w:hAnsiTheme="minorHAnsi"/>
          <w:sz w:val="20"/>
        </w:rPr>
        <w:t>of any registrations in the TLD to any third party that is not an Affiliate of Registry Operator</w:t>
      </w:r>
      <w:r w:rsidR="003206FD" w:rsidRPr="003206FD">
        <w:rPr>
          <w:rFonts w:asciiTheme="minorHAnsi" w:hAnsiTheme="minorHAnsi"/>
          <w:sz w:val="20"/>
        </w:rPr>
        <w:t>.</w:t>
      </w:r>
    </w:p>
    <w:p w14:paraId="0DA97388" w14:textId="77777777" w:rsidR="002F47AE" w:rsidRDefault="002F47AE" w:rsidP="002F47AE">
      <w:pPr>
        <w:spacing w:line="240" w:lineRule="auto"/>
        <w:ind w:left="720" w:right="792"/>
        <w:rPr>
          <w:rFonts w:asciiTheme="minorHAnsi" w:hAnsiTheme="minorHAnsi"/>
          <w:sz w:val="20"/>
        </w:rPr>
      </w:pPr>
    </w:p>
    <w:p w14:paraId="49E4821E" w14:textId="34C97408" w:rsidR="0024624C" w:rsidRDefault="00907A58" w:rsidP="003206FD">
      <w:pPr>
        <w:spacing w:line="240" w:lineRule="auto"/>
        <w:rPr>
          <w:rFonts w:asciiTheme="minorHAnsi" w:hAnsiTheme="minorHAnsi"/>
        </w:rPr>
      </w:pPr>
      <w:r>
        <w:rPr>
          <w:rFonts w:asciiTheme="minorHAnsi" w:hAnsiTheme="minorHAnsi"/>
        </w:rPr>
        <w:t xml:space="preserve">To accommodate use by entities that are not </w:t>
      </w:r>
      <w:proofErr w:type="gramStart"/>
      <w:r>
        <w:rPr>
          <w:rFonts w:asciiTheme="minorHAnsi" w:hAnsiTheme="minorHAnsi"/>
        </w:rPr>
        <w:t>Affiliates</w:t>
      </w:r>
      <w:proofErr w:type="gramEnd"/>
      <w:r>
        <w:rPr>
          <w:rFonts w:asciiTheme="minorHAnsi" w:hAnsiTheme="minorHAnsi"/>
        </w:rPr>
        <w:t xml:space="preserve"> of the operator (such as subscribers and customers), t</w:t>
      </w:r>
      <w:r w:rsidR="003206FD">
        <w:rPr>
          <w:rFonts w:asciiTheme="minorHAnsi" w:hAnsiTheme="minorHAnsi"/>
        </w:rPr>
        <w:t>he BC recommends strik</w:t>
      </w:r>
      <w:r>
        <w:rPr>
          <w:rFonts w:asciiTheme="minorHAnsi" w:hAnsiTheme="minorHAnsi"/>
        </w:rPr>
        <w:t>ing</w:t>
      </w:r>
      <w:r w:rsidR="003206FD">
        <w:rPr>
          <w:rFonts w:asciiTheme="minorHAnsi" w:hAnsiTheme="minorHAnsi"/>
        </w:rPr>
        <w:t xml:space="preserve"> “or use” from the above paragraph in the Registry Agreement.</w:t>
      </w:r>
    </w:p>
    <w:p w14:paraId="77FFB5D0" w14:textId="77777777" w:rsidR="00AC211F" w:rsidRDefault="00AC211F" w:rsidP="003206FD">
      <w:pPr>
        <w:spacing w:line="240" w:lineRule="auto"/>
        <w:rPr>
          <w:rFonts w:asciiTheme="minorHAnsi" w:hAnsiTheme="minorHAnsi"/>
        </w:rPr>
      </w:pPr>
    </w:p>
    <w:p w14:paraId="5E608446" w14:textId="77777777" w:rsidR="0024624C" w:rsidRDefault="0024624C" w:rsidP="00F97B6D">
      <w:pPr>
        <w:spacing w:line="240" w:lineRule="auto"/>
        <w:rPr>
          <w:rFonts w:asciiTheme="minorHAnsi" w:hAnsiTheme="minorHAnsi"/>
        </w:rPr>
      </w:pPr>
    </w:p>
    <w:p w14:paraId="792E7474" w14:textId="486F4060" w:rsidR="00D661AB" w:rsidRPr="00CB4564" w:rsidRDefault="00AC211F" w:rsidP="00D661AB">
      <w:pPr>
        <w:spacing w:line="240" w:lineRule="auto"/>
        <w:rPr>
          <w:rFonts w:asciiTheme="minorHAnsi" w:hAnsiTheme="minorHAnsi"/>
          <w:b/>
          <w:u w:val="single"/>
        </w:rPr>
      </w:pPr>
      <w:r>
        <w:rPr>
          <w:rFonts w:asciiTheme="minorHAnsi" w:hAnsiTheme="minorHAnsi"/>
          <w:b/>
          <w:u w:val="single"/>
        </w:rPr>
        <w:t>Base Agreement</w:t>
      </w:r>
      <w:r w:rsidR="00D661AB" w:rsidRPr="00CB4564">
        <w:rPr>
          <w:rFonts w:asciiTheme="minorHAnsi" w:hAnsiTheme="minorHAnsi"/>
          <w:b/>
          <w:u w:val="single"/>
        </w:rPr>
        <w:t xml:space="preserve"> A</w:t>
      </w:r>
      <w:r w:rsidR="00D661AB">
        <w:rPr>
          <w:rFonts w:asciiTheme="minorHAnsi" w:hAnsiTheme="minorHAnsi"/>
          <w:b/>
          <w:u w:val="single"/>
        </w:rPr>
        <w:t>rticle 7: Amendments to the Registry Agreement</w:t>
      </w:r>
    </w:p>
    <w:p w14:paraId="37BF674B" w14:textId="77777777" w:rsidR="0024624C" w:rsidRDefault="0024624C" w:rsidP="00F97B6D">
      <w:pPr>
        <w:spacing w:line="240" w:lineRule="auto"/>
        <w:rPr>
          <w:rFonts w:asciiTheme="minorHAnsi" w:hAnsiTheme="minorHAnsi"/>
        </w:rPr>
      </w:pPr>
    </w:p>
    <w:p w14:paraId="6FB3BA91" w14:textId="7D2CA4C9" w:rsidR="00D661AB" w:rsidRDefault="00D661AB" w:rsidP="00D661AB">
      <w:pPr>
        <w:spacing w:line="240" w:lineRule="auto"/>
        <w:rPr>
          <w:rFonts w:asciiTheme="minorHAnsi" w:hAnsiTheme="minorHAnsi"/>
        </w:rPr>
      </w:pPr>
      <w:r>
        <w:rPr>
          <w:rFonts w:asciiTheme="minorHAnsi" w:hAnsiTheme="minorHAnsi"/>
        </w:rPr>
        <w:t xml:space="preserve">The BC is concerned about Section 7.6(c), the proposal to allow unilateral amendments to the </w:t>
      </w:r>
      <w:proofErr w:type="gramStart"/>
      <w:r>
        <w:rPr>
          <w:rFonts w:asciiTheme="minorHAnsi" w:hAnsiTheme="minorHAnsi"/>
        </w:rPr>
        <w:t>New</w:t>
      </w:r>
      <w:proofErr w:type="gramEnd"/>
      <w:r>
        <w:rPr>
          <w:rFonts w:asciiTheme="minorHAnsi" w:hAnsiTheme="minorHAnsi"/>
        </w:rPr>
        <w:t xml:space="preserve"> gTLD registry agreement if approved by supermajority of the ICANN Board.</w:t>
      </w:r>
    </w:p>
    <w:p w14:paraId="34BAA2E3" w14:textId="77777777" w:rsidR="00D661AB" w:rsidRDefault="00D661AB" w:rsidP="00D661AB">
      <w:pPr>
        <w:spacing w:line="240" w:lineRule="auto"/>
        <w:rPr>
          <w:rFonts w:asciiTheme="minorHAnsi" w:hAnsiTheme="minorHAnsi"/>
        </w:rPr>
      </w:pPr>
    </w:p>
    <w:p w14:paraId="7707BFA5" w14:textId="6ED0D07F" w:rsidR="00D661AB" w:rsidRDefault="00D661AB" w:rsidP="00D661AB">
      <w:pPr>
        <w:spacing w:line="240" w:lineRule="auto"/>
        <w:rPr>
          <w:rFonts w:asciiTheme="minorHAnsi" w:hAnsiTheme="minorHAnsi"/>
        </w:rPr>
      </w:pPr>
      <w:r>
        <w:rPr>
          <w:rFonts w:asciiTheme="minorHAnsi" w:hAnsiTheme="minorHAnsi"/>
        </w:rPr>
        <w:t xml:space="preserve">The BC </w:t>
      </w:r>
      <w:r w:rsidR="00AC211F">
        <w:rPr>
          <w:rFonts w:asciiTheme="minorHAnsi" w:hAnsiTheme="minorHAnsi"/>
        </w:rPr>
        <w:t>addressed</w:t>
      </w:r>
      <w:r>
        <w:rPr>
          <w:rFonts w:asciiTheme="minorHAnsi" w:hAnsiTheme="minorHAnsi"/>
        </w:rPr>
        <w:t xml:space="preserve"> this </w:t>
      </w:r>
      <w:r w:rsidR="00AC211F">
        <w:rPr>
          <w:rFonts w:asciiTheme="minorHAnsi" w:hAnsiTheme="minorHAnsi"/>
        </w:rPr>
        <w:t xml:space="preserve">issue </w:t>
      </w:r>
      <w:r>
        <w:rPr>
          <w:rFonts w:asciiTheme="minorHAnsi" w:hAnsiTheme="minorHAnsi"/>
        </w:rPr>
        <w:t xml:space="preserve">in April 2010 during a public comment regarding the process for amendments to the </w:t>
      </w:r>
      <w:proofErr w:type="gramStart"/>
      <w:r>
        <w:rPr>
          <w:rFonts w:asciiTheme="minorHAnsi" w:hAnsiTheme="minorHAnsi"/>
        </w:rPr>
        <w:t>New</w:t>
      </w:r>
      <w:proofErr w:type="gramEnd"/>
      <w:r>
        <w:rPr>
          <w:rFonts w:asciiTheme="minorHAnsi" w:hAnsiTheme="minorHAnsi"/>
        </w:rPr>
        <w:t xml:space="preserve"> gTLD Registry Agreement</w:t>
      </w:r>
      <w:r w:rsidR="006C2DC7">
        <w:rPr>
          <w:rStyle w:val="FootnoteReference"/>
          <w:rFonts w:asciiTheme="minorHAnsi" w:hAnsiTheme="minorHAnsi"/>
        </w:rPr>
        <w:footnoteReference w:id="5"/>
      </w:r>
      <w:r>
        <w:rPr>
          <w:rFonts w:asciiTheme="minorHAnsi" w:hAnsiTheme="minorHAnsi"/>
        </w:rPr>
        <w:t>:</w:t>
      </w:r>
    </w:p>
    <w:p w14:paraId="73968CDC" w14:textId="77777777" w:rsidR="00D661AB" w:rsidRDefault="00D661AB" w:rsidP="00D661AB">
      <w:pPr>
        <w:spacing w:line="240" w:lineRule="auto"/>
        <w:rPr>
          <w:rFonts w:asciiTheme="minorHAnsi" w:hAnsiTheme="minorHAnsi"/>
        </w:rPr>
      </w:pPr>
    </w:p>
    <w:p w14:paraId="6D5854CC" w14:textId="77777777" w:rsidR="00D661AB" w:rsidRDefault="00D661AB" w:rsidP="00D661AB">
      <w:pPr>
        <w:spacing w:line="240" w:lineRule="auto"/>
        <w:ind w:left="720" w:right="882"/>
        <w:rPr>
          <w:rFonts w:asciiTheme="minorHAnsi" w:hAnsiTheme="minorHAnsi"/>
          <w:sz w:val="20"/>
        </w:rPr>
      </w:pPr>
      <w:r w:rsidRPr="00F643A1">
        <w:rPr>
          <w:rFonts w:asciiTheme="minorHAnsi" w:hAnsiTheme="minorHAnsi"/>
          <w:sz w:val="20"/>
        </w:rPr>
        <w:t>As a matter of policy, the BC believes that businesses should not be subject to agreements where the other party has the unilateral right to amend such an agreement. ICANN’s proposal in which the ICANN Board could unilaterally impose a change to registry agreements notwithstanding the objections of a majority of registry operators, the BC, or any other ICANN organization is an anathema to ICANN’s bottom-up policy making roots</w:t>
      </w:r>
      <w:r>
        <w:rPr>
          <w:rFonts w:asciiTheme="minorHAnsi" w:hAnsiTheme="minorHAnsi"/>
          <w:sz w:val="20"/>
        </w:rPr>
        <w:t>.</w:t>
      </w:r>
    </w:p>
    <w:p w14:paraId="70BA08AC" w14:textId="77777777" w:rsidR="00D661AB" w:rsidRDefault="00D661AB" w:rsidP="00D661AB">
      <w:pPr>
        <w:spacing w:line="240" w:lineRule="auto"/>
        <w:ind w:left="720" w:right="882"/>
        <w:rPr>
          <w:rFonts w:asciiTheme="minorHAnsi" w:hAnsiTheme="minorHAnsi"/>
          <w:sz w:val="20"/>
        </w:rPr>
      </w:pPr>
      <w:r>
        <w:rPr>
          <w:rFonts w:asciiTheme="minorHAnsi" w:hAnsiTheme="minorHAnsi"/>
          <w:sz w:val="20"/>
        </w:rPr>
        <w:t>…</w:t>
      </w:r>
    </w:p>
    <w:p w14:paraId="2BEBA459" w14:textId="77777777" w:rsidR="00D661AB" w:rsidRDefault="00D661AB" w:rsidP="00D661AB">
      <w:pPr>
        <w:spacing w:line="240" w:lineRule="auto"/>
        <w:ind w:left="720" w:right="882"/>
        <w:rPr>
          <w:rFonts w:asciiTheme="minorHAnsi" w:hAnsiTheme="minorHAnsi"/>
          <w:sz w:val="20"/>
        </w:rPr>
      </w:pPr>
      <w:r w:rsidRPr="00F643A1">
        <w:rPr>
          <w:rFonts w:asciiTheme="minorHAnsi" w:hAnsiTheme="minorHAnsi"/>
          <w:sz w:val="20"/>
        </w:rPr>
        <w:t>The BC analyzes the issue based on whether proposed changes are within the so- called “picket fence” – and subject to Consensus Policy – or not. All contractual changes should be made in a transparent manner with input from the community.</w:t>
      </w:r>
    </w:p>
    <w:p w14:paraId="0A0CB989" w14:textId="77777777" w:rsidR="00D661AB" w:rsidRPr="00F643A1" w:rsidRDefault="00D661AB" w:rsidP="00D661AB">
      <w:pPr>
        <w:spacing w:line="240" w:lineRule="auto"/>
        <w:ind w:left="720" w:right="882"/>
        <w:rPr>
          <w:rFonts w:asciiTheme="minorHAnsi" w:hAnsiTheme="minorHAnsi"/>
          <w:sz w:val="20"/>
        </w:rPr>
      </w:pPr>
    </w:p>
    <w:p w14:paraId="25367006" w14:textId="77777777" w:rsidR="00D661AB" w:rsidRPr="00F643A1" w:rsidRDefault="00D661AB" w:rsidP="00D661AB">
      <w:pPr>
        <w:spacing w:line="240" w:lineRule="auto"/>
        <w:ind w:left="720" w:right="882"/>
        <w:rPr>
          <w:rFonts w:asciiTheme="minorHAnsi" w:hAnsiTheme="minorHAnsi"/>
          <w:sz w:val="20"/>
        </w:rPr>
      </w:pPr>
      <w:r w:rsidRPr="00F643A1">
        <w:rPr>
          <w:rFonts w:asciiTheme="minorHAnsi" w:hAnsiTheme="minorHAnsi"/>
          <w:sz w:val="20"/>
        </w:rPr>
        <w:t>For issues within the picket fence, there is an existing Policy Development Process that carries the power to change all registry and registrar agreements. As described in current and proposed registry contracts, the picket fence includes most conceivable ways that community and BC members would nee</w:t>
      </w:r>
      <w:r>
        <w:rPr>
          <w:rFonts w:asciiTheme="minorHAnsi" w:hAnsiTheme="minorHAnsi"/>
          <w:sz w:val="20"/>
        </w:rPr>
        <w:t>d to control registry practices:</w:t>
      </w:r>
    </w:p>
    <w:p w14:paraId="347452F3" w14:textId="77777777" w:rsidR="00D661AB" w:rsidRPr="00F643A1" w:rsidRDefault="00D661AB" w:rsidP="00D661AB">
      <w:pPr>
        <w:spacing w:before="60" w:line="240" w:lineRule="auto"/>
        <w:ind w:left="1440" w:right="882"/>
        <w:rPr>
          <w:rFonts w:asciiTheme="minorHAnsi" w:hAnsiTheme="minorHAnsi"/>
          <w:sz w:val="20"/>
        </w:rPr>
      </w:pPr>
      <w:r w:rsidRPr="00F643A1">
        <w:rPr>
          <w:rFonts w:asciiTheme="minorHAnsi" w:hAnsiTheme="minorHAnsi"/>
          <w:sz w:val="20"/>
        </w:rPr>
        <w:t xml:space="preserve">1.2.1. </w:t>
      </w:r>
      <w:proofErr w:type="gramStart"/>
      <w:r w:rsidRPr="00F643A1">
        <w:rPr>
          <w:rFonts w:asciiTheme="minorHAnsi" w:hAnsiTheme="minorHAnsi"/>
          <w:sz w:val="20"/>
        </w:rPr>
        <w:t>issues</w:t>
      </w:r>
      <w:proofErr w:type="gramEnd"/>
      <w:r w:rsidRPr="00F643A1">
        <w:rPr>
          <w:rFonts w:asciiTheme="minorHAnsi" w:hAnsiTheme="minorHAnsi"/>
          <w:sz w:val="20"/>
        </w:rPr>
        <w:t xml:space="preserve"> for which uniform or coordinated resolution is reasonably necessary to facilitate interoperability, security and/or stability of the Internet or DNS;</w:t>
      </w:r>
    </w:p>
    <w:p w14:paraId="6D9EF3AA" w14:textId="77777777" w:rsidR="00D661AB" w:rsidRPr="00F643A1" w:rsidRDefault="00D661AB" w:rsidP="00D661AB">
      <w:pPr>
        <w:spacing w:before="60" w:line="240" w:lineRule="auto"/>
        <w:ind w:left="1440" w:right="882"/>
        <w:rPr>
          <w:rFonts w:asciiTheme="minorHAnsi" w:hAnsiTheme="minorHAnsi"/>
          <w:sz w:val="20"/>
        </w:rPr>
      </w:pPr>
      <w:r w:rsidRPr="00F643A1">
        <w:rPr>
          <w:rFonts w:asciiTheme="minorHAnsi" w:hAnsiTheme="minorHAnsi"/>
          <w:sz w:val="20"/>
        </w:rPr>
        <w:t xml:space="preserve">1.2.2. </w:t>
      </w:r>
      <w:proofErr w:type="gramStart"/>
      <w:r w:rsidRPr="00F643A1">
        <w:rPr>
          <w:rFonts w:asciiTheme="minorHAnsi" w:hAnsiTheme="minorHAnsi"/>
          <w:sz w:val="20"/>
        </w:rPr>
        <w:t>functional</w:t>
      </w:r>
      <w:proofErr w:type="gramEnd"/>
      <w:r w:rsidRPr="00F643A1">
        <w:rPr>
          <w:rFonts w:asciiTheme="minorHAnsi" w:hAnsiTheme="minorHAnsi"/>
          <w:sz w:val="20"/>
        </w:rPr>
        <w:t xml:space="preserve"> and performance specifications for the provision of registry services; 1.2.3. Security and stability of the registry database for the TLD;</w:t>
      </w:r>
    </w:p>
    <w:p w14:paraId="05F6B43A" w14:textId="77777777" w:rsidR="00D661AB" w:rsidRPr="00F643A1" w:rsidRDefault="00D661AB" w:rsidP="00D661AB">
      <w:pPr>
        <w:spacing w:before="60" w:line="240" w:lineRule="auto"/>
        <w:ind w:left="1440" w:right="882"/>
        <w:rPr>
          <w:rFonts w:asciiTheme="minorHAnsi" w:hAnsiTheme="minorHAnsi"/>
          <w:sz w:val="20"/>
        </w:rPr>
      </w:pPr>
      <w:r w:rsidRPr="00F643A1">
        <w:rPr>
          <w:rFonts w:asciiTheme="minorHAnsi" w:hAnsiTheme="minorHAnsi"/>
          <w:sz w:val="20"/>
        </w:rPr>
        <w:t xml:space="preserve">1.2.4. </w:t>
      </w:r>
      <w:proofErr w:type="gramStart"/>
      <w:r w:rsidRPr="00F643A1">
        <w:rPr>
          <w:rFonts w:asciiTheme="minorHAnsi" w:hAnsiTheme="minorHAnsi"/>
          <w:sz w:val="20"/>
        </w:rPr>
        <w:t>registry</w:t>
      </w:r>
      <w:proofErr w:type="gramEnd"/>
      <w:r w:rsidRPr="00F643A1">
        <w:rPr>
          <w:rFonts w:asciiTheme="minorHAnsi" w:hAnsiTheme="minorHAnsi"/>
          <w:sz w:val="20"/>
        </w:rPr>
        <w:t xml:space="preserve"> policies reasonably necessary to implement Consensus Policies relating to registry operations or registrars; or</w:t>
      </w:r>
    </w:p>
    <w:p w14:paraId="646CC519" w14:textId="77777777" w:rsidR="00D661AB" w:rsidRPr="00F643A1" w:rsidRDefault="00D661AB" w:rsidP="00D661AB">
      <w:pPr>
        <w:spacing w:before="60" w:line="240" w:lineRule="auto"/>
        <w:ind w:left="1440" w:right="882"/>
        <w:rPr>
          <w:rFonts w:asciiTheme="minorHAnsi" w:hAnsiTheme="minorHAnsi"/>
          <w:sz w:val="20"/>
        </w:rPr>
      </w:pPr>
      <w:r w:rsidRPr="00F643A1">
        <w:rPr>
          <w:rFonts w:asciiTheme="minorHAnsi" w:hAnsiTheme="minorHAnsi"/>
          <w:sz w:val="20"/>
        </w:rPr>
        <w:t xml:space="preserve">1.2.5. </w:t>
      </w:r>
      <w:proofErr w:type="gramStart"/>
      <w:r w:rsidRPr="00F643A1">
        <w:rPr>
          <w:rFonts w:asciiTheme="minorHAnsi" w:hAnsiTheme="minorHAnsi"/>
          <w:sz w:val="20"/>
        </w:rPr>
        <w:t>resolution</w:t>
      </w:r>
      <w:proofErr w:type="gramEnd"/>
      <w:r w:rsidRPr="00F643A1">
        <w:rPr>
          <w:rFonts w:asciiTheme="minorHAnsi" w:hAnsiTheme="minorHAnsi"/>
          <w:sz w:val="20"/>
        </w:rPr>
        <w:t xml:space="preserve"> of disputes regarding the registration of domain names (as opposed to the use of such domain names).</w:t>
      </w:r>
    </w:p>
    <w:p w14:paraId="3BD23A7B" w14:textId="77777777" w:rsidR="00D661AB" w:rsidRPr="00F643A1" w:rsidRDefault="00D661AB" w:rsidP="00D661AB">
      <w:pPr>
        <w:spacing w:before="60" w:line="240" w:lineRule="auto"/>
        <w:ind w:left="1440" w:right="882"/>
        <w:rPr>
          <w:rFonts w:asciiTheme="minorHAnsi" w:hAnsiTheme="minorHAnsi"/>
          <w:sz w:val="20"/>
        </w:rPr>
      </w:pPr>
      <w:r w:rsidRPr="00F643A1">
        <w:rPr>
          <w:rFonts w:asciiTheme="minorHAnsi" w:hAnsiTheme="minorHAnsi"/>
          <w:sz w:val="20"/>
        </w:rPr>
        <w:t xml:space="preserve">1.3.1. </w:t>
      </w:r>
      <w:proofErr w:type="gramStart"/>
      <w:r w:rsidRPr="00F643A1">
        <w:rPr>
          <w:rFonts w:asciiTheme="minorHAnsi" w:hAnsiTheme="minorHAnsi"/>
          <w:sz w:val="20"/>
        </w:rPr>
        <w:t>principles</w:t>
      </w:r>
      <w:proofErr w:type="gramEnd"/>
      <w:r w:rsidRPr="00F643A1">
        <w:rPr>
          <w:rFonts w:asciiTheme="minorHAnsi" w:hAnsiTheme="minorHAnsi"/>
          <w:sz w:val="20"/>
        </w:rPr>
        <w:t xml:space="preserve"> for allocation of registered names in the TLD (e.g., first-come/first-served, timely renewal, holding period after expiration);</w:t>
      </w:r>
    </w:p>
    <w:p w14:paraId="0B1A57D4" w14:textId="77777777" w:rsidR="00D661AB" w:rsidRPr="00F643A1" w:rsidRDefault="00D661AB" w:rsidP="00D661AB">
      <w:pPr>
        <w:spacing w:before="60" w:line="240" w:lineRule="auto"/>
        <w:ind w:left="1440" w:right="882"/>
        <w:rPr>
          <w:rFonts w:asciiTheme="minorHAnsi" w:hAnsiTheme="minorHAnsi"/>
          <w:sz w:val="20"/>
        </w:rPr>
      </w:pPr>
      <w:r w:rsidRPr="00F643A1">
        <w:rPr>
          <w:rFonts w:asciiTheme="minorHAnsi" w:hAnsiTheme="minorHAnsi"/>
          <w:sz w:val="20"/>
        </w:rPr>
        <w:t xml:space="preserve">1.3.2. </w:t>
      </w:r>
      <w:proofErr w:type="gramStart"/>
      <w:r w:rsidRPr="00F643A1">
        <w:rPr>
          <w:rFonts w:asciiTheme="minorHAnsi" w:hAnsiTheme="minorHAnsi"/>
          <w:sz w:val="20"/>
        </w:rPr>
        <w:t>prohibitions</w:t>
      </w:r>
      <w:proofErr w:type="gramEnd"/>
      <w:r w:rsidRPr="00F643A1">
        <w:rPr>
          <w:rFonts w:asciiTheme="minorHAnsi" w:hAnsiTheme="minorHAnsi"/>
          <w:sz w:val="20"/>
        </w:rPr>
        <w:t xml:space="preserve"> on warehousing of or speculation in domain names by registries or registrars;</w:t>
      </w:r>
    </w:p>
    <w:p w14:paraId="0CA81D03" w14:textId="77777777" w:rsidR="00D661AB" w:rsidRPr="00F643A1" w:rsidRDefault="00D661AB" w:rsidP="00D661AB">
      <w:pPr>
        <w:spacing w:before="60" w:line="240" w:lineRule="auto"/>
        <w:ind w:left="1440" w:right="882"/>
        <w:rPr>
          <w:rFonts w:asciiTheme="minorHAnsi" w:hAnsiTheme="minorHAnsi"/>
          <w:sz w:val="20"/>
        </w:rPr>
      </w:pPr>
      <w:r w:rsidRPr="00F643A1">
        <w:rPr>
          <w:rFonts w:asciiTheme="minorHAnsi" w:hAnsiTheme="minorHAnsi"/>
          <w:sz w:val="20"/>
        </w:rPr>
        <w:lastRenderedPageBreak/>
        <w:t xml:space="preserve">1.3.3. </w:t>
      </w:r>
      <w:proofErr w:type="gramStart"/>
      <w:r w:rsidRPr="00F643A1">
        <w:rPr>
          <w:rFonts w:asciiTheme="minorHAnsi" w:hAnsiTheme="minorHAnsi"/>
          <w:sz w:val="20"/>
        </w:rPr>
        <w:t>reservation</w:t>
      </w:r>
      <w:proofErr w:type="gramEnd"/>
      <w:r w:rsidRPr="00F643A1">
        <w:rPr>
          <w:rFonts w:asciiTheme="minorHAnsi" w:hAnsiTheme="minorHAnsi"/>
          <w:sz w:val="20"/>
        </w:rPr>
        <w:t xml:space="preserve"> of registered names in the TLD that may not be registered initially or that may not be renewed due to reasons reasonably related to (</w:t>
      </w:r>
      <w:proofErr w:type="spellStart"/>
      <w:r w:rsidRPr="00F643A1">
        <w:rPr>
          <w:rFonts w:asciiTheme="minorHAnsi" w:hAnsiTheme="minorHAnsi"/>
          <w:sz w:val="20"/>
        </w:rPr>
        <w:t>i</w:t>
      </w:r>
      <w:proofErr w:type="spellEnd"/>
      <w:r w:rsidRPr="00F643A1">
        <w:rPr>
          <w:rFonts w:asciiTheme="minorHAnsi" w:hAnsiTheme="minorHAnsi"/>
          <w:sz w:val="20"/>
        </w:rPr>
        <w:t>) avoidance of confusion among or misleading of users, (ii) intellectual property, or (iii) the technical management of the DNS or the Internet (e.g., establishment of reservations of names from registration); and</w:t>
      </w:r>
    </w:p>
    <w:p w14:paraId="286DAA06" w14:textId="77777777" w:rsidR="00D661AB" w:rsidRPr="00F643A1" w:rsidRDefault="00D661AB" w:rsidP="00D661AB">
      <w:pPr>
        <w:spacing w:before="60" w:line="240" w:lineRule="auto"/>
        <w:ind w:left="1440" w:right="882"/>
        <w:rPr>
          <w:rFonts w:asciiTheme="minorHAnsi" w:hAnsiTheme="minorHAnsi"/>
          <w:sz w:val="20"/>
        </w:rPr>
      </w:pPr>
      <w:r w:rsidRPr="00F643A1">
        <w:rPr>
          <w:rFonts w:asciiTheme="minorHAnsi" w:hAnsiTheme="minorHAnsi"/>
          <w:sz w:val="20"/>
        </w:rPr>
        <w:t xml:space="preserve">1.3.4. </w:t>
      </w:r>
      <w:proofErr w:type="gramStart"/>
      <w:r w:rsidRPr="00F643A1">
        <w:rPr>
          <w:rFonts w:asciiTheme="minorHAnsi" w:hAnsiTheme="minorHAnsi"/>
          <w:sz w:val="20"/>
        </w:rPr>
        <w:t>maintenance</w:t>
      </w:r>
      <w:proofErr w:type="gramEnd"/>
      <w:r w:rsidRPr="00F643A1">
        <w:rPr>
          <w:rFonts w:asciiTheme="minorHAnsi" w:hAnsiTheme="minorHAnsi"/>
          <w:sz w:val="20"/>
        </w:rPr>
        <w:t xml:space="preserve"> of and access to accurate and up-to-date information concerning domain name registrations; and procedures to avoid disruptions of domain name registrations due to suspension or termination of operations by a registry operator or a registrar, including procedures for allocation of responsibility for serving registered domain names in a TLD affected by such a suspension or termination.</w:t>
      </w:r>
    </w:p>
    <w:p w14:paraId="122068EC" w14:textId="77777777" w:rsidR="00D661AB" w:rsidRPr="00F643A1" w:rsidRDefault="00D661AB" w:rsidP="00D661AB">
      <w:pPr>
        <w:spacing w:line="240" w:lineRule="auto"/>
        <w:ind w:left="1440" w:right="882"/>
        <w:rPr>
          <w:rFonts w:asciiTheme="minorHAnsi" w:hAnsiTheme="minorHAnsi"/>
          <w:sz w:val="20"/>
        </w:rPr>
      </w:pPr>
      <w:r w:rsidRPr="00A71202">
        <w:rPr>
          <w:rFonts w:asciiTheme="minorHAnsi" w:hAnsiTheme="minorHAnsi"/>
          <w:sz w:val="18"/>
        </w:rPr>
        <w:t xml:space="preserve">Source: </w:t>
      </w:r>
      <w:hyperlink r:id="rId16" w:history="1">
        <w:r w:rsidRPr="00A71202">
          <w:rPr>
            <w:rStyle w:val="Hyperlink"/>
            <w:rFonts w:asciiTheme="minorHAnsi" w:hAnsiTheme="minorHAnsi"/>
            <w:sz w:val="18"/>
          </w:rPr>
          <w:t>http://icann.org/en/topics/new-gtlds/draft-agreement-specs-clean-04oct09-en.pdf</w:t>
        </w:r>
      </w:hyperlink>
      <w:r>
        <w:rPr>
          <w:rFonts w:asciiTheme="minorHAnsi" w:hAnsiTheme="minorHAnsi"/>
          <w:sz w:val="20"/>
        </w:rPr>
        <w:t xml:space="preserve"> </w:t>
      </w:r>
    </w:p>
    <w:p w14:paraId="0065D6D1" w14:textId="77777777" w:rsidR="00D661AB" w:rsidRDefault="00D661AB" w:rsidP="00D661AB">
      <w:pPr>
        <w:spacing w:line="240" w:lineRule="auto"/>
        <w:ind w:left="720" w:right="882"/>
        <w:rPr>
          <w:rFonts w:asciiTheme="minorHAnsi" w:hAnsiTheme="minorHAnsi"/>
          <w:sz w:val="20"/>
        </w:rPr>
      </w:pPr>
    </w:p>
    <w:p w14:paraId="5DEEC26D" w14:textId="77777777" w:rsidR="00D661AB" w:rsidRPr="00F643A1" w:rsidRDefault="00D661AB" w:rsidP="00D661AB">
      <w:pPr>
        <w:spacing w:line="240" w:lineRule="auto"/>
        <w:ind w:left="720" w:right="882"/>
        <w:rPr>
          <w:rFonts w:asciiTheme="minorHAnsi" w:hAnsiTheme="minorHAnsi"/>
          <w:sz w:val="20"/>
        </w:rPr>
      </w:pPr>
      <w:r w:rsidRPr="00F643A1">
        <w:rPr>
          <w:rFonts w:asciiTheme="minorHAnsi" w:hAnsiTheme="minorHAnsi"/>
          <w:sz w:val="20"/>
        </w:rPr>
        <w:t>By way of example, a picket fence PDP was how the BC and other community members put a stop to domain tasting that was occurring by abuse of the add-grace period. While many felt that a 2-year PDP and implementation process took too long, this experience showed that the system works, generating a policy outcome that became part of all registrar and registry agreements.</w:t>
      </w:r>
    </w:p>
    <w:p w14:paraId="2BA5B9C6" w14:textId="77777777" w:rsidR="00D661AB" w:rsidRDefault="00D661AB" w:rsidP="00D661AB">
      <w:pPr>
        <w:spacing w:line="240" w:lineRule="auto"/>
        <w:ind w:left="720" w:right="882"/>
        <w:rPr>
          <w:rFonts w:asciiTheme="minorHAnsi" w:hAnsiTheme="minorHAnsi"/>
          <w:sz w:val="20"/>
        </w:rPr>
      </w:pPr>
    </w:p>
    <w:p w14:paraId="0FD4B18E" w14:textId="77777777" w:rsidR="00D661AB" w:rsidRPr="00F643A1" w:rsidRDefault="00D661AB" w:rsidP="00D661AB">
      <w:pPr>
        <w:spacing w:line="240" w:lineRule="auto"/>
        <w:ind w:left="720" w:right="882"/>
        <w:rPr>
          <w:rFonts w:asciiTheme="minorHAnsi" w:hAnsiTheme="minorHAnsi"/>
          <w:sz w:val="20"/>
        </w:rPr>
      </w:pPr>
      <w:r w:rsidRPr="00F643A1">
        <w:rPr>
          <w:rFonts w:asciiTheme="minorHAnsi" w:hAnsiTheme="minorHAnsi"/>
          <w:sz w:val="20"/>
        </w:rPr>
        <w:t>Therefore, ICANN shouldn’t have the ability to unilaterally change such agreements without community consent, and the BC does not see any need for a separate process for amendment on top of the current PDP process. The ICANN community is tasked with making policy</w:t>
      </w:r>
      <w:proofErr w:type="gramStart"/>
      <w:r w:rsidRPr="00F643A1">
        <w:rPr>
          <w:rFonts w:asciiTheme="minorHAnsi" w:hAnsiTheme="minorHAnsi"/>
          <w:sz w:val="20"/>
        </w:rPr>
        <w:t>;</w:t>
      </w:r>
      <w:proofErr w:type="gramEnd"/>
      <w:r w:rsidRPr="00F643A1">
        <w:rPr>
          <w:rFonts w:asciiTheme="minorHAnsi" w:hAnsiTheme="minorHAnsi"/>
          <w:sz w:val="20"/>
        </w:rPr>
        <w:t xml:space="preserve"> not the ICANN Board or staff. We have a process to make changes now. If that process needs improvement, let’s improve it. Giving ICANN the ability to unilaterally amend the Registry contract is not the answer.</w:t>
      </w:r>
    </w:p>
    <w:p w14:paraId="6DAC5925" w14:textId="77777777" w:rsidR="00D661AB" w:rsidRDefault="00D661AB" w:rsidP="00D661AB">
      <w:pPr>
        <w:spacing w:line="240" w:lineRule="auto"/>
        <w:ind w:left="720" w:right="882"/>
        <w:rPr>
          <w:rFonts w:asciiTheme="minorHAnsi" w:hAnsiTheme="minorHAnsi"/>
          <w:sz w:val="20"/>
        </w:rPr>
      </w:pPr>
    </w:p>
    <w:p w14:paraId="07E4C200" w14:textId="77777777" w:rsidR="00D661AB" w:rsidRPr="00F643A1" w:rsidRDefault="00D661AB" w:rsidP="00D661AB">
      <w:pPr>
        <w:spacing w:line="240" w:lineRule="auto"/>
        <w:ind w:left="720" w:right="882"/>
        <w:rPr>
          <w:rFonts w:asciiTheme="minorHAnsi" w:hAnsiTheme="minorHAnsi"/>
          <w:sz w:val="20"/>
        </w:rPr>
      </w:pPr>
      <w:r w:rsidRPr="00F643A1">
        <w:rPr>
          <w:rFonts w:asciiTheme="minorHAnsi" w:hAnsiTheme="minorHAnsi"/>
          <w:sz w:val="20"/>
        </w:rPr>
        <w:t>Certain other issues outside the picket fence also should not be subject to unilateral changes, such as pricing, ICANN fees, and other similar topics where neither party can unilaterally amend an agreement without consent of the other party to the contract.</w:t>
      </w:r>
    </w:p>
    <w:p w14:paraId="6DF340A8" w14:textId="77777777" w:rsidR="00D661AB" w:rsidRDefault="00D661AB" w:rsidP="00D661AB">
      <w:pPr>
        <w:spacing w:line="240" w:lineRule="auto"/>
        <w:ind w:left="720" w:right="882"/>
        <w:rPr>
          <w:rFonts w:asciiTheme="minorHAnsi" w:hAnsiTheme="minorHAnsi"/>
          <w:sz w:val="20"/>
        </w:rPr>
      </w:pPr>
    </w:p>
    <w:p w14:paraId="280451E3" w14:textId="77777777" w:rsidR="00D661AB" w:rsidRPr="00F643A1" w:rsidRDefault="00D661AB" w:rsidP="00D661AB">
      <w:pPr>
        <w:spacing w:line="240" w:lineRule="auto"/>
        <w:ind w:left="720" w:right="882"/>
        <w:rPr>
          <w:rFonts w:asciiTheme="minorHAnsi" w:hAnsiTheme="minorHAnsi"/>
          <w:sz w:val="20"/>
        </w:rPr>
      </w:pPr>
      <w:r w:rsidRPr="00F643A1">
        <w:rPr>
          <w:rFonts w:asciiTheme="minorHAnsi" w:hAnsiTheme="minorHAnsi"/>
          <w:sz w:val="20"/>
        </w:rPr>
        <w:t>There are some issues outside the picket fence, however, where ICANN and/or the community should be able to amend registry agreements without the specific consent of every single registry operator, as long as there is a consensus of the community. These issues should include security and stability issues, enforcement tools, registrant protections, and promoting a stable marketplace, and should be enforceable against all registry operators. Complia</w:t>
      </w:r>
      <w:r>
        <w:rPr>
          <w:rFonts w:asciiTheme="minorHAnsi" w:hAnsiTheme="minorHAnsi"/>
          <w:sz w:val="20"/>
        </w:rPr>
        <w:t xml:space="preserve">nce staff must have the tools to </w:t>
      </w:r>
      <w:r w:rsidRPr="00F643A1">
        <w:rPr>
          <w:rFonts w:asciiTheme="minorHAnsi" w:hAnsiTheme="minorHAnsi"/>
          <w:sz w:val="20"/>
        </w:rPr>
        <w:t>enforce the registry agreements against ‘rogue’ or potential bad actor registries, for example, a registry that after delegation engages in undertakings that are deemed to damage the integrity of the Internet and ICANN, or harms registrants and specific communities, or engages in actions which are deemed to create technical risks. Rogue by definition refers to unprincipled or dishonest actors. One rogue registry should not be able to veto changes that the rest of the community supports. Similar changes to the Registrar Accreditation Agreement were recently adopted without each registrar being able to veto the changes.</w:t>
      </w:r>
    </w:p>
    <w:p w14:paraId="48C637D3" w14:textId="77777777" w:rsidR="00D661AB" w:rsidRDefault="00D661AB" w:rsidP="00D661AB">
      <w:pPr>
        <w:spacing w:line="240" w:lineRule="auto"/>
        <w:ind w:left="720" w:right="882"/>
        <w:rPr>
          <w:rFonts w:asciiTheme="minorHAnsi" w:hAnsiTheme="minorHAnsi"/>
          <w:sz w:val="20"/>
        </w:rPr>
      </w:pPr>
    </w:p>
    <w:p w14:paraId="775862A1" w14:textId="77777777" w:rsidR="00D661AB" w:rsidRPr="00F643A1" w:rsidRDefault="00D661AB" w:rsidP="00D661AB">
      <w:pPr>
        <w:spacing w:line="240" w:lineRule="auto"/>
        <w:ind w:left="720" w:right="882"/>
        <w:rPr>
          <w:rFonts w:asciiTheme="minorHAnsi" w:hAnsiTheme="minorHAnsi"/>
          <w:sz w:val="20"/>
        </w:rPr>
      </w:pPr>
      <w:r w:rsidRPr="00F643A1">
        <w:rPr>
          <w:rFonts w:asciiTheme="minorHAnsi" w:hAnsiTheme="minorHAnsi"/>
          <w:sz w:val="20"/>
        </w:rPr>
        <w:t>Even with such rogue issues, neither the ICANN staff nor the Board should be able to amend registry agreements without community involvement and input from the registry operators. All changes – regardless of the issue -- must be transparent and exhibit the appropriate level of accountability to the community.</w:t>
      </w:r>
    </w:p>
    <w:p w14:paraId="14CCB78C" w14:textId="77777777" w:rsidR="00D661AB" w:rsidRPr="00F643A1" w:rsidRDefault="00D661AB" w:rsidP="00D661AB">
      <w:pPr>
        <w:spacing w:line="240" w:lineRule="auto"/>
        <w:ind w:left="720"/>
        <w:rPr>
          <w:rFonts w:asciiTheme="minorHAnsi" w:hAnsiTheme="minorHAnsi"/>
          <w:sz w:val="20"/>
        </w:rPr>
      </w:pPr>
    </w:p>
    <w:p w14:paraId="058A5EC1" w14:textId="77777777" w:rsidR="00DE6E80" w:rsidRDefault="00DE6E80" w:rsidP="00DE6E80">
      <w:pPr>
        <w:spacing w:line="240" w:lineRule="auto"/>
        <w:rPr>
          <w:rFonts w:asciiTheme="minorHAnsi" w:hAnsiTheme="minorHAnsi"/>
        </w:rPr>
      </w:pPr>
      <w:r>
        <w:rPr>
          <w:rFonts w:asciiTheme="minorHAnsi" w:hAnsiTheme="minorHAnsi"/>
        </w:rPr>
        <w:t>It should be noted that many of the new gTLD registries in sensitive or regulated industries will be operating with registrant restrictions and policies designed to avoid or satisfy objections from governments and regulators.  ICANN should not be empowered to unilaterally amend all registry agreements if that would interfere with some registries’ prior obligations to enforce registrant restrictions and policies.</w:t>
      </w:r>
    </w:p>
    <w:p w14:paraId="2861B82E" w14:textId="77777777" w:rsidR="00DE6E80" w:rsidRDefault="00DE6E80" w:rsidP="00DE6E80">
      <w:pPr>
        <w:spacing w:line="240" w:lineRule="auto"/>
        <w:rPr>
          <w:rFonts w:asciiTheme="minorHAnsi" w:hAnsiTheme="minorHAnsi"/>
        </w:rPr>
      </w:pPr>
    </w:p>
    <w:p w14:paraId="0FE8E913" w14:textId="36E7EBAA" w:rsidR="00DE6E80" w:rsidRDefault="00D661AB" w:rsidP="00DE6E80">
      <w:pPr>
        <w:spacing w:line="240" w:lineRule="auto"/>
        <w:rPr>
          <w:rFonts w:asciiTheme="minorHAnsi" w:hAnsiTheme="minorHAnsi"/>
        </w:rPr>
      </w:pPr>
      <w:r>
        <w:rPr>
          <w:rFonts w:asciiTheme="minorHAnsi" w:hAnsiTheme="minorHAnsi"/>
        </w:rPr>
        <w:t>The BC continues to hold to the</w:t>
      </w:r>
      <w:r w:rsidR="00DE6E80">
        <w:rPr>
          <w:rFonts w:asciiTheme="minorHAnsi" w:hAnsiTheme="minorHAnsi"/>
        </w:rPr>
        <w:t xml:space="preserve"> principles expressed in 2010, and therefore </w:t>
      </w:r>
      <w:r w:rsidR="00C976AB">
        <w:rPr>
          <w:rFonts w:asciiTheme="minorHAnsi" w:hAnsiTheme="minorHAnsi"/>
        </w:rPr>
        <w:t>does not support the</w:t>
      </w:r>
      <w:r w:rsidR="00DE6E80">
        <w:rPr>
          <w:rFonts w:asciiTheme="minorHAnsi" w:hAnsiTheme="minorHAnsi"/>
        </w:rPr>
        <w:t xml:space="preserve"> amendment process </w:t>
      </w:r>
      <w:r w:rsidR="00C976AB">
        <w:rPr>
          <w:rFonts w:asciiTheme="minorHAnsi" w:hAnsiTheme="minorHAnsi"/>
        </w:rPr>
        <w:t xml:space="preserve">as proposed </w:t>
      </w:r>
      <w:r w:rsidR="00DE6E80">
        <w:rPr>
          <w:rFonts w:asciiTheme="minorHAnsi" w:hAnsiTheme="minorHAnsi"/>
        </w:rPr>
        <w:t xml:space="preserve">in Section 7.6(c). </w:t>
      </w:r>
    </w:p>
    <w:p w14:paraId="057078C0" w14:textId="77777777" w:rsidR="00D661AB" w:rsidRDefault="00D661AB" w:rsidP="00F97B6D">
      <w:pPr>
        <w:spacing w:line="240" w:lineRule="auto"/>
        <w:rPr>
          <w:rFonts w:asciiTheme="minorHAnsi" w:hAnsiTheme="minorHAnsi"/>
        </w:rPr>
      </w:pPr>
    </w:p>
    <w:p w14:paraId="3FD87844" w14:textId="77777777" w:rsidR="00C45BB3" w:rsidRDefault="00C45BB3" w:rsidP="00F97B6D">
      <w:pPr>
        <w:spacing w:line="240" w:lineRule="auto"/>
        <w:rPr>
          <w:rFonts w:asciiTheme="minorHAnsi" w:hAnsiTheme="minorHAnsi"/>
        </w:rPr>
      </w:pPr>
    </w:p>
    <w:p w14:paraId="46D50CCE" w14:textId="77777777" w:rsidR="00D661AB" w:rsidRDefault="00D661AB" w:rsidP="00F97B6D">
      <w:pPr>
        <w:spacing w:line="240" w:lineRule="auto"/>
        <w:rPr>
          <w:rFonts w:asciiTheme="minorHAnsi" w:hAnsiTheme="minorHAnsi"/>
        </w:rPr>
      </w:pPr>
    </w:p>
    <w:p w14:paraId="710A063D" w14:textId="065B24B9" w:rsidR="008E7F21" w:rsidRPr="00CB4564" w:rsidRDefault="00CB4564" w:rsidP="00F97B6D">
      <w:pPr>
        <w:spacing w:line="240" w:lineRule="auto"/>
        <w:rPr>
          <w:rFonts w:asciiTheme="minorHAnsi" w:hAnsiTheme="minorHAnsi"/>
          <w:b/>
          <w:u w:val="single"/>
        </w:rPr>
      </w:pPr>
      <w:r w:rsidRPr="00CB4564">
        <w:rPr>
          <w:rFonts w:asciiTheme="minorHAnsi" w:hAnsiTheme="minorHAnsi"/>
          <w:b/>
          <w:u w:val="single"/>
        </w:rPr>
        <w:lastRenderedPageBreak/>
        <w:t>Specification 5: Reserving Country and Territory Names at the Second Level</w:t>
      </w:r>
    </w:p>
    <w:p w14:paraId="1ED9032A" w14:textId="77777777" w:rsidR="00CB4564" w:rsidRDefault="00CB4564" w:rsidP="00F97B6D">
      <w:pPr>
        <w:spacing w:line="240" w:lineRule="auto"/>
        <w:rPr>
          <w:rFonts w:asciiTheme="minorHAnsi" w:hAnsiTheme="minorHAnsi"/>
        </w:rPr>
      </w:pPr>
    </w:p>
    <w:p w14:paraId="7A96C4B9" w14:textId="77777777" w:rsidR="0024624C" w:rsidRDefault="00CB4564" w:rsidP="00F97B6D">
      <w:pPr>
        <w:spacing w:line="240" w:lineRule="auto"/>
        <w:rPr>
          <w:rFonts w:asciiTheme="minorHAnsi" w:hAnsiTheme="minorHAnsi"/>
        </w:rPr>
      </w:pPr>
      <w:r>
        <w:rPr>
          <w:rFonts w:asciiTheme="minorHAnsi" w:hAnsiTheme="minorHAnsi"/>
        </w:rPr>
        <w:t>The proposed new gTLD Registry Agreement should</w:t>
      </w:r>
      <w:r w:rsidR="0024624C">
        <w:rPr>
          <w:rFonts w:asciiTheme="minorHAnsi" w:hAnsiTheme="minorHAnsi"/>
        </w:rPr>
        <w:t xml:space="preserve"> include a centralized mechanism for single-</w:t>
      </w:r>
      <w:r>
        <w:rPr>
          <w:rFonts w:asciiTheme="minorHAnsi" w:hAnsiTheme="minorHAnsi"/>
        </w:rPr>
        <w:t xml:space="preserve">registrant TLDs to request </w:t>
      </w:r>
      <w:r w:rsidR="0024624C">
        <w:rPr>
          <w:rFonts w:asciiTheme="minorHAnsi" w:hAnsiTheme="minorHAnsi"/>
        </w:rPr>
        <w:t xml:space="preserve">release of reserved </w:t>
      </w:r>
      <w:r>
        <w:rPr>
          <w:rFonts w:asciiTheme="minorHAnsi" w:hAnsiTheme="minorHAnsi"/>
        </w:rPr>
        <w:t xml:space="preserve">country and territory </w:t>
      </w:r>
      <w:r w:rsidR="0024624C">
        <w:rPr>
          <w:rFonts w:asciiTheme="minorHAnsi" w:hAnsiTheme="minorHAnsi"/>
        </w:rPr>
        <w:t xml:space="preserve">names.   </w:t>
      </w:r>
    </w:p>
    <w:p w14:paraId="4E5233D3" w14:textId="77777777" w:rsidR="0024624C" w:rsidRDefault="0024624C" w:rsidP="00F97B6D">
      <w:pPr>
        <w:spacing w:line="240" w:lineRule="auto"/>
        <w:rPr>
          <w:rFonts w:asciiTheme="minorHAnsi" w:hAnsiTheme="minorHAnsi"/>
        </w:rPr>
      </w:pPr>
    </w:p>
    <w:p w14:paraId="6E8AC9E1" w14:textId="6073C902" w:rsidR="0024624C" w:rsidRDefault="0024624C" w:rsidP="00F97B6D">
      <w:pPr>
        <w:spacing w:line="240" w:lineRule="auto"/>
        <w:rPr>
          <w:rFonts w:asciiTheme="minorHAnsi" w:hAnsiTheme="minorHAnsi"/>
        </w:rPr>
      </w:pPr>
      <w:r>
        <w:rPr>
          <w:rFonts w:asciiTheme="minorHAnsi" w:hAnsiTheme="minorHAnsi"/>
        </w:rPr>
        <w:t xml:space="preserve">Specification 5 </w:t>
      </w:r>
      <w:r w:rsidR="001D43F4">
        <w:rPr>
          <w:rFonts w:asciiTheme="minorHAnsi" w:hAnsiTheme="minorHAnsi"/>
        </w:rPr>
        <w:t xml:space="preserve">of the proposed registry Agreement </w:t>
      </w:r>
      <w:r>
        <w:rPr>
          <w:rFonts w:asciiTheme="minorHAnsi" w:hAnsiTheme="minorHAnsi"/>
        </w:rPr>
        <w:t>continues to require default reservation of country and territory names</w:t>
      </w:r>
      <w:r w:rsidR="001D43F4">
        <w:rPr>
          <w:rFonts w:asciiTheme="minorHAnsi" w:hAnsiTheme="minorHAnsi"/>
        </w:rPr>
        <w:t xml:space="preserve">, only to be </w:t>
      </w:r>
      <w:r w:rsidR="002F47AE">
        <w:rPr>
          <w:rFonts w:asciiTheme="minorHAnsi" w:hAnsiTheme="minorHAnsi"/>
        </w:rPr>
        <w:t xml:space="preserve">released by </w:t>
      </w:r>
      <w:r w:rsidR="001D43F4">
        <w:rPr>
          <w:rFonts w:asciiTheme="minorHAnsi" w:hAnsiTheme="minorHAnsi"/>
        </w:rPr>
        <w:t>express agreement of each applicable government</w:t>
      </w:r>
      <w:r w:rsidR="002F47AE">
        <w:rPr>
          <w:rFonts w:asciiTheme="minorHAnsi" w:hAnsiTheme="minorHAnsi"/>
        </w:rPr>
        <w:t>:</w:t>
      </w:r>
    </w:p>
    <w:p w14:paraId="24D32450" w14:textId="77777777" w:rsidR="00CB4564" w:rsidRDefault="00CB4564" w:rsidP="00F97B6D">
      <w:pPr>
        <w:spacing w:line="240" w:lineRule="auto"/>
        <w:rPr>
          <w:rFonts w:asciiTheme="minorHAnsi" w:hAnsiTheme="minorHAnsi"/>
        </w:rPr>
      </w:pPr>
    </w:p>
    <w:p w14:paraId="187F9570" w14:textId="77777777" w:rsidR="00CB4564" w:rsidRPr="00CB4564" w:rsidRDefault="00CB4564" w:rsidP="00CB4564">
      <w:pPr>
        <w:spacing w:line="240" w:lineRule="auto"/>
        <w:ind w:left="720"/>
        <w:rPr>
          <w:rFonts w:asciiTheme="minorHAnsi" w:hAnsiTheme="minorHAnsi"/>
          <w:sz w:val="20"/>
        </w:rPr>
      </w:pPr>
      <w:r w:rsidRPr="00CB4564">
        <w:rPr>
          <w:rFonts w:asciiTheme="minorHAnsi" w:hAnsiTheme="minorHAnsi"/>
          <w:sz w:val="20"/>
        </w:rPr>
        <w:t>The country and territory names contained in the following internationally recognized lists shall be initially reserved at the second level and at all other levels within the TLD at which the Registry Operator provides for registrations</w:t>
      </w:r>
    </w:p>
    <w:p w14:paraId="30C8C5E0" w14:textId="56734727" w:rsidR="00CB4564" w:rsidRPr="00CB4564" w:rsidRDefault="00CB4564" w:rsidP="00CB4564">
      <w:pPr>
        <w:spacing w:line="240" w:lineRule="auto"/>
        <w:ind w:left="720"/>
        <w:rPr>
          <w:rFonts w:asciiTheme="minorHAnsi" w:hAnsiTheme="minorHAnsi"/>
          <w:sz w:val="20"/>
        </w:rPr>
      </w:pPr>
      <w:r w:rsidRPr="00CB4564">
        <w:rPr>
          <w:rFonts w:asciiTheme="minorHAnsi" w:hAnsiTheme="minorHAnsi"/>
          <w:sz w:val="20"/>
        </w:rPr>
        <w:t xml:space="preserve">… </w:t>
      </w:r>
    </w:p>
    <w:p w14:paraId="2CECC625" w14:textId="77777777" w:rsidR="00CB4564" w:rsidRPr="00CB4564" w:rsidRDefault="00CB4564" w:rsidP="00CB4564">
      <w:pPr>
        <w:spacing w:line="240" w:lineRule="auto"/>
        <w:ind w:left="720"/>
        <w:rPr>
          <w:rFonts w:asciiTheme="minorHAnsi" w:hAnsiTheme="minorHAnsi"/>
          <w:sz w:val="20"/>
        </w:rPr>
      </w:pPr>
      <w:proofErr w:type="gramStart"/>
      <w:r w:rsidRPr="00CB4564">
        <w:rPr>
          <w:rFonts w:asciiTheme="minorHAnsi" w:hAnsiTheme="minorHAnsi"/>
          <w:sz w:val="20"/>
        </w:rPr>
        <w:t>provided</w:t>
      </w:r>
      <w:proofErr w:type="gramEnd"/>
      <w:r w:rsidRPr="00CB4564">
        <w:rPr>
          <w:rFonts w:asciiTheme="minorHAnsi" w:hAnsiTheme="minorHAnsi"/>
          <w:sz w:val="20"/>
        </w:rPr>
        <w:t>, that the reservation of specific country and territory names may be released to the extent that Registry Operator reaches agreement with the applicable government(s), provided, further, that Registry Operator may also propose release of these reservations, subject to review by ICANN’s Governmental Advisory Committee and approval by ICANN.</w:t>
      </w:r>
    </w:p>
    <w:p w14:paraId="5324D878" w14:textId="77777777" w:rsidR="00CB4564" w:rsidRDefault="00CB4564" w:rsidP="00F97B6D">
      <w:pPr>
        <w:spacing w:line="240" w:lineRule="auto"/>
        <w:rPr>
          <w:rFonts w:asciiTheme="minorHAnsi" w:hAnsiTheme="minorHAnsi"/>
        </w:rPr>
      </w:pPr>
    </w:p>
    <w:p w14:paraId="547A6AAE" w14:textId="0CBE9072" w:rsidR="006C2DC7" w:rsidRDefault="0024624C" w:rsidP="002F47AE">
      <w:pPr>
        <w:spacing w:line="240" w:lineRule="auto"/>
        <w:rPr>
          <w:rFonts w:asciiTheme="minorHAnsi" w:hAnsiTheme="minorHAnsi"/>
        </w:rPr>
      </w:pPr>
      <w:r>
        <w:rPr>
          <w:rFonts w:asciiTheme="minorHAnsi" w:hAnsiTheme="minorHAnsi"/>
        </w:rPr>
        <w:t xml:space="preserve">In the BC’s May-2011 comments, we proposed that single-registrant TLDs be exempt from the requirement to obtain express authorization from governments </w:t>
      </w:r>
      <w:r w:rsidR="00AC211F">
        <w:rPr>
          <w:rFonts w:asciiTheme="minorHAnsi" w:hAnsiTheme="minorHAnsi"/>
        </w:rPr>
        <w:t>for</w:t>
      </w:r>
      <w:r>
        <w:rPr>
          <w:rFonts w:asciiTheme="minorHAnsi" w:hAnsiTheme="minorHAnsi"/>
        </w:rPr>
        <w:t xml:space="preserve"> e</w:t>
      </w:r>
      <w:r w:rsidR="00AC211F">
        <w:rPr>
          <w:rFonts w:asciiTheme="minorHAnsi" w:hAnsiTheme="minorHAnsi"/>
        </w:rPr>
        <w:t>ach country and territory name</w:t>
      </w:r>
      <w:r w:rsidR="00C45BB3">
        <w:rPr>
          <w:rStyle w:val="FootnoteReference"/>
          <w:rFonts w:asciiTheme="minorHAnsi" w:hAnsiTheme="minorHAnsi"/>
        </w:rPr>
        <w:footnoteReference w:id="6"/>
      </w:r>
      <w:r w:rsidR="00AC211F">
        <w:rPr>
          <w:rFonts w:asciiTheme="minorHAnsi" w:hAnsiTheme="minorHAnsi"/>
        </w:rPr>
        <w:t>:</w:t>
      </w:r>
      <w:r>
        <w:rPr>
          <w:rFonts w:asciiTheme="minorHAnsi" w:hAnsiTheme="minorHAnsi"/>
        </w:rPr>
        <w:t xml:space="preserve"> </w:t>
      </w:r>
    </w:p>
    <w:p w14:paraId="0D29F015" w14:textId="77777777" w:rsidR="006C2DC7" w:rsidRDefault="006C2DC7" w:rsidP="002F47AE">
      <w:pPr>
        <w:spacing w:line="240" w:lineRule="auto"/>
        <w:rPr>
          <w:rFonts w:asciiTheme="minorHAnsi" w:hAnsiTheme="minorHAnsi"/>
        </w:rPr>
      </w:pPr>
    </w:p>
    <w:tbl>
      <w:tblPr>
        <w:tblW w:w="883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48"/>
        <w:gridCol w:w="4590"/>
      </w:tblGrid>
      <w:tr w:rsidR="006C2DC7" w:rsidRPr="004B63EC" w14:paraId="3F223C7E" w14:textId="77777777" w:rsidTr="006C2DC7">
        <w:tc>
          <w:tcPr>
            <w:tcW w:w="8838" w:type="dxa"/>
            <w:gridSpan w:val="2"/>
            <w:shd w:val="clear" w:color="auto" w:fill="E0E0E0"/>
          </w:tcPr>
          <w:p w14:paraId="33CC493B" w14:textId="77777777" w:rsidR="006C2DC7" w:rsidRPr="004B63EC" w:rsidRDefault="006C2DC7" w:rsidP="006C2DC7">
            <w:pPr>
              <w:rPr>
                <w:rFonts w:ascii="Arial" w:hAnsi="Arial" w:cs="Arial"/>
                <w:sz w:val="20"/>
                <w:szCs w:val="20"/>
              </w:rPr>
            </w:pPr>
            <w:r w:rsidRPr="004B63EC">
              <w:rPr>
                <w:rFonts w:ascii="Arial" w:hAnsi="Arial" w:cs="Arial"/>
                <w:sz w:val="20"/>
                <w:szCs w:val="20"/>
              </w:rPr>
              <w:br w:type="page"/>
            </w:r>
            <w:r w:rsidRPr="004B63EC">
              <w:rPr>
                <w:rFonts w:ascii="Arial" w:hAnsi="Arial" w:cs="Arial"/>
                <w:b/>
                <w:sz w:val="20"/>
                <w:szCs w:val="20"/>
              </w:rPr>
              <w:t>Module 5: Registry Agreement needs fle</w:t>
            </w:r>
            <w:r>
              <w:rPr>
                <w:rFonts w:ascii="Arial" w:hAnsi="Arial" w:cs="Arial"/>
                <w:b/>
                <w:sz w:val="20"/>
                <w:szCs w:val="20"/>
              </w:rPr>
              <w:t xml:space="preserve">xibility for single-registrant </w:t>
            </w:r>
            <w:r w:rsidRPr="004B63EC">
              <w:rPr>
                <w:rFonts w:ascii="Arial" w:hAnsi="Arial" w:cs="Arial"/>
                <w:b/>
                <w:sz w:val="20"/>
                <w:szCs w:val="20"/>
              </w:rPr>
              <w:t xml:space="preserve">TLDs </w:t>
            </w:r>
          </w:p>
        </w:tc>
      </w:tr>
      <w:tr w:rsidR="006C2DC7" w:rsidRPr="004B63EC" w14:paraId="61AEFBCC" w14:textId="77777777" w:rsidTr="006C2DC7">
        <w:tc>
          <w:tcPr>
            <w:tcW w:w="4248" w:type="dxa"/>
          </w:tcPr>
          <w:p w14:paraId="1F77825F" w14:textId="77777777" w:rsidR="006C2DC7" w:rsidRPr="004B63EC" w:rsidRDefault="006C2DC7" w:rsidP="006C2DC7">
            <w:pPr>
              <w:rPr>
                <w:rFonts w:ascii="Arial" w:hAnsi="Arial" w:cs="Arial"/>
                <w:b/>
                <w:sz w:val="20"/>
                <w:szCs w:val="20"/>
              </w:rPr>
            </w:pPr>
            <w:r w:rsidRPr="004B63EC">
              <w:rPr>
                <w:rFonts w:ascii="Arial" w:hAnsi="Arial" w:cs="Arial"/>
                <w:b/>
                <w:sz w:val="20"/>
                <w:szCs w:val="20"/>
              </w:rPr>
              <w:t>Current Guidebook Approach:</w:t>
            </w:r>
          </w:p>
        </w:tc>
        <w:tc>
          <w:tcPr>
            <w:tcW w:w="4590" w:type="dxa"/>
          </w:tcPr>
          <w:p w14:paraId="46D12CC2" w14:textId="77777777" w:rsidR="006C2DC7" w:rsidRPr="004B63EC" w:rsidRDefault="006C2DC7" w:rsidP="006C2DC7">
            <w:pPr>
              <w:rPr>
                <w:rFonts w:ascii="Arial" w:hAnsi="Arial" w:cs="Arial"/>
                <w:b/>
                <w:sz w:val="20"/>
                <w:szCs w:val="20"/>
              </w:rPr>
            </w:pPr>
            <w:r w:rsidRPr="004B63EC">
              <w:rPr>
                <w:rFonts w:ascii="Arial" w:hAnsi="Arial" w:cs="Arial"/>
                <w:b/>
                <w:sz w:val="20"/>
                <w:szCs w:val="20"/>
              </w:rPr>
              <w:t xml:space="preserve">BC Recommended Changes: </w:t>
            </w:r>
          </w:p>
        </w:tc>
      </w:tr>
      <w:tr w:rsidR="006C2DC7" w:rsidRPr="004B63EC" w14:paraId="091D0AB2" w14:textId="77777777" w:rsidTr="006C2DC7">
        <w:tc>
          <w:tcPr>
            <w:tcW w:w="4248" w:type="dxa"/>
          </w:tcPr>
          <w:p w14:paraId="10FE9B7A" w14:textId="77777777" w:rsidR="006C2DC7" w:rsidRPr="004B63EC" w:rsidRDefault="006C2DC7" w:rsidP="006C2DC7">
            <w:pPr>
              <w:rPr>
                <w:rFonts w:ascii="Arial" w:hAnsi="Arial" w:cs="Arial"/>
                <w:sz w:val="20"/>
                <w:szCs w:val="20"/>
              </w:rPr>
            </w:pPr>
            <w:r w:rsidRPr="004B63EC">
              <w:rPr>
                <w:rFonts w:ascii="Arial" w:hAnsi="Arial" w:cs="Arial"/>
                <w:sz w:val="20"/>
                <w:szCs w:val="20"/>
              </w:rPr>
              <w:t>Registry Agreement, Article 2, Covenants</w:t>
            </w:r>
          </w:p>
          <w:p w14:paraId="129F4D0C" w14:textId="77777777" w:rsidR="006C2DC7" w:rsidRPr="004B63EC" w:rsidRDefault="006C2DC7" w:rsidP="006C2DC7">
            <w:pPr>
              <w:rPr>
                <w:rFonts w:ascii="Arial" w:hAnsi="Arial" w:cs="Arial"/>
                <w:sz w:val="20"/>
                <w:szCs w:val="20"/>
              </w:rPr>
            </w:pPr>
          </w:p>
          <w:p w14:paraId="045B81E8" w14:textId="77777777" w:rsidR="006C2DC7" w:rsidRPr="004B63EC" w:rsidRDefault="006C2DC7" w:rsidP="006C2DC7">
            <w:pPr>
              <w:rPr>
                <w:rFonts w:ascii="Arial" w:hAnsi="Arial" w:cs="Arial"/>
                <w:sz w:val="20"/>
                <w:szCs w:val="20"/>
              </w:rPr>
            </w:pPr>
            <w:r w:rsidRPr="004B63EC">
              <w:rPr>
                <w:rFonts w:ascii="Arial" w:hAnsi="Arial" w:cs="Arial"/>
                <w:sz w:val="20"/>
                <w:szCs w:val="20"/>
              </w:rPr>
              <w:t xml:space="preserve">2.6 Reserved Names. </w:t>
            </w:r>
          </w:p>
          <w:p w14:paraId="45934BC4" w14:textId="77777777" w:rsidR="006C2DC7" w:rsidRPr="004B63EC" w:rsidRDefault="006C2DC7" w:rsidP="006C2DC7">
            <w:pPr>
              <w:rPr>
                <w:rFonts w:ascii="Arial" w:hAnsi="Arial" w:cs="Arial"/>
                <w:sz w:val="20"/>
                <w:szCs w:val="20"/>
              </w:rPr>
            </w:pPr>
            <w:r w:rsidRPr="004B63EC">
              <w:rPr>
                <w:rFonts w:ascii="Arial" w:hAnsi="Arial" w:cs="Arial"/>
                <w:sz w:val="20"/>
                <w:szCs w:val="20"/>
              </w:rPr>
              <w:t xml:space="preserve">Except to the extent that ICANN otherwise expressly authorizes in writing, Registry Operator shall comply with the restrictions on registration of character strings set forth at Specification 5. </w:t>
            </w:r>
            <w:r w:rsidRPr="004B63EC">
              <w:rPr>
                <w:rFonts w:ascii="Arial" w:eastAsia="MS MinNew Roman" w:hAnsi="Arial" w:cs="Arial"/>
                <w:sz w:val="20"/>
                <w:szCs w:val="20"/>
              </w:rPr>
              <w:t>(Includes geographical names a the second level)</w:t>
            </w:r>
          </w:p>
          <w:p w14:paraId="3ECE77AB" w14:textId="77777777" w:rsidR="006C2DC7" w:rsidRPr="004B63EC" w:rsidRDefault="006C2DC7" w:rsidP="006C2DC7">
            <w:pPr>
              <w:rPr>
                <w:rFonts w:ascii="Arial" w:hAnsi="Arial" w:cs="Arial"/>
                <w:sz w:val="20"/>
                <w:szCs w:val="20"/>
              </w:rPr>
            </w:pPr>
          </w:p>
          <w:p w14:paraId="11D1B051" w14:textId="77777777" w:rsidR="006C2DC7" w:rsidRPr="004B63EC" w:rsidRDefault="006C2DC7" w:rsidP="006C2DC7">
            <w:pPr>
              <w:rPr>
                <w:rFonts w:ascii="Arial" w:hAnsi="Arial" w:cs="Arial"/>
                <w:sz w:val="20"/>
                <w:szCs w:val="20"/>
              </w:rPr>
            </w:pPr>
          </w:p>
        </w:tc>
        <w:tc>
          <w:tcPr>
            <w:tcW w:w="4590" w:type="dxa"/>
          </w:tcPr>
          <w:p w14:paraId="3465DB0F" w14:textId="77777777" w:rsidR="006C2DC7" w:rsidRPr="004B63EC" w:rsidRDefault="006C2DC7" w:rsidP="006C2DC7">
            <w:pPr>
              <w:rPr>
                <w:rFonts w:ascii="Arial" w:eastAsia="MS MinNew Roman" w:hAnsi="Arial" w:cs="Arial"/>
                <w:sz w:val="20"/>
                <w:szCs w:val="20"/>
              </w:rPr>
            </w:pPr>
            <w:r w:rsidRPr="004B63EC">
              <w:rPr>
                <w:rFonts w:ascii="Arial" w:hAnsi="Arial" w:cs="Arial"/>
                <w:sz w:val="20"/>
                <w:szCs w:val="20"/>
              </w:rPr>
              <w:t xml:space="preserve">Subject to approval from relevant national governments, </w:t>
            </w:r>
            <w:r w:rsidRPr="004B63EC">
              <w:rPr>
                <w:rFonts w:ascii="Arial" w:eastAsia="MS MinNew Roman" w:hAnsi="Arial" w:cs="Arial"/>
                <w:sz w:val="20"/>
                <w:szCs w:val="20"/>
              </w:rPr>
              <w:t>a single-registrant TLD should be allowed to register both two-letter abbreviations and full country and regional names at the second level.</w:t>
            </w:r>
          </w:p>
          <w:p w14:paraId="42919ACD" w14:textId="77777777" w:rsidR="006C2DC7" w:rsidRPr="004B63EC" w:rsidRDefault="006C2DC7" w:rsidP="006C2DC7">
            <w:pPr>
              <w:rPr>
                <w:rFonts w:ascii="Arial" w:eastAsia="MS MinNew Roman" w:hAnsi="Arial" w:cs="Arial"/>
                <w:sz w:val="20"/>
                <w:szCs w:val="20"/>
              </w:rPr>
            </w:pPr>
          </w:p>
          <w:p w14:paraId="66EC87D5" w14:textId="77777777" w:rsidR="006C2DC7" w:rsidRPr="004B63EC" w:rsidRDefault="006C2DC7" w:rsidP="006C2DC7">
            <w:pPr>
              <w:rPr>
                <w:rFonts w:ascii="Arial" w:hAnsi="Arial" w:cs="Arial"/>
                <w:sz w:val="20"/>
                <w:szCs w:val="20"/>
              </w:rPr>
            </w:pPr>
            <w:r w:rsidRPr="004B63EC">
              <w:rPr>
                <w:rFonts w:ascii="Arial" w:hAnsi="Arial" w:cs="Arial"/>
                <w:sz w:val="20"/>
                <w:szCs w:val="20"/>
              </w:rPr>
              <w:t xml:space="preserve">2.6 Reserved Names. </w:t>
            </w:r>
          </w:p>
          <w:p w14:paraId="1B23DCA9" w14:textId="77777777" w:rsidR="006C2DC7" w:rsidRPr="004B63EC" w:rsidRDefault="006C2DC7" w:rsidP="006C2DC7">
            <w:pPr>
              <w:rPr>
                <w:rFonts w:ascii="Arial" w:hAnsi="Arial" w:cs="Arial"/>
                <w:sz w:val="20"/>
                <w:szCs w:val="20"/>
              </w:rPr>
            </w:pPr>
            <w:r w:rsidRPr="004B63EC">
              <w:rPr>
                <w:rFonts w:ascii="Arial" w:hAnsi="Arial" w:cs="Arial"/>
                <w:sz w:val="20"/>
                <w:szCs w:val="20"/>
              </w:rPr>
              <w:t xml:space="preserve">Except to the extent that ICANN otherwise expressly authorizes in writing, </w:t>
            </w:r>
            <w:r w:rsidRPr="004B63EC">
              <w:rPr>
                <w:rFonts w:ascii="Arial" w:hAnsi="Arial" w:cs="Arial"/>
                <w:b/>
                <w:sz w:val="20"/>
                <w:szCs w:val="20"/>
              </w:rPr>
              <w:t>and except for single-registrant TLDs with respect to geographical names at the second level,</w:t>
            </w:r>
            <w:r w:rsidRPr="004B63EC">
              <w:rPr>
                <w:rFonts w:ascii="Arial" w:hAnsi="Arial" w:cs="Arial"/>
                <w:sz w:val="20"/>
                <w:szCs w:val="20"/>
              </w:rPr>
              <w:t xml:space="preserve"> Registry Operator shall comply with the restrictions on registration of character strings set forth at Specification 5. </w:t>
            </w:r>
          </w:p>
          <w:p w14:paraId="49D4F08C" w14:textId="77777777" w:rsidR="006C2DC7" w:rsidRPr="004B63EC" w:rsidRDefault="006C2DC7" w:rsidP="006C2DC7">
            <w:pPr>
              <w:rPr>
                <w:rFonts w:ascii="Arial" w:hAnsi="Arial" w:cs="Arial"/>
                <w:sz w:val="20"/>
                <w:szCs w:val="20"/>
              </w:rPr>
            </w:pPr>
          </w:p>
        </w:tc>
      </w:tr>
      <w:tr w:rsidR="006C2DC7" w:rsidRPr="004B63EC" w14:paraId="614BAB4F" w14:textId="77777777" w:rsidTr="006C2DC7">
        <w:trPr>
          <w:trHeight w:val="1052"/>
        </w:trPr>
        <w:tc>
          <w:tcPr>
            <w:tcW w:w="8838" w:type="dxa"/>
            <w:gridSpan w:val="2"/>
          </w:tcPr>
          <w:p w14:paraId="3A300E5B" w14:textId="77777777" w:rsidR="006C2DC7" w:rsidRPr="004B63EC" w:rsidRDefault="006C2DC7" w:rsidP="006C2DC7">
            <w:pPr>
              <w:rPr>
                <w:rFonts w:ascii="Arial" w:hAnsi="Arial" w:cs="Arial"/>
                <w:b/>
                <w:sz w:val="20"/>
                <w:szCs w:val="20"/>
              </w:rPr>
            </w:pPr>
            <w:r w:rsidRPr="004B63EC">
              <w:rPr>
                <w:rFonts w:ascii="Arial" w:hAnsi="Arial" w:cs="Arial"/>
                <w:b/>
                <w:sz w:val="20"/>
                <w:szCs w:val="20"/>
              </w:rPr>
              <w:t>Rationale for BC Recommendation:</w:t>
            </w:r>
          </w:p>
          <w:p w14:paraId="60A37BAB" w14:textId="77777777" w:rsidR="006C2DC7" w:rsidRPr="004B63EC" w:rsidRDefault="006C2DC7" w:rsidP="006C2DC7">
            <w:pPr>
              <w:rPr>
                <w:rFonts w:ascii="Arial" w:hAnsi="Arial" w:cs="Arial"/>
                <w:sz w:val="20"/>
                <w:szCs w:val="20"/>
              </w:rPr>
            </w:pPr>
          </w:p>
          <w:p w14:paraId="7ACC3B50" w14:textId="77777777" w:rsidR="006C2DC7" w:rsidRPr="004B63EC" w:rsidRDefault="006C2DC7" w:rsidP="006C2DC7">
            <w:pPr>
              <w:rPr>
                <w:rFonts w:ascii="Arial" w:hAnsi="Arial" w:cs="Arial"/>
                <w:sz w:val="20"/>
                <w:szCs w:val="20"/>
              </w:rPr>
            </w:pPr>
            <w:r>
              <w:rPr>
                <w:rFonts w:ascii="Arial" w:hAnsi="Arial" w:cs="Arial"/>
                <w:sz w:val="20"/>
                <w:szCs w:val="20"/>
              </w:rPr>
              <w:t xml:space="preserve">Single-registrant TLDs </w:t>
            </w:r>
            <w:r w:rsidRPr="004B63EC">
              <w:rPr>
                <w:rFonts w:ascii="Arial" w:hAnsi="Arial" w:cs="Arial"/>
                <w:sz w:val="20"/>
                <w:szCs w:val="20"/>
              </w:rPr>
              <w:t>will reasonably want to create second level domains for their operating units or chapters in each country or region.  (</w:t>
            </w:r>
            <w:proofErr w:type="gramStart"/>
            <w:r w:rsidRPr="004B63EC">
              <w:rPr>
                <w:rFonts w:ascii="Arial" w:hAnsi="Arial" w:cs="Arial"/>
                <w:sz w:val="20"/>
                <w:szCs w:val="20"/>
              </w:rPr>
              <w:t>e</w:t>
            </w:r>
            <w:proofErr w:type="gramEnd"/>
            <w:r w:rsidRPr="004B63EC">
              <w:rPr>
                <w:rFonts w:ascii="Arial" w:hAnsi="Arial" w:cs="Arial"/>
                <w:sz w:val="20"/>
                <w:szCs w:val="20"/>
              </w:rPr>
              <w:t xml:space="preserve">.g.,  </w:t>
            </w:r>
            <w:proofErr w:type="spellStart"/>
            <w:r w:rsidRPr="004B63EC">
              <w:rPr>
                <w:rFonts w:ascii="Arial" w:hAnsi="Arial" w:cs="Arial"/>
                <w:sz w:val="20"/>
                <w:szCs w:val="20"/>
              </w:rPr>
              <w:t>Canada.Canon</w:t>
            </w:r>
            <w:proofErr w:type="spellEnd"/>
            <w:r w:rsidRPr="004B63EC">
              <w:rPr>
                <w:rFonts w:ascii="Arial" w:hAnsi="Arial" w:cs="Arial"/>
                <w:sz w:val="20"/>
                <w:szCs w:val="20"/>
              </w:rPr>
              <w:t xml:space="preserve">  or </w:t>
            </w:r>
            <w:proofErr w:type="spellStart"/>
            <w:r w:rsidRPr="004B63EC">
              <w:rPr>
                <w:rFonts w:ascii="Arial" w:hAnsi="Arial" w:cs="Arial"/>
                <w:sz w:val="20"/>
                <w:szCs w:val="20"/>
              </w:rPr>
              <w:t>Haiti.RedCross</w:t>
            </w:r>
            <w:proofErr w:type="spellEnd"/>
            <w:r w:rsidRPr="004B63EC">
              <w:rPr>
                <w:rFonts w:ascii="Arial" w:hAnsi="Arial" w:cs="Arial"/>
                <w:sz w:val="20"/>
                <w:szCs w:val="20"/>
              </w:rPr>
              <w:t xml:space="preserve">).  </w:t>
            </w:r>
          </w:p>
          <w:p w14:paraId="080C775C" w14:textId="77777777" w:rsidR="006C2DC7" w:rsidRPr="004B63EC" w:rsidRDefault="006C2DC7" w:rsidP="006C2DC7">
            <w:pPr>
              <w:rPr>
                <w:rFonts w:ascii="Arial" w:hAnsi="Arial" w:cs="Arial"/>
                <w:b/>
                <w:sz w:val="20"/>
                <w:szCs w:val="20"/>
              </w:rPr>
            </w:pPr>
          </w:p>
        </w:tc>
      </w:tr>
    </w:tbl>
    <w:p w14:paraId="1CEC15FF" w14:textId="77777777" w:rsidR="006C2DC7" w:rsidRDefault="006C2DC7" w:rsidP="002F47AE">
      <w:pPr>
        <w:spacing w:line="240" w:lineRule="auto"/>
        <w:rPr>
          <w:rFonts w:asciiTheme="minorHAnsi" w:hAnsiTheme="minorHAnsi"/>
        </w:rPr>
      </w:pPr>
    </w:p>
    <w:p w14:paraId="16A3DBF7" w14:textId="54781EA6" w:rsidR="002F47AE" w:rsidRDefault="002F47AE" w:rsidP="002F47AE">
      <w:pPr>
        <w:spacing w:line="240" w:lineRule="auto"/>
        <w:rPr>
          <w:rFonts w:asciiTheme="minorHAnsi" w:hAnsiTheme="minorHAnsi"/>
        </w:rPr>
      </w:pPr>
      <w:r>
        <w:rPr>
          <w:rFonts w:asciiTheme="minorHAnsi" w:hAnsiTheme="minorHAnsi"/>
        </w:rPr>
        <w:t xml:space="preserve">Now that </w:t>
      </w:r>
      <w:r w:rsidR="001D43F4">
        <w:rPr>
          <w:rFonts w:asciiTheme="minorHAnsi" w:hAnsiTheme="minorHAnsi"/>
        </w:rPr>
        <w:t>there</w:t>
      </w:r>
      <w:r>
        <w:rPr>
          <w:rFonts w:asciiTheme="minorHAnsi" w:hAnsiTheme="minorHAnsi"/>
        </w:rPr>
        <w:t xml:space="preserve"> are several hundred single-registrant TLDs in this new gTLD round, the BC reiterates our request for an exception that allows single-registrant TLDs to register domains for their markets and operations based in countries and territories.  (</w:t>
      </w:r>
      <w:proofErr w:type="gramStart"/>
      <w:r>
        <w:rPr>
          <w:rFonts w:asciiTheme="minorHAnsi" w:hAnsiTheme="minorHAnsi"/>
        </w:rPr>
        <w:t>e</w:t>
      </w:r>
      <w:proofErr w:type="gramEnd"/>
      <w:r>
        <w:rPr>
          <w:rFonts w:asciiTheme="minorHAnsi" w:hAnsiTheme="minorHAnsi"/>
        </w:rPr>
        <w:t xml:space="preserve">.g. </w:t>
      </w:r>
      <w:proofErr w:type="spellStart"/>
      <w:r w:rsidR="00F77570">
        <w:rPr>
          <w:rFonts w:asciiTheme="minorHAnsi" w:hAnsiTheme="minorHAnsi"/>
        </w:rPr>
        <w:t>Canada</w:t>
      </w:r>
      <w:r>
        <w:rPr>
          <w:rFonts w:asciiTheme="minorHAnsi" w:hAnsiTheme="minorHAnsi"/>
        </w:rPr>
        <w:t>.canon</w:t>
      </w:r>
      <w:proofErr w:type="spellEnd"/>
      <w:r w:rsidR="00F77570">
        <w:rPr>
          <w:rFonts w:asciiTheme="minorHAnsi" w:hAnsiTheme="minorHAnsi"/>
        </w:rPr>
        <w:t xml:space="preserve">; </w:t>
      </w:r>
      <w:proofErr w:type="spellStart"/>
      <w:r>
        <w:rPr>
          <w:rFonts w:asciiTheme="minorHAnsi" w:hAnsiTheme="minorHAnsi"/>
        </w:rPr>
        <w:t>Haiti.redcross</w:t>
      </w:r>
      <w:proofErr w:type="spellEnd"/>
      <w:r>
        <w:rPr>
          <w:rFonts w:asciiTheme="minorHAnsi" w:hAnsiTheme="minorHAnsi"/>
        </w:rPr>
        <w:t xml:space="preserve">, etc.) </w:t>
      </w:r>
    </w:p>
    <w:p w14:paraId="618CE9AC" w14:textId="77777777" w:rsidR="002F47AE" w:rsidRDefault="002F47AE" w:rsidP="00F97B6D">
      <w:pPr>
        <w:spacing w:line="240" w:lineRule="auto"/>
        <w:rPr>
          <w:rFonts w:asciiTheme="minorHAnsi" w:hAnsiTheme="minorHAnsi"/>
        </w:rPr>
      </w:pPr>
    </w:p>
    <w:p w14:paraId="14C6F3CF" w14:textId="3EA046C5" w:rsidR="0024624C" w:rsidRDefault="002F47AE" w:rsidP="00F97B6D">
      <w:pPr>
        <w:spacing w:line="240" w:lineRule="auto"/>
        <w:rPr>
          <w:rFonts w:asciiTheme="minorHAnsi" w:hAnsiTheme="minorHAnsi"/>
        </w:rPr>
      </w:pPr>
      <w:r>
        <w:rPr>
          <w:rFonts w:asciiTheme="minorHAnsi" w:hAnsiTheme="minorHAnsi"/>
        </w:rPr>
        <w:lastRenderedPageBreak/>
        <w:t>If not an exce</w:t>
      </w:r>
      <w:r w:rsidR="0024624C">
        <w:rPr>
          <w:rFonts w:asciiTheme="minorHAnsi" w:hAnsiTheme="minorHAnsi"/>
        </w:rPr>
        <w:t xml:space="preserve">ption </w:t>
      </w:r>
      <w:r>
        <w:rPr>
          <w:rFonts w:asciiTheme="minorHAnsi" w:hAnsiTheme="minorHAnsi"/>
        </w:rPr>
        <w:t xml:space="preserve">for single-registrant TLDs, </w:t>
      </w:r>
      <w:r w:rsidR="0024624C">
        <w:rPr>
          <w:rFonts w:asciiTheme="minorHAnsi" w:hAnsiTheme="minorHAnsi"/>
        </w:rPr>
        <w:t xml:space="preserve">ICANN should propose </w:t>
      </w:r>
      <w:r>
        <w:rPr>
          <w:rFonts w:asciiTheme="minorHAnsi" w:hAnsiTheme="minorHAnsi"/>
        </w:rPr>
        <w:t xml:space="preserve">a centralized mechanism where single-registrant TLDs can request authorization </w:t>
      </w:r>
      <w:r w:rsidR="007F476B">
        <w:rPr>
          <w:rFonts w:asciiTheme="minorHAnsi" w:hAnsiTheme="minorHAnsi"/>
        </w:rPr>
        <w:t>from all governments in a consolidated</w:t>
      </w:r>
      <w:r>
        <w:rPr>
          <w:rFonts w:asciiTheme="minorHAnsi" w:hAnsiTheme="minorHAnsi"/>
        </w:rPr>
        <w:t xml:space="preserve"> request</w:t>
      </w:r>
      <w:r w:rsidR="007F476B">
        <w:rPr>
          <w:rFonts w:asciiTheme="minorHAnsi" w:hAnsiTheme="minorHAnsi"/>
        </w:rPr>
        <w:t xml:space="preserve">. </w:t>
      </w:r>
    </w:p>
    <w:p w14:paraId="353CFC21" w14:textId="77777777" w:rsidR="00F33ED9" w:rsidRDefault="00F33ED9" w:rsidP="00F97B6D">
      <w:pPr>
        <w:spacing w:line="240" w:lineRule="auto"/>
        <w:rPr>
          <w:rFonts w:asciiTheme="minorHAnsi" w:hAnsiTheme="minorHAnsi"/>
        </w:rPr>
      </w:pPr>
    </w:p>
    <w:p w14:paraId="7FA14877" w14:textId="7972C104" w:rsidR="00F33ED9" w:rsidRDefault="00F33ED9" w:rsidP="00F97B6D">
      <w:pPr>
        <w:spacing w:line="240" w:lineRule="auto"/>
        <w:rPr>
          <w:rFonts w:asciiTheme="minorHAnsi" w:hAnsiTheme="minorHAnsi"/>
        </w:rPr>
      </w:pPr>
      <w:r>
        <w:rPr>
          <w:rFonts w:asciiTheme="minorHAnsi" w:hAnsiTheme="minorHAnsi"/>
        </w:rPr>
        <w:t>For purposes of this comment, the BC repeats its 2011 proposed definition for “Single-registrant TLD”</w:t>
      </w:r>
      <w:r>
        <w:rPr>
          <w:rStyle w:val="FootnoteReference"/>
          <w:rFonts w:asciiTheme="minorHAnsi" w:hAnsiTheme="minorHAnsi"/>
        </w:rPr>
        <w:footnoteReference w:id="7"/>
      </w:r>
    </w:p>
    <w:p w14:paraId="6965EC32" w14:textId="77777777" w:rsidR="00F33ED9" w:rsidRDefault="00F33ED9" w:rsidP="00F97B6D">
      <w:pPr>
        <w:spacing w:line="240" w:lineRule="auto"/>
        <w:rPr>
          <w:rFonts w:asciiTheme="minorHAnsi" w:hAnsiTheme="minorHAnsi"/>
        </w:rPr>
      </w:pPr>
    </w:p>
    <w:tbl>
      <w:tblPr>
        <w:tblW w:w="9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8"/>
        <w:gridCol w:w="6030"/>
      </w:tblGrid>
      <w:tr w:rsidR="00F33ED9" w:rsidRPr="004B63EC" w14:paraId="7237005B" w14:textId="77777777" w:rsidTr="007B1A6D">
        <w:tc>
          <w:tcPr>
            <w:tcW w:w="3078" w:type="dxa"/>
          </w:tcPr>
          <w:p w14:paraId="4433D353" w14:textId="1DD348C1" w:rsidR="00F33ED9" w:rsidRPr="004B63EC" w:rsidRDefault="00F33ED9" w:rsidP="001D43F4">
            <w:pPr>
              <w:rPr>
                <w:rFonts w:ascii="Arial" w:hAnsi="Arial" w:cs="Arial"/>
                <w:b/>
                <w:sz w:val="20"/>
                <w:szCs w:val="20"/>
              </w:rPr>
            </w:pPr>
            <w:r w:rsidRPr="004B63EC">
              <w:rPr>
                <w:rFonts w:ascii="Arial" w:hAnsi="Arial" w:cs="Arial"/>
                <w:b/>
                <w:sz w:val="20"/>
                <w:szCs w:val="20"/>
              </w:rPr>
              <w:t>Current Guidebook:</w:t>
            </w:r>
          </w:p>
        </w:tc>
        <w:tc>
          <w:tcPr>
            <w:tcW w:w="6030" w:type="dxa"/>
          </w:tcPr>
          <w:p w14:paraId="133EFB2F" w14:textId="7FD300E7" w:rsidR="00F33ED9" w:rsidRPr="004B63EC" w:rsidRDefault="001D43F4" w:rsidP="001D43F4">
            <w:pPr>
              <w:rPr>
                <w:rFonts w:ascii="Arial" w:hAnsi="Arial" w:cs="Arial"/>
                <w:b/>
                <w:sz w:val="20"/>
                <w:szCs w:val="20"/>
              </w:rPr>
            </w:pPr>
            <w:r>
              <w:rPr>
                <w:rFonts w:ascii="Arial" w:hAnsi="Arial" w:cs="Arial"/>
                <w:b/>
                <w:sz w:val="20"/>
                <w:szCs w:val="20"/>
              </w:rPr>
              <w:t>BC Recommended Change</w:t>
            </w:r>
            <w:r w:rsidR="00F33ED9" w:rsidRPr="004B63EC">
              <w:rPr>
                <w:rFonts w:ascii="Arial" w:hAnsi="Arial" w:cs="Arial"/>
                <w:b/>
                <w:sz w:val="20"/>
                <w:szCs w:val="20"/>
              </w:rPr>
              <w:t xml:space="preserve">: </w:t>
            </w:r>
          </w:p>
        </w:tc>
      </w:tr>
      <w:tr w:rsidR="00F33ED9" w:rsidRPr="004B63EC" w14:paraId="3714BB02" w14:textId="77777777" w:rsidTr="007B1A6D">
        <w:tc>
          <w:tcPr>
            <w:tcW w:w="3078" w:type="dxa"/>
          </w:tcPr>
          <w:p w14:paraId="43158B6F" w14:textId="77777777" w:rsidR="00F33ED9" w:rsidRPr="004B63EC" w:rsidRDefault="00F33ED9" w:rsidP="00F33ED9">
            <w:pPr>
              <w:rPr>
                <w:rFonts w:ascii="Arial" w:hAnsi="Arial" w:cs="Arial"/>
                <w:sz w:val="20"/>
                <w:szCs w:val="20"/>
              </w:rPr>
            </w:pPr>
          </w:p>
          <w:p w14:paraId="2C92FC37" w14:textId="77777777" w:rsidR="00F33ED9" w:rsidRPr="004B63EC" w:rsidRDefault="00F33ED9" w:rsidP="00F33ED9">
            <w:pPr>
              <w:rPr>
                <w:rFonts w:ascii="Arial" w:hAnsi="Arial" w:cs="Arial"/>
                <w:sz w:val="20"/>
                <w:szCs w:val="20"/>
              </w:rPr>
            </w:pPr>
            <w:r w:rsidRPr="004B63EC">
              <w:rPr>
                <w:rFonts w:ascii="Arial" w:hAnsi="Arial" w:cs="Arial"/>
                <w:sz w:val="20"/>
                <w:szCs w:val="20"/>
              </w:rPr>
              <w:t>Single-Registrant TLD</w:t>
            </w:r>
          </w:p>
          <w:p w14:paraId="1DE28A1F" w14:textId="77777777" w:rsidR="00F33ED9" w:rsidRPr="004B63EC" w:rsidRDefault="00F33ED9" w:rsidP="00F33ED9">
            <w:pPr>
              <w:rPr>
                <w:rFonts w:ascii="Arial" w:hAnsi="Arial" w:cs="Arial"/>
                <w:sz w:val="20"/>
                <w:szCs w:val="20"/>
              </w:rPr>
            </w:pPr>
          </w:p>
          <w:p w14:paraId="16D98D53" w14:textId="77777777" w:rsidR="00F33ED9" w:rsidRPr="004B63EC" w:rsidRDefault="00F33ED9" w:rsidP="00F33ED9">
            <w:pPr>
              <w:rPr>
                <w:rFonts w:ascii="Arial" w:hAnsi="Arial" w:cs="Arial"/>
                <w:sz w:val="20"/>
                <w:szCs w:val="20"/>
              </w:rPr>
            </w:pPr>
            <w:proofErr w:type="gramStart"/>
            <w:r w:rsidRPr="004B63EC">
              <w:rPr>
                <w:rFonts w:ascii="Arial" w:hAnsi="Arial" w:cs="Arial"/>
                <w:sz w:val="20"/>
                <w:szCs w:val="20"/>
              </w:rPr>
              <w:t>[ no</w:t>
            </w:r>
            <w:proofErr w:type="gramEnd"/>
            <w:r w:rsidRPr="004B63EC">
              <w:rPr>
                <w:rFonts w:ascii="Arial" w:hAnsi="Arial" w:cs="Arial"/>
                <w:sz w:val="20"/>
                <w:szCs w:val="20"/>
              </w:rPr>
              <w:t xml:space="preserve"> definition is provided ] </w:t>
            </w:r>
          </w:p>
          <w:p w14:paraId="330F5643" w14:textId="77777777" w:rsidR="00F33ED9" w:rsidRPr="004B63EC" w:rsidRDefault="00F33ED9" w:rsidP="00F33ED9">
            <w:pPr>
              <w:rPr>
                <w:rFonts w:ascii="Arial" w:hAnsi="Arial" w:cs="Arial"/>
                <w:sz w:val="20"/>
                <w:szCs w:val="20"/>
              </w:rPr>
            </w:pPr>
          </w:p>
        </w:tc>
        <w:tc>
          <w:tcPr>
            <w:tcW w:w="6030" w:type="dxa"/>
          </w:tcPr>
          <w:p w14:paraId="6E6D0926" w14:textId="77777777" w:rsidR="00F33ED9" w:rsidRPr="00E63D19" w:rsidRDefault="00F33ED9" w:rsidP="00F33ED9">
            <w:pPr>
              <w:rPr>
                <w:rFonts w:ascii="Arial" w:hAnsi="Arial" w:cs="Arial"/>
                <w:sz w:val="20"/>
                <w:szCs w:val="20"/>
              </w:rPr>
            </w:pPr>
            <w:r w:rsidRPr="00E63D19">
              <w:rPr>
                <w:rFonts w:ascii="Arial" w:hAnsi="Arial" w:cs="Arial"/>
                <w:sz w:val="20"/>
                <w:szCs w:val="20"/>
              </w:rPr>
              <w:t xml:space="preserve">The </w:t>
            </w:r>
            <w:r>
              <w:rPr>
                <w:rFonts w:ascii="Arial" w:hAnsi="Arial" w:cs="Arial"/>
                <w:sz w:val="20"/>
                <w:szCs w:val="20"/>
              </w:rPr>
              <w:t>BC proposes to add a definition to the Guidebook and Registry Agreement:</w:t>
            </w:r>
          </w:p>
          <w:p w14:paraId="6804FB93" w14:textId="77777777" w:rsidR="00F33ED9" w:rsidRPr="00E63D19" w:rsidRDefault="00F33ED9" w:rsidP="00F33ED9">
            <w:pPr>
              <w:rPr>
                <w:rFonts w:ascii="Arial" w:hAnsi="Arial" w:cs="Arial"/>
                <w:sz w:val="20"/>
                <w:szCs w:val="20"/>
              </w:rPr>
            </w:pPr>
          </w:p>
          <w:p w14:paraId="22343183" w14:textId="77777777" w:rsidR="00F33ED9" w:rsidRPr="00E63D19" w:rsidRDefault="00F33ED9" w:rsidP="00F33ED9">
            <w:pPr>
              <w:rPr>
                <w:rFonts w:ascii="Arial" w:hAnsi="Arial" w:cs="Arial"/>
                <w:b/>
                <w:sz w:val="20"/>
                <w:szCs w:val="20"/>
              </w:rPr>
            </w:pPr>
            <w:r w:rsidRPr="00E63D19">
              <w:rPr>
                <w:rFonts w:ascii="Arial" w:hAnsi="Arial" w:cs="Arial"/>
                <w:b/>
                <w:sz w:val="20"/>
                <w:szCs w:val="20"/>
              </w:rPr>
              <w:t>Single-registrant TLD:  a TLD where the Registry Operator is the registrant of record for all domain names in the TLD.</w:t>
            </w:r>
          </w:p>
          <w:p w14:paraId="475C32C6" w14:textId="77777777" w:rsidR="00F33ED9" w:rsidRPr="004B63EC" w:rsidRDefault="00F33ED9" w:rsidP="00F33ED9">
            <w:pPr>
              <w:rPr>
                <w:rFonts w:ascii="Arial" w:hAnsi="Arial" w:cs="Arial"/>
                <w:b/>
                <w:sz w:val="20"/>
                <w:szCs w:val="20"/>
              </w:rPr>
            </w:pPr>
          </w:p>
        </w:tc>
      </w:tr>
      <w:tr w:rsidR="00F33ED9" w:rsidRPr="004B63EC" w14:paraId="0EFA5935" w14:textId="77777777" w:rsidTr="00F33ED9">
        <w:trPr>
          <w:trHeight w:val="1052"/>
        </w:trPr>
        <w:tc>
          <w:tcPr>
            <w:tcW w:w="9108" w:type="dxa"/>
            <w:gridSpan w:val="2"/>
          </w:tcPr>
          <w:p w14:paraId="315716D7" w14:textId="77777777" w:rsidR="00F33ED9" w:rsidRPr="004B63EC" w:rsidRDefault="00F33ED9" w:rsidP="00F33ED9">
            <w:pPr>
              <w:rPr>
                <w:rFonts w:ascii="Arial" w:hAnsi="Arial" w:cs="Arial"/>
                <w:b/>
                <w:sz w:val="20"/>
                <w:szCs w:val="20"/>
              </w:rPr>
            </w:pPr>
            <w:r w:rsidRPr="004B63EC">
              <w:rPr>
                <w:rFonts w:ascii="Arial" w:hAnsi="Arial" w:cs="Arial"/>
                <w:b/>
                <w:sz w:val="20"/>
                <w:szCs w:val="20"/>
              </w:rPr>
              <w:t>Rationale for BC Recommendation:</w:t>
            </w:r>
          </w:p>
          <w:p w14:paraId="75140B25" w14:textId="77777777" w:rsidR="00F33ED9" w:rsidRPr="004B63EC" w:rsidRDefault="00F33ED9" w:rsidP="00F33ED9">
            <w:pPr>
              <w:rPr>
                <w:rFonts w:ascii="Arial" w:hAnsi="Arial" w:cs="Arial"/>
                <w:b/>
                <w:sz w:val="20"/>
                <w:szCs w:val="20"/>
              </w:rPr>
            </w:pPr>
          </w:p>
          <w:p w14:paraId="1CFC90DE" w14:textId="77777777" w:rsidR="00F33ED9" w:rsidRPr="004B63EC" w:rsidRDefault="00F33ED9" w:rsidP="00F33ED9">
            <w:pPr>
              <w:rPr>
                <w:rFonts w:ascii="Arial" w:hAnsi="Arial" w:cs="Arial"/>
                <w:sz w:val="20"/>
                <w:szCs w:val="20"/>
              </w:rPr>
            </w:pPr>
            <w:r w:rsidRPr="004B63EC">
              <w:rPr>
                <w:rFonts w:ascii="Arial" w:hAnsi="Arial" w:cs="Arial"/>
                <w:sz w:val="20"/>
                <w:szCs w:val="20"/>
              </w:rPr>
              <w:t>This definition makes a clear and objectively measured distinction between single-registrant TLDs and those that make registrations available to the public.</w:t>
            </w:r>
          </w:p>
          <w:p w14:paraId="204E4308" w14:textId="77777777" w:rsidR="00F33ED9" w:rsidRPr="004B63EC" w:rsidRDefault="00F33ED9" w:rsidP="00F33E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color w:val="000000"/>
                <w:sz w:val="20"/>
                <w:szCs w:val="20"/>
              </w:rPr>
            </w:pPr>
          </w:p>
          <w:p w14:paraId="756E4E17" w14:textId="77777777" w:rsidR="00F33ED9" w:rsidRPr="004B63EC" w:rsidRDefault="00F33ED9" w:rsidP="00F33E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color w:val="000000"/>
                <w:sz w:val="20"/>
                <w:szCs w:val="20"/>
              </w:rPr>
            </w:pPr>
            <w:r w:rsidRPr="004B63EC">
              <w:rPr>
                <w:rFonts w:ascii="Arial" w:eastAsia="Times New Roman" w:hAnsi="Arial" w:cs="Arial"/>
                <w:color w:val="000000"/>
                <w:sz w:val="20"/>
                <w:szCs w:val="20"/>
              </w:rPr>
              <w:t>Since 2009, the BC has maintained that TLDs intended for "internal use" include those registries that are “not for sale to the general public". BC discussions of "internal use" include the following entities:</w:t>
            </w:r>
          </w:p>
          <w:p w14:paraId="23B6AD70" w14:textId="77777777" w:rsidR="00F33ED9" w:rsidRPr="004B63EC" w:rsidRDefault="00F33ED9" w:rsidP="00F33ED9">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rPr>
                <w:rFonts w:ascii="Arial" w:eastAsia="Times New Roman" w:hAnsi="Arial" w:cs="Arial"/>
                <w:color w:val="000000"/>
                <w:sz w:val="20"/>
                <w:szCs w:val="20"/>
              </w:rPr>
            </w:pPr>
            <w:r w:rsidRPr="004B63EC">
              <w:rPr>
                <w:rFonts w:ascii="Arial" w:eastAsia="Times New Roman" w:hAnsi="Arial" w:cs="Arial"/>
                <w:color w:val="000000"/>
                <w:sz w:val="20"/>
                <w:szCs w:val="20"/>
              </w:rPr>
              <w:t xml:space="preserve">Divisions and product names for a single registrant (e.g. </w:t>
            </w:r>
            <w:proofErr w:type="spellStart"/>
            <w:r w:rsidRPr="004B63EC">
              <w:rPr>
                <w:rFonts w:ascii="Arial" w:eastAsia="Times New Roman" w:hAnsi="Arial" w:cs="Arial"/>
                <w:color w:val="000000"/>
                <w:sz w:val="20"/>
                <w:szCs w:val="20"/>
              </w:rPr>
              <w:t>copiers.canon</w:t>
            </w:r>
            <w:proofErr w:type="spellEnd"/>
            <w:r w:rsidRPr="004B63EC">
              <w:rPr>
                <w:rFonts w:ascii="Arial" w:eastAsia="Times New Roman" w:hAnsi="Arial" w:cs="Arial"/>
                <w:color w:val="000000"/>
                <w:sz w:val="20"/>
                <w:szCs w:val="20"/>
              </w:rPr>
              <w:t>)</w:t>
            </w:r>
          </w:p>
          <w:p w14:paraId="32285683" w14:textId="77777777" w:rsidR="00F33ED9" w:rsidRPr="004B63EC" w:rsidRDefault="00F33ED9" w:rsidP="00F33ED9">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rPr>
                <w:rFonts w:ascii="Arial" w:eastAsia="Times New Roman" w:hAnsi="Arial" w:cs="Arial"/>
                <w:color w:val="000000"/>
                <w:sz w:val="20"/>
                <w:szCs w:val="20"/>
              </w:rPr>
            </w:pPr>
            <w:r w:rsidRPr="004B63EC">
              <w:rPr>
                <w:rFonts w:ascii="Arial" w:eastAsia="Times New Roman" w:hAnsi="Arial" w:cs="Arial"/>
                <w:color w:val="000000"/>
                <w:sz w:val="20"/>
                <w:szCs w:val="20"/>
              </w:rPr>
              <w:t>Employees of a single registrant, for use in second level domains and email addresses</w:t>
            </w:r>
          </w:p>
          <w:p w14:paraId="508BBB9A" w14:textId="77777777" w:rsidR="00F33ED9" w:rsidRPr="004B63EC" w:rsidRDefault="00F33ED9" w:rsidP="00F33ED9">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rPr>
                <w:rFonts w:ascii="Arial" w:eastAsia="Times New Roman" w:hAnsi="Arial" w:cs="Arial"/>
                <w:color w:val="000000"/>
                <w:sz w:val="20"/>
                <w:szCs w:val="20"/>
              </w:rPr>
            </w:pPr>
            <w:r w:rsidRPr="004B63EC">
              <w:rPr>
                <w:rFonts w:ascii="Arial" w:eastAsia="Times New Roman" w:hAnsi="Arial" w:cs="Arial"/>
                <w:color w:val="000000"/>
                <w:sz w:val="20"/>
                <w:szCs w:val="20"/>
              </w:rPr>
              <w:t>Subscribers, customers, and registered users of a single registrant, subject to approval and control by the single registrant.</w:t>
            </w:r>
          </w:p>
          <w:p w14:paraId="1BA8DEE3" w14:textId="77777777" w:rsidR="00F33ED9" w:rsidRPr="004B63EC" w:rsidRDefault="00F33ED9" w:rsidP="00F33ED9">
            <w:pPr>
              <w:rPr>
                <w:rFonts w:ascii="Arial" w:hAnsi="Arial" w:cs="Arial"/>
                <w:sz w:val="20"/>
                <w:szCs w:val="20"/>
              </w:rPr>
            </w:pPr>
          </w:p>
          <w:p w14:paraId="387B5912" w14:textId="77777777" w:rsidR="00F33ED9" w:rsidRPr="004B63EC" w:rsidRDefault="00F33ED9" w:rsidP="00F33ED9">
            <w:pPr>
              <w:rPr>
                <w:rFonts w:ascii="Arial" w:hAnsi="Arial" w:cs="Arial"/>
                <w:sz w:val="20"/>
                <w:szCs w:val="20"/>
              </w:rPr>
            </w:pPr>
            <w:r w:rsidRPr="004B63EC">
              <w:rPr>
                <w:rFonts w:ascii="Arial" w:hAnsi="Arial" w:cs="Arial"/>
                <w:sz w:val="20"/>
                <w:szCs w:val="20"/>
              </w:rPr>
              <w:t>In all these cases, the registry Operator shall be the registrant of record for all second level domain names in the TLD.</w:t>
            </w:r>
          </w:p>
          <w:p w14:paraId="6F14E0A0" w14:textId="77777777" w:rsidR="00F33ED9" w:rsidRPr="004B63EC" w:rsidRDefault="00F33ED9" w:rsidP="00F33ED9">
            <w:pPr>
              <w:rPr>
                <w:rFonts w:ascii="Arial" w:hAnsi="Arial" w:cs="Arial"/>
                <w:sz w:val="20"/>
                <w:szCs w:val="20"/>
              </w:rPr>
            </w:pPr>
          </w:p>
        </w:tc>
      </w:tr>
    </w:tbl>
    <w:p w14:paraId="24F32281" w14:textId="77777777" w:rsidR="00F643A1" w:rsidRDefault="00F643A1" w:rsidP="00F97B6D">
      <w:pPr>
        <w:spacing w:line="240" w:lineRule="auto"/>
        <w:rPr>
          <w:rFonts w:asciiTheme="minorHAnsi" w:hAnsiTheme="minorHAnsi"/>
        </w:rPr>
      </w:pPr>
    </w:p>
    <w:sectPr w:rsidR="00F643A1" w:rsidSect="00EB1475">
      <w:footerReference w:type="default" r:id="rId17"/>
      <w:pgSz w:w="12240" w:h="15840"/>
      <w:pgMar w:top="1080" w:right="1152" w:bottom="1296" w:left="1296" w:header="720" w:footer="720" w:gutter="0"/>
      <w:pgNumType w:start="1"/>
      <w:cols w:space="720"/>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7A2C4" w14:textId="77777777" w:rsidR="00C45BB3" w:rsidRDefault="00C45BB3" w:rsidP="004D3EFA">
      <w:pPr>
        <w:spacing w:line="240" w:lineRule="auto"/>
      </w:pPr>
      <w:r>
        <w:separator/>
      </w:r>
    </w:p>
  </w:endnote>
  <w:endnote w:type="continuationSeparator" w:id="0">
    <w:p w14:paraId="54AAE46A" w14:textId="77777777" w:rsidR="00C45BB3" w:rsidRDefault="00C45BB3" w:rsidP="004D3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Rounded MT Bold">
    <w:panose1 w:val="020F0704030504030204"/>
    <w:charset w:val="00"/>
    <w:family w:val="auto"/>
    <w:pitch w:val="variable"/>
    <w:sig w:usb0="00000003" w:usb1="00000000" w:usb2="00000000" w:usb3="00000000" w:csb0="00000001" w:csb1="00000000"/>
  </w:font>
  <w:font w:name="MS MinNew Roman">
    <w:altName w:val="Roman"/>
    <w:panose1 w:val="00000000000000000000"/>
    <w:charset w:val="80"/>
    <w:family w:val="roman"/>
    <w:notTrueType/>
    <w:pitch w:val="fixed"/>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F748C" w14:textId="77777777" w:rsidR="00C45BB3" w:rsidRDefault="00C45BB3" w:rsidP="001129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2ABD5D" w14:textId="0143DBFE" w:rsidR="00C45BB3" w:rsidRDefault="00C45BB3" w:rsidP="00112967">
    <w:pPr>
      <w:pStyle w:val="Footer"/>
      <w:ind w:right="360" w:firstLine="360"/>
    </w:pPr>
    <w:sdt>
      <w:sdtPr>
        <w:id w:val="969400743"/>
        <w:placeholder>
          <w:docPart w:val="71C4F7815F5479458188E0644CCEC2B1"/>
        </w:placeholder>
        <w:temporary/>
        <w:showingPlcHdr/>
      </w:sdtPr>
      <w:sdtContent>
        <w:r>
          <w:t>[Type text]</w:t>
        </w:r>
      </w:sdtContent>
    </w:sdt>
    <w:r>
      <w:ptab w:relativeTo="margin" w:alignment="center" w:leader="none"/>
    </w:r>
    <w:sdt>
      <w:sdtPr>
        <w:id w:val="969400748"/>
        <w:placeholder>
          <w:docPart w:val="22A06DA4D6C3354D933153551A037D56"/>
        </w:placeholder>
        <w:temporary/>
        <w:showingPlcHdr/>
      </w:sdtPr>
      <w:sdtContent>
        <w:r>
          <w:t>[Type text]</w:t>
        </w:r>
      </w:sdtContent>
    </w:sdt>
    <w:r>
      <w:ptab w:relativeTo="margin" w:alignment="right" w:leader="none"/>
    </w:r>
    <w:sdt>
      <w:sdtPr>
        <w:id w:val="969400753"/>
        <w:placeholder>
          <w:docPart w:val="5E8703280E548347BE038D264063BD2D"/>
        </w:placeholder>
        <w:temporary/>
        <w:showingPlcHdr/>
      </w:sdtPr>
      <w:sdtContent>
        <w: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5537F" w14:textId="1E05E235" w:rsidR="00C45BB3" w:rsidRDefault="00C45BB3" w:rsidP="00112967">
    <w:pPr>
      <w:pStyle w:val="Footer"/>
      <w:ind w:right="360" w:firstLine="360"/>
    </w:pPr>
    <w:r>
      <w:ptab w:relativeTo="margin" w:alignment="center" w:leader="none"/>
    </w:r>
    <w:r>
      <w:ptab w:relativeTo="margin" w:alignment="right" w:leader="none"/>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354C3" w14:textId="77777777" w:rsidR="00C45BB3" w:rsidRDefault="00C45BB3" w:rsidP="00C538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F784C6" w14:textId="77777777" w:rsidR="00C45BB3" w:rsidRDefault="00C45BB3" w:rsidP="00732752">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4F741" w14:textId="122E03D1" w:rsidR="00C45BB3" w:rsidRDefault="00C45BB3" w:rsidP="000708EE">
    <w:pPr>
      <w:pStyle w:val="Footer"/>
      <w:ind w:right="360" w:firstLine="360"/>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E45D93">
      <w:rPr>
        <w:rStyle w:val="PageNumber"/>
        <w:noProof/>
      </w:rPr>
      <w:t>7</w:t>
    </w:r>
    <w:r>
      <w:rPr>
        <w:rStyle w:val="PageNumber"/>
      </w:rPr>
      <w:fldChar w:fldCharType="end"/>
    </w:r>
    <w:r>
      <w:ptab w:relativeTo="margin" w:alignment="center" w:leader="none"/>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3FBC9" w14:textId="77777777" w:rsidR="00C45BB3" w:rsidRDefault="00C45BB3" w:rsidP="004D3EFA">
      <w:pPr>
        <w:spacing w:line="240" w:lineRule="auto"/>
      </w:pPr>
      <w:r>
        <w:separator/>
      </w:r>
    </w:p>
  </w:footnote>
  <w:footnote w:type="continuationSeparator" w:id="0">
    <w:p w14:paraId="35A35C1D" w14:textId="77777777" w:rsidR="00C45BB3" w:rsidRDefault="00C45BB3" w:rsidP="004D3EFA">
      <w:pPr>
        <w:spacing w:line="240" w:lineRule="auto"/>
      </w:pPr>
      <w:r>
        <w:continuationSeparator/>
      </w:r>
    </w:p>
  </w:footnote>
  <w:footnote w:id="1">
    <w:p w14:paraId="63B24DE8" w14:textId="095CFAF1" w:rsidR="00C45BB3" w:rsidRPr="00870548" w:rsidRDefault="00C45BB3" w:rsidP="00870548">
      <w:pPr>
        <w:pStyle w:val="FootnoteText"/>
        <w:rPr>
          <w:rFonts w:asciiTheme="minorHAnsi" w:hAnsiTheme="minorHAnsi"/>
        </w:rPr>
      </w:pPr>
      <w:r w:rsidRPr="00870548">
        <w:rPr>
          <w:rStyle w:val="FootnoteReference"/>
          <w:rFonts w:asciiTheme="minorHAnsi" w:hAnsiTheme="minorHAnsi"/>
        </w:rPr>
        <w:footnoteRef/>
      </w:r>
      <w:r>
        <w:rPr>
          <w:rFonts w:asciiTheme="minorHAnsi" w:hAnsiTheme="minorHAnsi"/>
        </w:rPr>
        <w:t xml:space="preserve"> BC </w:t>
      </w:r>
      <w:r w:rsidRPr="00870548">
        <w:rPr>
          <w:rFonts w:asciiTheme="minorHAnsi" w:hAnsiTheme="minorHAnsi"/>
        </w:rPr>
        <w:t>Implementation Improvements request to ICANN Board of Directors and CEO</w:t>
      </w:r>
      <w:r>
        <w:rPr>
          <w:rFonts w:asciiTheme="minorHAnsi" w:hAnsiTheme="minorHAnsi"/>
        </w:rPr>
        <w:t>, Feb-2012.</w:t>
      </w:r>
    </w:p>
    <w:p w14:paraId="4A639D44" w14:textId="75937488" w:rsidR="00C45BB3" w:rsidRPr="00870548" w:rsidRDefault="00C45BB3" w:rsidP="00870548">
      <w:pPr>
        <w:pStyle w:val="FootnoteText"/>
        <w:rPr>
          <w:rFonts w:asciiTheme="minorHAnsi" w:hAnsiTheme="minorHAnsi"/>
        </w:rPr>
      </w:pPr>
      <w:hyperlink r:id="rId1" w:history="1">
        <w:r w:rsidRPr="0041067F">
          <w:rPr>
            <w:rStyle w:val="Hyperlink"/>
            <w:rFonts w:asciiTheme="minorHAnsi" w:hAnsiTheme="minorHAnsi"/>
          </w:rPr>
          <w:t>http://www.bizconst.org/Positions-Statements/BC%20request%20for%20implemen</w:t>
        </w:r>
        <w:r w:rsidRPr="0041067F">
          <w:rPr>
            <w:rStyle w:val="Hyperlink"/>
            <w:rFonts w:asciiTheme="minorHAnsi" w:hAnsiTheme="minorHAnsi"/>
          </w:rPr>
          <w:t>t</w:t>
        </w:r>
        <w:r w:rsidRPr="0041067F">
          <w:rPr>
            <w:rStyle w:val="Hyperlink"/>
            <w:rFonts w:asciiTheme="minorHAnsi" w:hAnsiTheme="minorHAnsi"/>
          </w:rPr>
          <w:t>ation%20improvements.pdf</w:t>
        </w:r>
      </w:hyperlink>
      <w:r>
        <w:rPr>
          <w:rFonts w:asciiTheme="minorHAnsi" w:hAnsiTheme="minorHAnsi"/>
        </w:rPr>
        <w:t xml:space="preserve"> </w:t>
      </w:r>
      <w:r w:rsidRPr="00870548">
        <w:rPr>
          <w:rFonts w:asciiTheme="minorHAnsi" w:hAnsiTheme="minorHAnsi"/>
        </w:rPr>
        <w:t xml:space="preserve">  </w:t>
      </w:r>
    </w:p>
    <w:p w14:paraId="4ADF3CA2" w14:textId="583245BF" w:rsidR="00C45BB3" w:rsidRDefault="00C45BB3">
      <w:pPr>
        <w:pStyle w:val="FootnoteText"/>
      </w:pPr>
    </w:p>
  </w:footnote>
  <w:footnote w:id="2">
    <w:p w14:paraId="23BBB744" w14:textId="4F139431" w:rsidR="00C45BB3" w:rsidRPr="006C2DC7" w:rsidRDefault="00C45BB3" w:rsidP="00870548">
      <w:pPr>
        <w:pStyle w:val="FootnoteText"/>
        <w:rPr>
          <w:rFonts w:asciiTheme="minorHAnsi" w:hAnsiTheme="minorHAnsi"/>
        </w:rPr>
      </w:pPr>
      <w:r>
        <w:rPr>
          <w:rStyle w:val="FootnoteReference"/>
        </w:rPr>
        <w:footnoteRef/>
      </w:r>
      <w:r>
        <w:t xml:space="preserve"> </w:t>
      </w:r>
      <w:r w:rsidRPr="006C2DC7">
        <w:rPr>
          <w:rFonts w:asciiTheme="minorHAnsi" w:hAnsiTheme="minorHAnsi"/>
        </w:rPr>
        <w:t>BC Implementation Improvements request to ICANN Board of Directors and CEO, Feb-2012.</w:t>
      </w:r>
    </w:p>
    <w:p w14:paraId="73726A31" w14:textId="77777777" w:rsidR="00C45BB3" w:rsidRPr="00870548" w:rsidRDefault="00C45BB3" w:rsidP="00870548">
      <w:pPr>
        <w:pStyle w:val="FootnoteText"/>
        <w:rPr>
          <w:rFonts w:asciiTheme="minorHAnsi" w:hAnsiTheme="minorHAnsi"/>
        </w:rPr>
      </w:pPr>
      <w:hyperlink r:id="rId2" w:history="1">
        <w:r w:rsidRPr="006C2DC7">
          <w:rPr>
            <w:rStyle w:val="Hyperlink"/>
            <w:rFonts w:asciiTheme="minorHAnsi" w:hAnsiTheme="minorHAnsi"/>
          </w:rPr>
          <w:t>http://www.bizconst.org/Positions-Statements/BC%20request%20for%20implementation%20improvements.pdf</w:t>
        </w:r>
      </w:hyperlink>
      <w:r>
        <w:rPr>
          <w:rFonts w:asciiTheme="minorHAnsi" w:hAnsiTheme="minorHAnsi"/>
        </w:rPr>
        <w:t xml:space="preserve"> </w:t>
      </w:r>
      <w:r w:rsidRPr="00870548">
        <w:rPr>
          <w:rFonts w:asciiTheme="minorHAnsi" w:hAnsiTheme="minorHAnsi"/>
        </w:rPr>
        <w:t xml:space="preserve">  </w:t>
      </w:r>
    </w:p>
    <w:p w14:paraId="1E4C729A" w14:textId="0E5D1357" w:rsidR="00C45BB3" w:rsidRDefault="00C45BB3">
      <w:pPr>
        <w:pStyle w:val="FootnoteText"/>
      </w:pPr>
    </w:p>
  </w:footnote>
  <w:footnote w:id="3">
    <w:p w14:paraId="41ED06B8" w14:textId="14ED4703" w:rsidR="00C45BB3" w:rsidRPr="00C976AB" w:rsidRDefault="00C45BB3" w:rsidP="00C976AB">
      <w:pPr>
        <w:spacing w:line="240" w:lineRule="auto"/>
        <w:rPr>
          <w:rFonts w:asciiTheme="minorHAnsi" w:hAnsiTheme="minorHAnsi"/>
          <w:sz w:val="20"/>
          <w:szCs w:val="20"/>
        </w:rPr>
      </w:pPr>
      <w:r w:rsidRPr="00C976AB">
        <w:rPr>
          <w:rStyle w:val="FootnoteReference"/>
          <w:sz w:val="20"/>
          <w:szCs w:val="20"/>
        </w:rPr>
        <w:footnoteRef/>
      </w:r>
      <w:r w:rsidRPr="00C976AB">
        <w:rPr>
          <w:sz w:val="20"/>
          <w:szCs w:val="20"/>
        </w:rPr>
        <w:t xml:space="preserve"> </w:t>
      </w:r>
      <w:r>
        <w:rPr>
          <w:sz w:val="20"/>
          <w:szCs w:val="20"/>
        </w:rPr>
        <w:t>Comments of the US Government on the</w:t>
      </w:r>
      <w:r w:rsidRPr="00C976AB">
        <w:rPr>
          <w:sz w:val="20"/>
          <w:szCs w:val="20"/>
        </w:rPr>
        <w:t xml:space="preserve"> </w:t>
      </w:r>
      <w:proofErr w:type="gramStart"/>
      <w:r w:rsidRPr="00C976AB">
        <w:rPr>
          <w:sz w:val="20"/>
          <w:szCs w:val="20"/>
        </w:rPr>
        <w:t>New</w:t>
      </w:r>
      <w:proofErr w:type="gramEnd"/>
      <w:r w:rsidRPr="00C976AB">
        <w:rPr>
          <w:sz w:val="20"/>
          <w:szCs w:val="20"/>
        </w:rPr>
        <w:t xml:space="preserve"> gTLD Registry Agreement.</w:t>
      </w:r>
      <w:r>
        <w:rPr>
          <w:sz w:val="20"/>
          <w:szCs w:val="20"/>
        </w:rPr>
        <w:t xml:space="preserve">  26-Feb-2013.   </w:t>
      </w:r>
      <w:hyperlink r:id="rId3" w:history="1">
        <w:r w:rsidRPr="0041067F">
          <w:rPr>
            <w:rStyle w:val="Hyperlink"/>
            <w:sz w:val="20"/>
            <w:szCs w:val="20"/>
          </w:rPr>
          <w:t>http://forum.icann.org/lists/comments-base-agreement-05feb13/msg00018.html</w:t>
        </w:r>
      </w:hyperlink>
      <w:r>
        <w:rPr>
          <w:sz w:val="20"/>
          <w:szCs w:val="20"/>
        </w:rPr>
        <w:t xml:space="preserve"> </w:t>
      </w:r>
    </w:p>
    <w:p w14:paraId="77CEAAD3" w14:textId="47FCCF4F" w:rsidR="00C45BB3" w:rsidRDefault="00C45BB3">
      <w:pPr>
        <w:pStyle w:val="FootnoteText"/>
      </w:pPr>
    </w:p>
  </w:footnote>
  <w:footnote w:id="4">
    <w:p w14:paraId="52ED8AE4" w14:textId="4C1EE125" w:rsidR="00C45BB3" w:rsidRPr="003206FD" w:rsidRDefault="00C45BB3" w:rsidP="003206FD">
      <w:pPr>
        <w:pStyle w:val="FootnoteText"/>
        <w:rPr>
          <w:rFonts w:asciiTheme="minorHAnsi" w:hAnsiTheme="minorHAnsi"/>
        </w:rPr>
      </w:pPr>
      <w:r w:rsidRPr="003206FD">
        <w:rPr>
          <w:rStyle w:val="FootnoteReference"/>
          <w:rFonts w:asciiTheme="minorHAnsi" w:hAnsiTheme="minorHAnsi"/>
        </w:rPr>
        <w:footnoteRef/>
      </w:r>
      <w:r w:rsidRPr="003206FD">
        <w:rPr>
          <w:rFonts w:asciiTheme="minorHAnsi" w:hAnsiTheme="minorHAnsi"/>
        </w:rPr>
        <w:t xml:space="preserve"> </w:t>
      </w:r>
      <w:r>
        <w:rPr>
          <w:rFonts w:asciiTheme="minorHAnsi" w:hAnsiTheme="minorHAnsi"/>
        </w:rPr>
        <w:t xml:space="preserve">p. 10, </w:t>
      </w:r>
      <w:r w:rsidRPr="003206FD">
        <w:rPr>
          <w:rFonts w:asciiTheme="minorHAnsi" w:hAnsiTheme="minorHAnsi"/>
        </w:rPr>
        <w:t>BC Comments on New gTLD Applicant Guidebook – April 2011 Discussion Draft, May-2011</w:t>
      </w:r>
    </w:p>
    <w:p w14:paraId="70FC5C61" w14:textId="7DF63700" w:rsidR="00C45BB3" w:rsidRPr="003206FD" w:rsidRDefault="00C45BB3" w:rsidP="003206FD">
      <w:pPr>
        <w:pStyle w:val="FootnoteText"/>
        <w:rPr>
          <w:rFonts w:asciiTheme="minorHAnsi" w:hAnsiTheme="minorHAnsi"/>
        </w:rPr>
      </w:pPr>
      <w:hyperlink r:id="rId4" w:history="1">
        <w:r w:rsidRPr="003206FD">
          <w:rPr>
            <w:rStyle w:val="Hyperlink"/>
            <w:rFonts w:asciiTheme="minorHAnsi" w:hAnsiTheme="minorHAnsi"/>
          </w:rPr>
          <w:t>http://www.bizconst.org/Positions-Statements/BC+on+Final+App+Guidebook+May+2011+v3.pdf</w:t>
        </w:r>
      </w:hyperlink>
    </w:p>
  </w:footnote>
  <w:footnote w:id="5">
    <w:p w14:paraId="77384FB3" w14:textId="4885EA4D" w:rsidR="00C45BB3" w:rsidRPr="006C2DC7" w:rsidRDefault="00C45BB3" w:rsidP="006C2DC7">
      <w:pPr>
        <w:pStyle w:val="FootnoteText"/>
        <w:rPr>
          <w:rFonts w:asciiTheme="minorHAnsi" w:hAnsiTheme="minorHAnsi"/>
        </w:rPr>
      </w:pPr>
      <w:r w:rsidRPr="006C2DC7">
        <w:rPr>
          <w:rStyle w:val="FootnoteReference"/>
          <w:rFonts w:asciiTheme="minorHAnsi" w:hAnsiTheme="minorHAnsi"/>
        </w:rPr>
        <w:footnoteRef/>
      </w:r>
      <w:r w:rsidRPr="006C2DC7">
        <w:rPr>
          <w:rFonts w:asciiTheme="minorHAnsi" w:hAnsiTheme="minorHAnsi"/>
        </w:rPr>
        <w:t xml:space="preserve"> BC Position on Process for Amendments to new gTLD Registry Agreements</w:t>
      </w:r>
      <w:r>
        <w:rPr>
          <w:rFonts w:asciiTheme="minorHAnsi" w:hAnsiTheme="minorHAnsi"/>
        </w:rPr>
        <w:t>, Apr-2010</w:t>
      </w:r>
    </w:p>
    <w:p w14:paraId="46568182" w14:textId="77777777" w:rsidR="00C45BB3" w:rsidRPr="006C2DC7" w:rsidRDefault="00C45BB3" w:rsidP="006C2DC7">
      <w:pPr>
        <w:pStyle w:val="FootnoteText"/>
        <w:rPr>
          <w:rFonts w:asciiTheme="minorHAnsi" w:hAnsiTheme="minorHAnsi"/>
        </w:rPr>
      </w:pPr>
      <w:hyperlink r:id="rId5" w:history="1">
        <w:r w:rsidRPr="006C2DC7">
          <w:rPr>
            <w:rStyle w:val="Hyperlink"/>
            <w:rFonts w:asciiTheme="minorHAnsi" w:hAnsiTheme="minorHAnsi"/>
          </w:rPr>
          <w:t>http://www.bizconst.org/Positions-Statements/BC_on_TLD_contract_amendments.pdf</w:t>
        </w:r>
      </w:hyperlink>
    </w:p>
    <w:p w14:paraId="4B81CD57" w14:textId="5E31F3CA" w:rsidR="00C45BB3" w:rsidRPr="006C2DC7" w:rsidRDefault="00C45BB3">
      <w:pPr>
        <w:pStyle w:val="FootnoteText"/>
        <w:rPr>
          <w:rFonts w:asciiTheme="minorHAnsi" w:hAnsiTheme="minorHAnsi"/>
        </w:rPr>
      </w:pPr>
    </w:p>
  </w:footnote>
  <w:footnote w:id="6">
    <w:p w14:paraId="0B6CD9A5" w14:textId="77777777" w:rsidR="00C45BB3" w:rsidRPr="003206FD" w:rsidRDefault="00C45BB3" w:rsidP="00C45BB3">
      <w:pPr>
        <w:pStyle w:val="FootnoteText"/>
        <w:rPr>
          <w:rFonts w:asciiTheme="minorHAnsi" w:hAnsiTheme="minorHAnsi"/>
        </w:rPr>
      </w:pPr>
      <w:r>
        <w:rPr>
          <w:rStyle w:val="FootnoteReference"/>
        </w:rPr>
        <w:footnoteRef/>
      </w:r>
      <w:r>
        <w:t xml:space="preserve"> </w:t>
      </w:r>
      <w:proofErr w:type="gramStart"/>
      <w:r>
        <w:rPr>
          <w:rFonts w:asciiTheme="minorHAnsi" w:hAnsiTheme="minorHAnsi"/>
        </w:rPr>
        <w:t>p</w:t>
      </w:r>
      <w:proofErr w:type="gramEnd"/>
      <w:r>
        <w:rPr>
          <w:rFonts w:asciiTheme="minorHAnsi" w:hAnsiTheme="minorHAnsi"/>
        </w:rPr>
        <w:t xml:space="preserve">.8, </w:t>
      </w:r>
      <w:r w:rsidRPr="003206FD">
        <w:rPr>
          <w:rFonts w:asciiTheme="minorHAnsi" w:hAnsiTheme="minorHAnsi"/>
        </w:rPr>
        <w:t>BC Comments on New gTLD Applicant Guidebook – April 2011 Discussion Draft, May-2011</w:t>
      </w:r>
    </w:p>
    <w:p w14:paraId="05B80DA8" w14:textId="69E636FD" w:rsidR="00C45BB3" w:rsidRDefault="00C45BB3" w:rsidP="00C45BB3">
      <w:pPr>
        <w:pStyle w:val="FootnoteText"/>
      </w:pPr>
      <w:hyperlink r:id="rId6" w:history="1">
        <w:r w:rsidRPr="003206FD">
          <w:rPr>
            <w:rStyle w:val="Hyperlink"/>
            <w:rFonts w:asciiTheme="minorHAnsi" w:hAnsiTheme="minorHAnsi"/>
          </w:rPr>
          <w:t>http://www.bizconst.org/Positions-Statements/BC+on+Final+App+Guidebook+May+2011+v3.pdf</w:t>
        </w:r>
      </w:hyperlink>
    </w:p>
  </w:footnote>
  <w:footnote w:id="7">
    <w:p w14:paraId="4134FA60" w14:textId="557E0460" w:rsidR="00C45BB3" w:rsidRPr="003206FD" w:rsidRDefault="00C45BB3" w:rsidP="00907A58">
      <w:pPr>
        <w:pStyle w:val="FootnoteText"/>
        <w:rPr>
          <w:rFonts w:asciiTheme="minorHAnsi" w:hAnsiTheme="minorHAnsi"/>
        </w:rPr>
      </w:pPr>
      <w:r w:rsidRPr="00F33ED9">
        <w:rPr>
          <w:rStyle w:val="FootnoteReference"/>
          <w:rFonts w:asciiTheme="minorHAnsi" w:hAnsiTheme="minorHAnsi"/>
        </w:rPr>
        <w:footnoteRef/>
      </w:r>
      <w:r w:rsidRPr="00F33ED9">
        <w:rPr>
          <w:rFonts w:asciiTheme="minorHAnsi" w:hAnsiTheme="minorHAnsi"/>
        </w:rPr>
        <w:t xml:space="preserve"> </w:t>
      </w:r>
      <w:proofErr w:type="gramStart"/>
      <w:r>
        <w:rPr>
          <w:rFonts w:asciiTheme="minorHAnsi" w:hAnsiTheme="minorHAnsi"/>
        </w:rPr>
        <w:t>p</w:t>
      </w:r>
      <w:proofErr w:type="gramEnd"/>
      <w:r>
        <w:rPr>
          <w:rFonts w:asciiTheme="minorHAnsi" w:hAnsiTheme="minorHAnsi"/>
        </w:rPr>
        <w:t xml:space="preserve">.8, </w:t>
      </w:r>
      <w:r w:rsidRPr="003206FD">
        <w:rPr>
          <w:rFonts w:asciiTheme="minorHAnsi" w:hAnsiTheme="minorHAnsi"/>
        </w:rPr>
        <w:t>BC Comments on New gTLD Applicant Guidebook – April 2011 Discussion Draft, May-2011</w:t>
      </w:r>
    </w:p>
    <w:p w14:paraId="287617DB" w14:textId="77777777" w:rsidR="00C45BB3" w:rsidRPr="003206FD" w:rsidRDefault="00C45BB3" w:rsidP="00907A58">
      <w:pPr>
        <w:pStyle w:val="FootnoteText"/>
        <w:rPr>
          <w:rFonts w:asciiTheme="minorHAnsi" w:hAnsiTheme="minorHAnsi"/>
        </w:rPr>
      </w:pPr>
      <w:hyperlink r:id="rId7" w:history="1">
        <w:r w:rsidRPr="003206FD">
          <w:rPr>
            <w:rStyle w:val="Hyperlink"/>
            <w:rFonts w:asciiTheme="minorHAnsi" w:hAnsiTheme="minorHAnsi"/>
          </w:rPr>
          <w:t>http://www.bizconst.org/Positions-Statements/BC+on+Final+App+Guidebook+May+2011+v3.pdf</w:t>
        </w:r>
      </w:hyperlink>
    </w:p>
    <w:p w14:paraId="4263B262" w14:textId="66BECFC1" w:rsidR="00C45BB3" w:rsidRPr="00F33ED9" w:rsidRDefault="00C45BB3" w:rsidP="00907A58">
      <w:pPr>
        <w:pStyle w:val="FootnoteText"/>
        <w:rPr>
          <w:rFonts w:asciiTheme="minorHAnsi" w:hAnsiTheme="minorHAnsi"/>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D926BE"/>
    <w:multiLevelType w:val="hybridMultilevel"/>
    <w:tmpl w:val="20E8D990"/>
    <w:lvl w:ilvl="0" w:tplc="BF2A69C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237E1B"/>
    <w:multiLevelType w:val="multilevel"/>
    <w:tmpl w:val="1BB08E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BFF08B9"/>
    <w:multiLevelType w:val="hybridMultilevel"/>
    <w:tmpl w:val="8C1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8D59D7"/>
    <w:multiLevelType w:val="hybridMultilevel"/>
    <w:tmpl w:val="B0844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64407DF"/>
    <w:multiLevelType w:val="hybridMultilevel"/>
    <w:tmpl w:val="2D207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563"/>
    <w:rsid w:val="000035B8"/>
    <w:rsid w:val="00003A2C"/>
    <w:rsid w:val="0000639B"/>
    <w:rsid w:val="00006BD0"/>
    <w:rsid w:val="00014F69"/>
    <w:rsid w:val="000159A4"/>
    <w:rsid w:val="00015F8A"/>
    <w:rsid w:val="00016D78"/>
    <w:rsid w:val="00016F3D"/>
    <w:rsid w:val="00020101"/>
    <w:rsid w:val="00020768"/>
    <w:rsid w:val="00022982"/>
    <w:rsid w:val="0002541D"/>
    <w:rsid w:val="000259D5"/>
    <w:rsid w:val="00026040"/>
    <w:rsid w:val="0003056A"/>
    <w:rsid w:val="000331AC"/>
    <w:rsid w:val="000335BC"/>
    <w:rsid w:val="00037E0C"/>
    <w:rsid w:val="00042CFC"/>
    <w:rsid w:val="000447F9"/>
    <w:rsid w:val="00045860"/>
    <w:rsid w:val="00046237"/>
    <w:rsid w:val="0004712A"/>
    <w:rsid w:val="00053479"/>
    <w:rsid w:val="00055251"/>
    <w:rsid w:val="00056253"/>
    <w:rsid w:val="00057ED5"/>
    <w:rsid w:val="00062844"/>
    <w:rsid w:val="00067690"/>
    <w:rsid w:val="000708EE"/>
    <w:rsid w:val="00073676"/>
    <w:rsid w:val="00074B3D"/>
    <w:rsid w:val="000753DC"/>
    <w:rsid w:val="00077446"/>
    <w:rsid w:val="000936F9"/>
    <w:rsid w:val="000976E5"/>
    <w:rsid w:val="000A2A54"/>
    <w:rsid w:val="000A7C62"/>
    <w:rsid w:val="000A7DC4"/>
    <w:rsid w:val="000B3333"/>
    <w:rsid w:val="000B4EA5"/>
    <w:rsid w:val="000B51B4"/>
    <w:rsid w:val="000C013E"/>
    <w:rsid w:val="000D68C5"/>
    <w:rsid w:val="000D6DA1"/>
    <w:rsid w:val="000E08F8"/>
    <w:rsid w:val="000E1AE3"/>
    <w:rsid w:val="000E54AA"/>
    <w:rsid w:val="000E7141"/>
    <w:rsid w:val="000F75E9"/>
    <w:rsid w:val="000F7957"/>
    <w:rsid w:val="00100211"/>
    <w:rsid w:val="001004C9"/>
    <w:rsid w:val="00100BA1"/>
    <w:rsid w:val="00100D4E"/>
    <w:rsid w:val="00100E53"/>
    <w:rsid w:val="00101E18"/>
    <w:rsid w:val="0010292B"/>
    <w:rsid w:val="00107099"/>
    <w:rsid w:val="001105D2"/>
    <w:rsid w:val="00110AC3"/>
    <w:rsid w:val="00112967"/>
    <w:rsid w:val="00130B7B"/>
    <w:rsid w:val="001314A7"/>
    <w:rsid w:val="0013266C"/>
    <w:rsid w:val="00133D01"/>
    <w:rsid w:val="001367E4"/>
    <w:rsid w:val="00136989"/>
    <w:rsid w:val="00142837"/>
    <w:rsid w:val="00146DBC"/>
    <w:rsid w:val="00152D9C"/>
    <w:rsid w:val="001544AA"/>
    <w:rsid w:val="0015477D"/>
    <w:rsid w:val="00154DFE"/>
    <w:rsid w:val="00157854"/>
    <w:rsid w:val="00160448"/>
    <w:rsid w:val="00165047"/>
    <w:rsid w:val="00167C79"/>
    <w:rsid w:val="00175849"/>
    <w:rsid w:val="00177021"/>
    <w:rsid w:val="00180A8E"/>
    <w:rsid w:val="00180E14"/>
    <w:rsid w:val="00180FE4"/>
    <w:rsid w:val="00183512"/>
    <w:rsid w:val="001865B3"/>
    <w:rsid w:val="00186C2A"/>
    <w:rsid w:val="00191E3D"/>
    <w:rsid w:val="001A0F98"/>
    <w:rsid w:val="001A1B6A"/>
    <w:rsid w:val="001A2249"/>
    <w:rsid w:val="001A4A2B"/>
    <w:rsid w:val="001A686D"/>
    <w:rsid w:val="001B5FAA"/>
    <w:rsid w:val="001B67C2"/>
    <w:rsid w:val="001B7F1A"/>
    <w:rsid w:val="001C0E16"/>
    <w:rsid w:val="001C19F4"/>
    <w:rsid w:val="001C1B25"/>
    <w:rsid w:val="001C432F"/>
    <w:rsid w:val="001C4CED"/>
    <w:rsid w:val="001D43F4"/>
    <w:rsid w:val="001E1F22"/>
    <w:rsid w:val="001E2512"/>
    <w:rsid w:val="001E3DFE"/>
    <w:rsid w:val="001E4901"/>
    <w:rsid w:val="001E4BC1"/>
    <w:rsid w:val="001E64EF"/>
    <w:rsid w:val="001E6D7E"/>
    <w:rsid w:val="001F7AE7"/>
    <w:rsid w:val="00207167"/>
    <w:rsid w:val="00210895"/>
    <w:rsid w:val="00210FA0"/>
    <w:rsid w:val="002112E6"/>
    <w:rsid w:val="002119FB"/>
    <w:rsid w:val="0021341C"/>
    <w:rsid w:val="00214D93"/>
    <w:rsid w:val="00221ACE"/>
    <w:rsid w:val="002267F2"/>
    <w:rsid w:val="00230910"/>
    <w:rsid w:val="00232E4B"/>
    <w:rsid w:val="00236052"/>
    <w:rsid w:val="00237CDA"/>
    <w:rsid w:val="00245738"/>
    <w:rsid w:val="0024624C"/>
    <w:rsid w:val="00254326"/>
    <w:rsid w:val="002569A6"/>
    <w:rsid w:val="00257464"/>
    <w:rsid w:val="002579A6"/>
    <w:rsid w:val="00262285"/>
    <w:rsid w:val="00266754"/>
    <w:rsid w:val="002667A0"/>
    <w:rsid w:val="002671B5"/>
    <w:rsid w:val="002815C4"/>
    <w:rsid w:val="002912A4"/>
    <w:rsid w:val="002937AC"/>
    <w:rsid w:val="002941DD"/>
    <w:rsid w:val="002A7DE6"/>
    <w:rsid w:val="002C370C"/>
    <w:rsid w:val="002C4AC4"/>
    <w:rsid w:val="002C5605"/>
    <w:rsid w:val="002C5EEB"/>
    <w:rsid w:val="002C6D56"/>
    <w:rsid w:val="002C7A12"/>
    <w:rsid w:val="002D6DF4"/>
    <w:rsid w:val="002E5153"/>
    <w:rsid w:val="002E52D3"/>
    <w:rsid w:val="002E7323"/>
    <w:rsid w:val="002E76D0"/>
    <w:rsid w:val="002F084E"/>
    <w:rsid w:val="002F2362"/>
    <w:rsid w:val="002F3562"/>
    <w:rsid w:val="002F47AE"/>
    <w:rsid w:val="003003C0"/>
    <w:rsid w:val="00302DE6"/>
    <w:rsid w:val="00305674"/>
    <w:rsid w:val="00305BDD"/>
    <w:rsid w:val="0030749F"/>
    <w:rsid w:val="00312F2D"/>
    <w:rsid w:val="003139AE"/>
    <w:rsid w:val="00313E1F"/>
    <w:rsid w:val="00316046"/>
    <w:rsid w:val="00316A03"/>
    <w:rsid w:val="003206FD"/>
    <w:rsid w:val="00320F6E"/>
    <w:rsid w:val="00330D6F"/>
    <w:rsid w:val="00333774"/>
    <w:rsid w:val="00335F7B"/>
    <w:rsid w:val="003408D0"/>
    <w:rsid w:val="00341323"/>
    <w:rsid w:val="00342B79"/>
    <w:rsid w:val="003541DE"/>
    <w:rsid w:val="00354B4D"/>
    <w:rsid w:val="003607B9"/>
    <w:rsid w:val="0036319A"/>
    <w:rsid w:val="003635DF"/>
    <w:rsid w:val="003639EC"/>
    <w:rsid w:val="00365D14"/>
    <w:rsid w:val="00370073"/>
    <w:rsid w:val="00371666"/>
    <w:rsid w:val="003736D1"/>
    <w:rsid w:val="00377AC6"/>
    <w:rsid w:val="00380B2C"/>
    <w:rsid w:val="00382B71"/>
    <w:rsid w:val="00382E94"/>
    <w:rsid w:val="00392B6D"/>
    <w:rsid w:val="00395476"/>
    <w:rsid w:val="003A22F0"/>
    <w:rsid w:val="003A54BF"/>
    <w:rsid w:val="003A5BA0"/>
    <w:rsid w:val="003A77EA"/>
    <w:rsid w:val="003B008E"/>
    <w:rsid w:val="003B3501"/>
    <w:rsid w:val="003B3B73"/>
    <w:rsid w:val="003B3BA0"/>
    <w:rsid w:val="003B4BA8"/>
    <w:rsid w:val="003B526F"/>
    <w:rsid w:val="003B5524"/>
    <w:rsid w:val="003C13DE"/>
    <w:rsid w:val="003C2FE7"/>
    <w:rsid w:val="003C5BC4"/>
    <w:rsid w:val="003C74E2"/>
    <w:rsid w:val="003D0190"/>
    <w:rsid w:val="003D3D41"/>
    <w:rsid w:val="003D6CEC"/>
    <w:rsid w:val="003D7804"/>
    <w:rsid w:val="003D7BAC"/>
    <w:rsid w:val="003E0460"/>
    <w:rsid w:val="003E27DA"/>
    <w:rsid w:val="003E6991"/>
    <w:rsid w:val="003E6EB9"/>
    <w:rsid w:val="003F24F7"/>
    <w:rsid w:val="004033B1"/>
    <w:rsid w:val="0040606C"/>
    <w:rsid w:val="00406813"/>
    <w:rsid w:val="00410A59"/>
    <w:rsid w:val="00413C27"/>
    <w:rsid w:val="00413C6E"/>
    <w:rsid w:val="00417C57"/>
    <w:rsid w:val="004235EC"/>
    <w:rsid w:val="004265B9"/>
    <w:rsid w:val="004268A9"/>
    <w:rsid w:val="00435A88"/>
    <w:rsid w:val="004367CF"/>
    <w:rsid w:val="00440015"/>
    <w:rsid w:val="00443C81"/>
    <w:rsid w:val="0044459A"/>
    <w:rsid w:val="00445E7A"/>
    <w:rsid w:val="00446926"/>
    <w:rsid w:val="00451651"/>
    <w:rsid w:val="0045590D"/>
    <w:rsid w:val="00470C9B"/>
    <w:rsid w:val="00473967"/>
    <w:rsid w:val="004750FA"/>
    <w:rsid w:val="00476044"/>
    <w:rsid w:val="004811C6"/>
    <w:rsid w:val="0048417A"/>
    <w:rsid w:val="004859F0"/>
    <w:rsid w:val="004873AF"/>
    <w:rsid w:val="004873BB"/>
    <w:rsid w:val="00490FFC"/>
    <w:rsid w:val="004916CD"/>
    <w:rsid w:val="00491A2F"/>
    <w:rsid w:val="00492AD5"/>
    <w:rsid w:val="004933B6"/>
    <w:rsid w:val="004945D1"/>
    <w:rsid w:val="00495F8C"/>
    <w:rsid w:val="0049626D"/>
    <w:rsid w:val="004A3911"/>
    <w:rsid w:val="004A7660"/>
    <w:rsid w:val="004A79D9"/>
    <w:rsid w:val="004B0269"/>
    <w:rsid w:val="004B0537"/>
    <w:rsid w:val="004B0DBD"/>
    <w:rsid w:val="004B349D"/>
    <w:rsid w:val="004B543E"/>
    <w:rsid w:val="004B6760"/>
    <w:rsid w:val="004B6995"/>
    <w:rsid w:val="004C380D"/>
    <w:rsid w:val="004D011A"/>
    <w:rsid w:val="004D09C8"/>
    <w:rsid w:val="004D34EA"/>
    <w:rsid w:val="004D3EFA"/>
    <w:rsid w:val="004D440E"/>
    <w:rsid w:val="004D7EDB"/>
    <w:rsid w:val="004F335E"/>
    <w:rsid w:val="004F6B65"/>
    <w:rsid w:val="0050020E"/>
    <w:rsid w:val="00503C52"/>
    <w:rsid w:val="00505B44"/>
    <w:rsid w:val="00506DA9"/>
    <w:rsid w:val="00513939"/>
    <w:rsid w:val="00517FA4"/>
    <w:rsid w:val="0052047B"/>
    <w:rsid w:val="0053524A"/>
    <w:rsid w:val="005402FE"/>
    <w:rsid w:val="005423D6"/>
    <w:rsid w:val="0054297A"/>
    <w:rsid w:val="00545638"/>
    <w:rsid w:val="005470A2"/>
    <w:rsid w:val="00556B53"/>
    <w:rsid w:val="00557F41"/>
    <w:rsid w:val="00562581"/>
    <w:rsid w:val="00563A66"/>
    <w:rsid w:val="005652F1"/>
    <w:rsid w:val="00567BB4"/>
    <w:rsid w:val="0057184F"/>
    <w:rsid w:val="005741E8"/>
    <w:rsid w:val="005756F8"/>
    <w:rsid w:val="0058611B"/>
    <w:rsid w:val="00590DC0"/>
    <w:rsid w:val="00594448"/>
    <w:rsid w:val="005A0765"/>
    <w:rsid w:val="005A0B84"/>
    <w:rsid w:val="005A2ED0"/>
    <w:rsid w:val="005A79E5"/>
    <w:rsid w:val="005B4BA8"/>
    <w:rsid w:val="005C1231"/>
    <w:rsid w:val="005C600F"/>
    <w:rsid w:val="005C72D8"/>
    <w:rsid w:val="005C7622"/>
    <w:rsid w:val="005D3655"/>
    <w:rsid w:val="005D4223"/>
    <w:rsid w:val="005D6BCB"/>
    <w:rsid w:val="005E063B"/>
    <w:rsid w:val="005E6700"/>
    <w:rsid w:val="006017BE"/>
    <w:rsid w:val="00602F83"/>
    <w:rsid w:val="00606D59"/>
    <w:rsid w:val="00607629"/>
    <w:rsid w:val="006140A9"/>
    <w:rsid w:val="00614BA1"/>
    <w:rsid w:val="00617AE2"/>
    <w:rsid w:val="006209F1"/>
    <w:rsid w:val="00622713"/>
    <w:rsid w:val="00625D3F"/>
    <w:rsid w:val="00626482"/>
    <w:rsid w:val="006273E2"/>
    <w:rsid w:val="00627503"/>
    <w:rsid w:val="00632BD7"/>
    <w:rsid w:val="006357A2"/>
    <w:rsid w:val="00636EAF"/>
    <w:rsid w:val="00637CAD"/>
    <w:rsid w:val="00644C09"/>
    <w:rsid w:val="00645531"/>
    <w:rsid w:val="00646730"/>
    <w:rsid w:val="0065486D"/>
    <w:rsid w:val="00654A5C"/>
    <w:rsid w:val="00657D9E"/>
    <w:rsid w:val="006706D7"/>
    <w:rsid w:val="0067239D"/>
    <w:rsid w:val="0067578D"/>
    <w:rsid w:val="00675F76"/>
    <w:rsid w:val="00682DD9"/>
    <w:rsid w:val="00691F7E"/>
    <w:rsid w:val="0069437C"/>
    <w:rsid w:val="006946AB"/>
    <w:rsid w:val="006951EB"/>
    <w:rsid w:val="00695E0D"/>
    <w:rsid w:val="00696213"/>
    <w:rsid w:val="006A0844"/>
    <w:rsid w:val="006A32B9"/>
    <w:rsid w:val="006A7983"/>
    <w:rsid w:val="006A7CD9"/>
    <w:rsid w:val="006B3CD7"/>
    <w:rsid w:val="006B56D7"/>
    <w:rsid w:val="006C2DC7"/>
    <w:rsid w:val="006C6673"/>
    <w:rsid w:val="006C78A3"/>
    <w:rsid w:val="006D28DC"/>
    <w:rsid w:val="006D3210"/>
    <w:rsid w:val="006D6ABE"/>
    <w:rsid w:val="006E05E5"/>
    <w:rsid w:val="006E6292"/>
    <w:rsid w:val="006F69B4"/>
    <w:rsid w:val="007017F0"/>
    <w:rsid w:val="007054D8"/>
    <w:rsid w:val="007117F0"/>
    <w:rsid w:val="007120C1"/>
    <w:rsid w:val="00717A0B"/>
    <w:rsid w:val="00721AC4"/>
    <w:rsid w:val="00722C15"/>
    <w:rsid w:val="00723312"/>
    <w:rsid w:val="007247C0"/>
    <w:rsid w:val="00730BAD"/>
    <w:rsid w:val="00730BE4"/>
    <w:rsid w:val="00732752"/>
    <w:rsid w:val="00734628"/>
    <w:rsid w:val="0073619E"/>
    <w:rsid w:val="00736302"/>
    <w:rsid w:val="00736A30"/>
    <w:rsid w:val="00736D6B"/>
    <w:rsid w:val="00737E8C"/>
    <w:rsid w:val="0074456C"/>
    <w:rsid w:val="0075051B"/>
    <w:rsid w:val="0075147D"/>
    <w:rsid w:val="007527F7"/>
    <w:rsid w:val="00753CCF"/>
    <w:rsid w:val="00754B20"/>
    <w:rsid w:val="00756BED"/>
    <w:rsid w:val="0076006C"/>
    <w:rsid w:val="00774E6F"/>
    <w:rsid w:val="007800E0"/>
    <w:rsid w:val="0078378D"/>
    <w:rsid w:val="00784349"/>
    <w:rsid w:val="00784A26"/>
    <w:rsid w:val="00785D82"/>
    <w:rsid w:val="00792889"/>
    <w:rsid w:val="00792990"/>
    <w:rsid w:val="00794DFE"/>
    <w:rsid w:val="007958D9"/>
    <w:rsid w:val="007973CC"/>
    <w:rsid w:val="007A1A17"/>
    <w:rsid w:val="007A23EB"/>
    <w:rsid w:val="007A6598"/>
    <w:rsid w:val="007B0F2A"/>
    <w:rsid w:val="007B1A6D"/>
    <w:rsid w:val="007C21E6"/>
    <w:rsid w:val="007C598D"/>
    <w:rsid w:val="007C6415"/>
    <w:rsid w:val="007D4298"/>
    <w:rsid w:val="007D48BF"/>
    <w:rsid w:val="007D5178"/>
    <w:rsid w:val="007D7DC8"/>
    <w:rsid w:val="007F0DF7"/>
    <w:rsid w:val="007F476B"/>
    <w:rsid w:val="007F6C20"/>
    <w:rsid w:val="007F6C97"/>
    <w:rsid w:val="007F7926"/>
    <w:rsid w:val="008033A9"/>
    <w:rsid w:val="00804071"/>
    <w:rsid w:val="008075F1"/>
    <w:rsid w:val="0082153E"/>
    <w:rsid w:val="008240CF"/>
    <w:rsid w:val="00830EFF"/>
    <w:rsid w:val="008353C8"/>
    <w:rsid w:val="008356A9"/>
    <w:rsid w:val="008363BE"/>
    <w:rsid w:val="00836E5B"/>
    <w:rsid w:val="00837286"/>
    <w:rsid w:val="00837428"/>
    <w:rsid w:val="008377B8"/>
    <w:rsid w:val="008435E1"/>
    <w:rsid w:val="008458FB"/>
    <w:rsid w:val="00847EBF"/>
    <w:rsid w:val="00856A7C"/>
    <w:rsid w:val="00857272"/>
    <w:rsid w:val="0086244A"/>
    <w:rsid w:val="00862C17"/>
    <w:rsid w:val="00863D7C"/>
    <w:rsid w:val="00870548"/>
    <w:rsid w:val="00882725"/>
    <w:rsid w:val="00883043"/>
    <w:rsid w:val="0088397A"/>
    <w:rsid w:val="008847E2"/>
    <w:rsid w:val="00887ED3"/>
    <w:rsid w:val="00897C80"/>
    <w:rsid w:val="008A65C1"/>
    <w:rsid w:val="008B1093"/>
    <w:rsid w:val="008B19AE"/>
    <w:rsid w:val="008B23D4"/>
    <w:rsid w:val="008B3A38"/>
    <w:rsid w:val="008B5660"/>
    <w:rsid w:val="008B5757"/>
    <w:rsid w:val="008B5AC5"/>
    <w:rsid w:val="008C2CF1"/>
    <w:rsid w:val="008C3F29"/>
    <w:rsid w:val="008C712C"/>
    <w:rsid w:val="008C7273"/>
    <w:rsid w:val="008C7A43"/>
    <w:rsid w:val="008C7C50"/>
    <w:rsid w:val="008D075A"/>
    <w:rsid w:val="008D728C"/>
    <w:rsid w:val="008D7454"/>
    <w:rsid w:val="008E342D"/>
    <w:rsid w:val="008E4554"/>
    <w:rsid w:val="008E7F21"/>
    <w:rsid w:val="008F595A"/>
    <w:rsid w:val="008F5D14"/>
    <w:rsid w:val="008F7E70"/>
    <w:rsid w:val="008F7F82"/>
    <w:rsid w:val="00902C86"/>
    <w:rsid w:val="00902CF3"/>
    <w:rsid w:val="00906F44"/>
    <w:rsid w:val="00907A58"/>
    <w:rsid w:val="00907DB9"/>
    <w:rsid w:val="0091251A"/>
    <w:rsid w:val="0091552A"/>
    <w:rsid w:val="0091661B"/>
    <w:rsid w:val="00917954"/>
    <w:rsid w:val="00920CA1"/>
    <w:rsid w:val="0092205C"/>
    <w:rsid w:val="00922266"/>
    <w:rsid w:val="00935337"/>
    <w:rsid w:val="009370D5"/>
    <w:rsid w:val="009372A8"/>
    <w:rsid w:val="009472BA"/>
    <w:rsid w:val="00957B89"/>
    <w:rsid w:val="00957D39"/>
    <w:rsid w:val="009609D5"/>
    <w:rsid w:val="0096173D"/>
    <w:rsid w:val="00965F53"/>
    <w:rsid w:val="00966501"/>
    <w:rsid w:val="00966C66"/>
    <w:rsid w:val="00967137"/>
    <w:rsid w:val="00982817"/>
    <w:rsid w:val="00992BDA"/>
    <w:rsid w:val="00994BF9"/>
    <w:rsid w:val="00995B96"/>
    <w:rsid w:val="0099677E"/>
    <w:rsid w:val="009B05D2"/>
    <w:rsid w:val="009C15F2"/>
    <w:rsid w:val="009C2C29"/>
    <w:rsid w:val="009C5057"/>
    <w:rsid w:val="009C725B"/>
    <w:rsid w:val="009C7E29"/>
    <w:rsid w:val="009D236F"/>
    <w:rsid w:val="009D75E8"/>
    <w:rsid w:val="009D7AA6"/>
    <w:rsid w:val="009E3B1B"/>
    <w:rsid w:val="009E5B85"/>
    <w:rsid w:val="009F0B4B"/>
    <w:rsid w:val="009F17D1"/>
    <w:rsid w:val="009F6659"/>
    <w:rsid w:val="00A04CAA"/>
    <w:rsid w:val="00A06F72"/>
    <w:rsid w:val="00A106D9"/>
    <w:rsid w:val="00A107BA"/>
    <w:rsid w:val="00A1466A"/>
    <w:rsid w:val="00A14C25"/>
    <w:rsid w:val="00A2395E"/>
    <w:rsid w:val="00A24CF0"/>
    <w:rsid w:val="00A24F04"/>
    <w:rsid w:val="00A25976"/>
    <w:rsid w:val="00A33D1F"/>
    <w:rsid w:val="00A35E51"/>
    <w:rsid w:val="00A373FE"/>
    <w:rsid w:val="00A37FC1"/>
    <w:rsid w:val="00A47DE7"/>
    <w:rsid w:val="00A50529"/>
    <w:rsid w:val="00A55001"/>
    <w:rsid w:val="00A57C83"/>
    <w:rsid w:val="00A60BB3"/>
    <w:rsid w:val="00A613F4"/>
    <w:rsid w:val="00A616E5"/>
    <w:rsid w:val="00A61F5A"/>
    <w:rsid w:val="00A63784"/>
    <w:rsid w:val="00A70E40"/>
    <w:rsid w:val="00A71147"/>
    <w:rsid w:val="00A71202"/>
    <w:rsid w:val="00A74567"/>
    <w:rsid w:val="00A77D68"/>
    <w:rsid w:val="00A8061C"/>
    <w:rsid w:val="00A80647"/>
    <w:rsid w:val="00A841E5"/>
    <w:rsid w:val="00A878E9"/>
    <w:rsid w:val="00A921ED"/>
    <w:rsid w:val="00A92570"/>
    <w:rsid w:val="00A930C4"/>
    <w:rsid w:val="00A96DE6"/>
    <w:rsid w:val="00AA00FC"/>
    <w:rsid w:val="00AA4145"/>
    <w:rsid w:val="00AA48BB"/>
    <w:rsid w:val="00AA632F"/>
    <w:rsid w:val="00AC211F"/>
    <w:rsid w:val="00AC3DEA"/>
    <w:rsid w:val="00AC408D"/>
    <w:rsid w:val="00AC60B8"/>
    <w:rsid w:val="00AD2782"/>
    <w:rsid w:val="00AD2F6A"/>
    <w:rsid w:val="00AE1727"/>
    <w:rsid w:val="00AE214D"/>
    <w:rsid w:val="00AF0A91"/>
    <w:rsid w:val="00AF551B"/>
    <w:rsid w:val="00AF6D5B"/>
    <w:rsid w:val="00B01A2C"/>
    <w:rsid w:val="00B05911"/>
    <w:rsid w:val="00B05C9B"/>
    <w:rsid w:val="00B124A4"/>
    <w:rsid w:val="00B134CA"/>
    <w:rsid w:val="00B137F9"/>
    <w:rsid w:val="00B174D8"/>
    <w:rsid w:val="00B178C3"/>
    <w:rsid w:val="00B20E91"/>
    <w:rsid w:val="00B21812"/>
    <w:rsid w:val="00B22DFE"/>
    <w:rsid w:val="00B3011B"/>
    <w:rsid w:val="00B36452"/>
    <w:rsid w:val="00B376C4"/>
    <w:rsid w:val="00B425D3"/>
    <w:rsid w:val="00B47264"/>
    <w:rsid w:val="00B519F9"/>
    <w:rsid w:val="00B51D36"/>
    <w:rsid w:val="00B52A86"/>
    <w:rsid w:val="00B52E1E"/>
    <w:rsid w:val="00B54585"/>
    <w:rsid w:val="00B545E8"/>
    <w:rsid w:val="00B563D4"/>
    <w:rsid w:val="00B57D7A"/>
    <w:rsid w:val="00B60C85"/>
    <w:rsid w:val="00B61AF9"/>
    <w:rsid w:val="00B65A8A"/>
    <w:rsid w:val="00B65CC7"/>
    <w:rsid w:val="00B67AB0"/>
    <w:rsid w:val="00B76274"/>
    <w:rsid w:val="00B8300B"/>
    <w:rsid w:val="00B90187"/>
    <w:rsid w:val="00B975BF"/>
    <w:rsid w:val="00BA3D4A"/>
    <w:rsid w:val="00BB0E9D"/>
    <w:rsid w:val="00BB3B52"/>
    <w:rsid w:val="00BB56FC"/>
    <w:rsid w:val="00BB5AAF"/>
    <w:rsid w:val="00BC2EDE"/>
    <w:rsid w:val="00BD2828"/>
    <w:rsid w:val="00BD3CB5"/>
    <w:rsid w:val="00BD6633"/>
    <w:rsid w:val="00BE0032"/>
    <w:rsid w:val="00BE14BD"/>
    <w:rsid w:val="00BE3B66"/>
    <w:rsid w:val="00BF2DD1"/>
    <w:rsid w:val="00BF4215"/>
    <w:rsid w:val="00BF4473"/>
    <w:rsid w:val="00BF62A2"/>
    <w:rsid w:val="00C03AC4"/>
    <w:rsid w:val="00C14AF5"/>
    <w:rsid w:val="00C15DC1"/>
    <w:rsid w:val="00C3418F"/>
    <w:rsid w:val="00C36391"/>
    <w:rsid w:val="00C41976"/>
    <w:rsid w:val="00C45BB3"/>
    <w:rsid w:val="00C47D22"/>
    <w:rsid w:val="00C5092B"/>
    <w:rsid w:val="00C5385D"/>
    <w:rsid w:val="00C6069B"/>
    <w:rsid w:val="00C62219"/>
    <w:rsid w:val="00C6226E"/>
    <w:rsid w:val="00C8033E"/>
    <w:rsid w:val="00C81C65"/>
    <w:rsid w:val="00C85C94"/>
    <w:rsid w:val="00C90563"/>
    <w:rsid w:val="00C934FC"/>
    <w:rsid w:val="00C94568"/>
    <w:rsid w:val="00C953C4"/>
    <w:rsid w:val="00C959EC"/>
    <w:rsid w:val="00C9673A"/>
    <w:rsid w:val="00C972CB"/>
    <w:rsid w:val="00C976AB"/>
    <w:rsid w:val="00CA34EE"/>
    <w:rsid w:val="00CA3D72"/>
    <w:rsid w:val="00CA554B"/>
    <w:rsid w:val="00CB0BE2"/>
    <w:rsid w:val="00CB1AE2"/>
    <w:rsid w:val="00CB4564"/>
    <w:rsid w:val="00CB6A6D"/>
    <w:rsid w:val="00CC1D7B"/>
    <w:rsid w:val="00CC239F"/>
    <w:rsid w:val="00CC2585"/>
    <w:rsid w:val="00CC2BA8"/>
    <w:rsid w:val="00CC30BA"/>
    <w:rsid w:val="00CC33AD"/>
    <w:rsid w:val="00CC7BE4"/>
    <w:rsid w:val="00CD35D1"/>
    <w:rsid w:val="00CD55CB"/>
    <w:rsid w:val="00CD5C6F"/>
    <w:rsid w:val="00CD6D6A"/>
    <w:rsid w:val="00CE45E2"/>
    <w:rsid w:val="00CE494E"/>
    <w:rsid w:val="00CE7BC2"/>
    <w:rsid w:val="00CF0A5F"/>
    <w:rsid w:val="00CF1436"/>
    <w:rsid w:val="00CF48AB"/>
    <w:rsid w:val="00CF7B99"/>
    <w:rsid w:val="00D04118"/>
    <w:rsid w:val="00D05C20"/>
    <w:rsid w:val="00D12205"/>
    <w:rsid w:val="00D129E7"/>
    <w:rsid w:val="00D12EB1"/>
    <w:rsid w:val="00D16B9C"/>
    <w:rsid w:val="00D17908"/>
    <w:rsid w:val="00D217A8"/>
    <w:rsid w:val="00D22395"/>
    <w:rsid w:val="00D232D6"/>
    <w:rsid w:val="00D24C8F"/>
    <w:rsid w:val="00D2520D"/>
    <w:rsid w:val="00D255DC"/>
    <w:rsid w:val="00D26209"/>
    <w:rsid w:val="00D31510"/>
    <w:rsid w:val="00D5409B"/>
    <w:rsid w:val="00D55B65"/>
    <w:rsid w:val="00D6089F"/>
    <w:rsid w:val="00D610BC"/>
    <w:rsid w:val="00D61615"/>
    <w:rsid w:val="00D6260F"/>
    <w:rsid w:val="00D62A67"/>
    <w:rsid w:val="00D62BFE"/>
    <w:rsid w:val="00D65837"/>
    <w:rsid w:val="00D661AB"/>
    <w:rsid w:val="00D72D01"/>
    <w:rsid w:val="00D75EEE"/>
    <w:rsid w:val="00D76581"/>
    <w:rsid w:val="00D77165"/>
    <w:rsid w:val="00D779E3"/>
    <w:rsid w:val="00D801C5"/>
    <w:rsid w:val="00D83E3E"/>
    <w:rsid w:val="00D8656D"/>
    <w:rsid w:val="00D87AEC"/>
    <w:rsid w:val="00D935D5"/>
    <w:rsid w:val="00D936D0"/>
    <w:rsid w:val="00D9395C"/>
    <w:rsid w:val="00D95261"/>
    <w:rsid w:val="00DA2FEA"/>
    <w:rsid w:val="00DA3BB3"/>
    <w:rsid w:val="00DA64A8"/>
    <w:rsid w:val="00DB1745"/>
    <w:rsid w:val="00DC7ED6"/>
    <w:rsid w:val="00DD0006"/>
    <w:rsid w:val="00DD5662"/>
    <w:rsid w:val="00DE1C36"/>
    <w:rsid w:val="00DE280C"/>
    <w:rsid w:val="00DE5863"/>
    <w:rsid w:val="00DE6E80"/>
    <w:rsid w:val="00DE72D9"/>
    <w:rsid w:val="00DF0B1B"/>
    <w:rsid w:val="00DF4D85"/>
    <w:rsid w:val="00E03B30"/>
    <w:rsid w:val="00E1006C"/>
    <w:rsid w:val="00E10BA2"/>
    <w:rsid w:val="00E1155B"/>
    <w:rsid w:val="00E136D0"/>
    <w:rsid w:val="00E13916"/>
    <w:rsid w:val="00E205D9"/>
    <w:rsid w:val="00E209AD"/>
    <w:rsid w:val="00E271A0"/>
    <w:rsid w:val="00E31071"/>
    <w:rsid w:val="00E4377B"/>
    <w:rsid w:val="00E45D93"/>
    <w:rsid w:val="00E518A8"/>
    <w:rsid w:val="00E5442B"/>
    <w:rsid w:val="00E57E7A"/>
    <w:rsid w:val="00E62020"/>
    <w:rsid w:val="00E65721"/>
    <w:rsid w:val="00E674C9"/>
    <w:rsid w:val="00E7139F"/>
    <w:rsid w:val="00E7226B"/>
    <w:rsid w:val="00E77A47"/>
    <w:rsid w:val="00E81E4B"/>
    <w:rsid w:val="00E83E3E"/>
    <w:rsid w:val="00E85F9E"/>
    <w:rsid w:val="00E87C50"/>
    <w:rsid w:val="00EA0274"/>
    <w:rsid w:val="00EB1475"/>
    <w:rsid w:val="00EB19DA"/>
    <w:rsid w:val="00EB5583"/>
    <w:rsid w:val="00EB78C9"/>
    <w:rsid w:val="00EC1C24"/>
    <w:rsid w:val="00EE0B90"/>
    <w:rsid w:val="00EE1630"/>
    <w:rsid w:val="00EE5B96"/>
    <w:rsid w:val="00EE5CAE"/>
    <w:rsid w:val="00EE775F"/>
    <w:rsid w:val="00EF39B1"/>
    <w:rsid w:val="00EF4F59"/>
    <w:rsid w:val="00EF527D"/>
    <w:rsid w:val="00F004EB"/>
    <w:rsid w:val="00F06C41"/>
    <w:rsid w:val="00F11BC1"/>
    <w:rsid w:val="00F154C2"/>
    <w:rsid w:val="00F16675"/>
    <w:rsid w:val="00F215B1"/>
    <w:rsid w:val="00F26D75"/>
    <w:rsid w:val="00F33ED9"/>
    <w:rsid w:val="00F34D89"/>
    <w:rsid w:val="00F421A2"/>
    <w:rsid w:val="00F4705B"/>
    <w:rsid w:val="00F509E1"/>
    <w:rsid w:val="00F53D40"/>
    <w:rsid w:val="00F5444F"/>
    <w:rsid w:val="00F606D3"/>
    <w:rsid w:val="00F643A1"/>
    <w:rsid w:val="00F73603"/>
    <w:rsid w:val="00F77570"/>
    <w:rsid w:val="00F8220C"/>
    <w:rsid w:val="00F82C66"/>
    <w:rsid w:val="00F8780D"/>
    <w:rsid w:val="00F87FE0"/>
    <w:rsid w:val="00F93674"/>
    <w:rsid w:val="00F96CD3"/>
    <w:rsid w:val="00F97B6D"/>
    <w:rsid w:val="00FA307F"/>
    <w:rsid w:val="00FA5100"/>
    <w:rsid w:val="00FA5DEB"/>
    <w:rsid w:val="00FA6B96"/>
    <w:rsid w:val="00FA744D"/>
    <w:rsid w:val="00FB097A"/>
    <w:rsid w:val="00FB341A"/>
    <w:rsid w:val="00FB5741"/>
    <w:rsid w:val="00FB7587"/>
    <w:rsid w:val="00FC2038"/>
    <w:rsid w:val="00FD03F7"/>
    <w:rsid w:val="00FD07CD"/>
    <w:rsid w:val="00FD1D97"/>
    <w:rsid w:val="00FD3B29"/>
    <w:rsid w:val="00FD4E0C"/>
    <w:rsid w:val="00FE32DA"/>
    <w:rsid w:val="00FE3A75"/>
    <w:rsid w:val="00FE7980"/>
    <w:rsid w:val="00FF251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00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6D"/>
    <w:pPr>
      <w:spacing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563"/>
    <w:pPr>
      <w:ind w:left="720"/>
      <w:contextualSpacing/>
    </w:pPr>
  </w:style>
  <w:style w:type="table" w:styleId="TableGrid">
    <w:name w:val="Table Grid"/>
    <w:basedOn w:val="TableNormal"/>
    <w:uiPriority w:val="99"/>
    <w:rsid w:val="006467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B349D"/>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B349D"/>
    <w:rPr>
      <w:rFonts w:ascii="Tahoma" w:hAnsi="Tahoma" w:cs="Times New Roman"/>
      <w:sz w:val="16"/>
    </w:rPr>
  </w:style>
  <w:style w:type="character" w:customStyle="1" w:styleId="apple-style-span">
    <w:name w:val="apple-style-span"/>
    <w:basedOn w:val="DefaultParagraphFont"/>
    <w:uiPriority w:val="99"/>
    <w:rsid w:val="00133D01"/>
    <w:rPr>
      <w:rFonts w:cs="Times New Roman"/>
    </w:rPr>
  </w:style>
  <w:style w:type="paragraph" w:styleId="NormalWeb">
    <w:name w:val="Normal (Web)"/>
    <w:basedOn w:val="Normal"/>
    <w:link w:val="NormalWebChar"/>
    <w:uiPriority w:val="99"/>
    <w:rsid w:val="00FB341A"/>
    <w:pPr>
      <w:spacing w:before="100" w:beforeAutospacing="1" w:after="100" w:afterAutospacing="1" w:line="240" w:lineRule="auto"/>
    </w:pPr>
    <w:rPr>
      <w:rFonts w:ascii="Times New Roman" w:hAnsi="Times New Roman"/>
      <w:sz w:val="24"/>
      <w:szCs w:val="20"/>
      <w:lang w:eastAsia="ja-JP"/>
    </w:rPr>
  </w:style>
  <w:style w:type="character" w:styleId="Strong">
    <w:name w:val="Strong"/>
    <w:basedOn w:val="DefaultParagraphFont"/>
    <w:uiPriority w:val="99"/>
    <w:qFormat/>
    <w:rsid w:val="00FB341A"/>
    <w:rPr>
      <w:rFonts w:cs="Times New Roman"/>
      <w:b/>
    </w:rPr>
  </w:style>
  <w:style w:type="character" w:styleId="Hyperlink">
    <w:name w:val="Hyperlink"/>
    <w:basedOn w:val="DefaultParagraphFont"/>
    <w:uiPriority w:val="99"/>
    <w:rsid w:val="008E342D"/>
    <w:rPr>
      <w:rFonts w:cs="Times New Roman"/>
      <w:color w:val="0000FF"/>
      <w:u w:val="single"/>
    </w:rPr>
  </w:style>
  <w:style w:type="paragraph" w:styleId="BodyText2">
    <w:name w:val="Body Text 2"/>
    <w:basedOn w:val="Normal"/>
    <w:link w:val="BodyText2Char"/>
    <w:uiPriority w:val="99"/>
    <w:rsid w:val="00B376C4"/>
    <w:pPr>
      <w:spacing w:line="240" w:lineRule="auto"/>
    </w:pPr>
    <w:rPr>
      <w:rFonts w:ascii="Arial" w:eastAsia="Times New Roman" w:hAnsi="Arial"/>
      <w:sz w:val="20"/>
      <w:szCs w:val="24"/>
      <w:lang w:eastAsia="ja-JP"/>
    </w:rPr>
  </w:style>
  <w:style w:type="character" w:customStyle="1" w:styleId="BodyText2Char">
    <w:name w:val="Body Text 2 Char"/>
    <w:basedOn w:val="DefaultParagraphFont"/>
    <w:link w:val="BodyText2"/>
    <w:uiPriority w:val="99"/>
    <w:locked/>
    <w:rsid w:val="00B376C4"/>
    <w:rPr>
      <w:rFonts w:ascii="Arial" w:hAnsi="Arial" w:cs="Times New Roman"/>
      <w:sz w:val="24"/>
    </w:rPr>
  </w:style>
  <w:style w:type="character" w:styleId="FollowedHyperlink">
    <w:name w:val="FollowedHyperlink"/>
    <w:basedOn w:val="DefaultParagraphFont"/>
    <w:uiPriority w:val="99"/>
    <w:semiHidden/>
    <w:rsid w:val="00F5444F"/>
    <w:rPr>
      <w:rFonts w:cs="Times New Roman"/>
      <w:color w:val="800080"/>
      <w:u w:val="single"/>
    </w:rPr>
  </w:style>
  <w:style w:type="paragraph" w:styleId="Header">
    <w:name w:val="header"/>
    <w:basedOn w:val="Normal"/>
    <w:link w:val="HeaderChar"/>
    <w:uiPriority w:val="99"/>
    <w:rsid w:val="004D3EFA"/>
    <w:pPr>
      <w:tabs>
        <w:tab w:val="center" w:pos="4680"/>
        <w:tab w:val="right" w:pos="9360"/>
      </w:tabs>
      <w:spacing w:line="240" w:lineRule="auto"/>
    </w:pPr>
  </w:style>
  <w:style w:type="character" w:customStyle="1" w:styleId="HeaderChar">
    <w:name w:val="Header Char"/>
    <w:basedOn w:val="DefaultParagraphFont"/>
    <w:link w:val="Header"/>
    <w:uiPriority w:val="99"/>
    <w:locked/>
    <w:rsid w:val="004D3EFA"/>
    <w:rPr>
      <w:rFonts w:cs="Times New Roman"/>
    </w:rPr>
  </w:style>
  <w:style w:type="paragraph" w:styleId="Footer">
    <w:name w:val="footer"/>
    <w:basedOn w:val="Normal"/>
    <w:link w:val="FooterChar"/>
    <w:uiPriority w:val="99"/>
    <w:rsid w:val="004D3EFA"/>
    <w:pPr>
      <w:tabs>
        <w:tab w:val="center" w:pos="4680"/>
        <w:tab w:val="right" w:pos="9360"/>
      </w:tabs>
      <w:spacing w:line="240" w:lineRule="auto"/>
    </w:pPr>
  </w:style>
  <w:style w:type="character" w:customStyle="1" w:styleId="FooterChar">
    <w:name w:val="Footer Char"/>
    <w:basedOn w:val="DefaultParagraphFont"/>
    <w:link w:val="Footer"/>
    <w:uiPriority w:val="99"/>
    <w:locked/>
    <w:rsid w:val="004D3EFA"/>
    <w:rPr>
      <w:rFonts w:cs="Times New Roman"/>
    </w:rPr>
  </w:style>
  <w:style w:type="character" w:customStyle="1" w:styleId="NormalWebChar">
    <w:name w:val="Normal (Web) Char"/>
    <w:link w:val="NormalWeb"/>
    <w:uiPriority w:val="99"/>
    <w:locked/>
    <w:rsid w:val="00632BD7"/>
    <w:rPr>
      <w:rFonts w:ascii="Times New Roman" w:hAnsi="Times New Roman"/>
      <w:sz w:val="24"/>
    </w:rPr>
  </w:style>
  <w:style w:type="character" w:styleId="CommentReference">
    <w:name w:val="annotation reference"/>
    <w:basedOn w:val="DefaultParagraphFont"/>
    <w:uiPriority w:val="99"/>
    <w:semiHidden/>
    <w:rsid w:val="00CC1D7B"/>
    <w:rPr>
      <w:rFonts w:cs="Times New Roman"/>
      <w:sz w:val="16"/>
    </w:rPr>
  </w:style>
  <w:style w:type="paragraph" w:styleId="CommentText">
    <w:name w:val="annotation text"/>
    <w:basedOn w:val="Normal"/>
    <w:link w:val="CommentTextChar"/>
    <w:uiPriority w:val="99"/>
    <w:semiHidden/>
    <w:rsid w:val="00CC1D7B"/>
    <w:pPr>
      <w:spacing w:line="240" w:lineRule="auto"/>
    </w:pPr>
    <w:rPr>
      <w:rFonts w:ascii="Cambria" w:eastAsia="MS Minngs" w:hAnsi="Cambria"/>
      <w:sz w:val="20"/>
      <w:szCs w:val="20"/>
    </w:rPr>
  </w:style>
  <w:style w:type="character" w:customStyle="1" w:styleId="CommentTextChar">
    <w:name w:val="Comment Text Char"/>
    <w:basedOn w:val="DefaultParagraphFont"/>
    <w:link w:val="CommentText"/>
    <w:uiPriority w:val="99"/>
    <w:semiHidden/>
    <w:locked/>
    <w:rsid w:val="00CC1D7B"/>
    <w:rPr>
      <w:rFonts w:ascii="Cambria" w:eastAsia="MS Minngs" w:hAnsi="Cambria" w:cs="Times New Roman"/>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BA3D4A"/>
    <w:rPr>
      <w:rFonts w:ascii="Times New Roman" w:hAnsi="Times New Roman" w:cs="Times New Roman"/>
    </w:rPr>
  </w:style>
  <w:style w:type="character" w:styleId="FootnoteReference">
    <w:name w:val="footnote reference"/>
    <w:basedOn w:val="DefaultParagraphFont"/>
    <w:uiPriority w:val="99"/>
    <w:semiHidden/>
    <w:rsid w:val="00BA3D4A"/>
    <w:rPr>
      <w:rFonts w:cs="Times New Roman"/>
      <w:vertAlign w:val="superscript"/>
    </w:rPr>
  </w:style>
  <w:style w:type="character" w:styleId="PageNumber">
    <w:name w:val="page number"/>
    <w:basedOn w:val="DefaultParagraphFont"/>
    <w:uiPriority w:val="99"/>
    <w:semiHidden/>
    <w:rsid w:val="00732752"/>
    <w:rPr>
      <w:rFonts w:cs="Times New Roman"/>
    </w:rPr>
  </w:style>
  <w:style w:type="paragraph" w:customStyle="1" w:styleId="Default">
    <w:name w:val="Default"/>
    <w:uiPriority w:val="99"/>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rsid w:val="001314A7"/>
    <w:rPr>
      <w:rFonts w:ascii="Calibri" w:eastAsia="Calibri" w:hAnsi="Calibri"/>
      <w:b/>
      <w:bCs/>
    </w:rPr>
  </w:style>
  <w:style w:type="character" w:customStyle="1" w:styleId="CommentSubjectChar">
    <w:name w:val="Comment Subject Char"/>
    <w:basedOn w:val="CommentTextChar"/>
    <w:link w:val="CommentSubject"/>
    <w:uiPriority w:val="99"/>
    <w:semiHidden/>
    <w:locked/>
    <w:rsid w:val="001314A7"/>
    <w:rPr>
      <w:rFonts w:ascii="Cambria" w:eastAsia="MS Minngs" w:hAnsi="Cambria" w:cs="Times New Roman"/>
      <w:b/>
      <w:bCs/>
    </w:rPr>
  </w:style>
  <w:style w:type="paragraph" w:styleId="Revision">
    <w:name w:val="Revision"/>
    <w:hidden/>
    <w:uiPriority w:val="99"/>
    <w:semiHidden/>
    <w:rsid w:val="001314A7"/>
  </w:style>
  <w:style w:type="character" w:styleId="Emphasis">
    <w:name w:val="Emphasis"/>
    <w:basedOn w:val="DefaultParagraphFont"/>
    <w:uiPriority w:val="99"/>
    <w:qFormat/>
    <w:locked/>
    <w:rsid w:val="00957D39"/>
    <w:rPr>
      <w:rFonts w:cs="Times New Roman"/>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6D"/>
    <w:pPr>
      <w:spacing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563"/>
    <w:pPr>
      <w:ind w:left="720"/>
      <w:contextualSpacing/>
    </w:pPr>
  </w:style>
  <w:style w:type="table" w:styleId="TableGrid">
    <w:name w:val="Table Grid"/>
    <w:basedOn w:val="TableNormal"/>
    <w:uiPriority w:val="99"/>
    <w:rsid w:val="006467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B349D"/>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B349D"/>
    <w:rPr>
      <w:rFonts w:ascii="Tahoma" w:hAnsi="Tahoma" w:cs="Times New Roman"/>
      <w:sz w:val="16"/>
    </w:rPr>
  </w:style>
  <w:style w:type="character" w:customStyle="1" w:styleId="apple-style-span">
    <w:name w:val="apple-style-span"/>
    <w:basedOn w:val="DefaultParagraphFont"/>
    <w:uiPriority w:val="99"/>
    <w:rsid w:val="00133D01"/>
    <w:rPr>
      <w:rFonts w:cs="Times New Roman"/>
    </w:rPr>
  </w:style>
  <w:style w:type="paragraph" w:styleId="NormalWeb">
    <w:name w:val="Normal (Web)"/>
    <w:basedOn w:val="Normal"/>
    <w:link w:val="NormalWebChar"/>
    <w:uiPriority w:val="99"/>
    <w:rsid w:val="00FB341A"/>
    <w:pPr>
      <w:spacing w:before="100" w:beforeAutospacing="1" w:after="100" w:afterAutospacing="1" w:line="240" w:lineRule="auto"/>
    </w:pPr>
    <w:rPr>
      <w:rFonts w:ascii="Times New Roman" w:hAnsi="Times New Roman"/>
      <w:sz w:val="24"/>
      <w:szCs w:val="20"/>
      <w:lang w:eastAsia="ja-JP"/>
    </w:rPr>
  </w:style>
  <w:style w:type="character" w:styleId="Strong">
    <w:name w:val="Strong"/>
    <w:basedOn w:val="DefaultParagraphFont"/>
    <w:uiPriority w:val="99"/>
    <w:qFormat/>
    <w:rsid w:val="00FB341A"/>
    <w:rPr>
      <w:rFonts w:cs="Times New Roman"/>
      <w:b/>
    </w:rPr>
  </w:style>
  <w:style w:type="character" w:styleId="Hyperlink">
    <w:name w:val="Hyperlink"/>
    <w:basedOn w:val="DefaultParagraphFont"/>
    <w:uiPriority w:val="99"/>
    <w:rsid w:val="008E342D"/>
    <w:rPr>
      <w:rFonts w:cs="Times New Roman"/>
      <w:color w:val="0000FF"/>
      <w:u w:val="single"/>
    </w:rPr>
  </w:style>
  <w:style w:type="paragraph" w:styleId="BodyText2">
    <w:name w:val="Body Text 2"/>
    <w:basedOn w:val="Normal"/>
    <w:link w:val="BodyText2Char"/>
    <w:uiPriority w:val="99"/>
    <w:rsid w:val="00B376C4"/>
    <w:pPr>
      <w:spacing w:line="240" w:lineRule="auto"/>
    </w:pPr>
    <w:rPr>
      <w:rFonts w:ascii="Arial" w:eastAsia="Times New Roman" w:hAnsi="Arial"/>
      <w:sz w:val="20"/>
      <w:szCs w:val="24"/>
      <w:lang w:eastAsia="ja-JP"/>
    </w:rPr>
  </w:style>
  <w:style w:type="character" w:customStyle="1" w:styleId="BodyText2Char">
    <w:name w:val="Body Text 2 Char"/>
    <w:basedOn w:val="DefaultParagraphFont"/>
    <w:link w:val="BodyText2"/>
    <w:uiPriority w:val="99"/>
    <w:locked/>
    <w:rsid w:val="00B376C4"/>
    <w:rPr>
      <w:rFonts w:ascii="Arial" w:hAnsi="Arial" w:cs="Times New Roman"/>
      <w:sz w:val="24"/>
    </w:rPr>
  </w:style>
  <w:style w:type="character" w:styleId="FollowedHyperlink">
    <w:name w:val="FollowedHyperlink"/>
    <w:basedOn w:val="DefaultParagraphFont"/>
    <w:uiPriority w:val="99"/>
    <w:semiHidden/>
    <w:rsid w:val="00F5444F"/>
    <w:rPr>
      <w:rFonts w:cs="Times New Roman"/>
      <w:color w:val="800080"/>
      <w:u w:val="single"/>
    </w:rPr>
  </w:style>
  <w:style w:type="paragraph" w:styleId="Header">
    <w:name w:val="header"/>
    <w:basedOn w:val="Normal"/>
    <w:link w:val="HeaderChar"/>
    <w:uiPriority w:val="99"/>
    <w:rsid w:val="004D3EFA"/>
    <w:pPr>
      <w:tabs>
        <w:tab w:val="center" w:pos="4680"/>
        <w:tab w:val="right" w:pos="9360"/>
      </w:tabs>
      <w:spacing w:line="240" w:lineRule="auto"/>
    </w:pPr>
  </w:style>
  <w:style w:type="character" w:customStyle="1" w:styleId="HeaderChar">
    <w:name w:val="Header Char"/>
    <w:basedOn w:val="DefaultParagraphFont"/>
    <w:link w:val="Header"/>
    <w:uiPriority w:val="99"/>
    <w:locked/>
    <w:rsid w:val="004D3EFA"/>
    <w:rPr>
      <w:rFonts w:cs="Times New Roman"/>
    </w:rPr>
  </w:style>
  <w:style w:type="paragraph" w:styleId="Footer">
    <w:name w:val="footer"/>
    <w:basedOn w:val="Normal"/>
    <w:link w:val="FooterChar"/>
    <w:uiPriority w:val="99"/>
    <w:rsid w:val="004D3EFA"/>
    <w:pPr>
      <w:tabs>
        <w:tab w:val="center" w:pos="4680"/>
        <w:tab w:val="right" w:pos="9360"/>
      </w:tabs>
      <w:spacing w:line="240" w:lineRule="auto"/>
    </w:pPr>
  </w:style>
  <w:style w:type="character" w:customStyle="1" w:styleId="FooterChar">
    <w:name w:val="Footer Char"/>
    <w:basedOn w:val="DefaultParagraphFont"/>
    <w:link w:val="Footer"/>
    <w:uiPriority w:val="99"/>
    <w:locked/>
    <w:rsid w:val="004D3EFA"/>
    <w:rPr>
      <w:rFonts w:cs="Times New Roman"/>
    </w:rPr>
  </w:style>
  <w:style w:type="character" w:customStyle="1" w:styleId="NormalWebChar">
    <w:name w:val="Normal (Web) Char"/>
    <w:link w:val="NormalWeb"/>
    <w:uiPriority w:val="99"/>
    <w:locked/>
    <w:rsid w:val="00632BD7"/>
    <w:rPr>
      <w:rFonts w:ascii="Times New Roman" w:hAnsi="Times New Roman"/>
      <w:sz w:val="24"/>
    </w:rPr>
  </w:style>
  <w:style w:type="character" w:styleId="CommentReference">
    <w:name w:val="annotation reference"/>
    <w:basedOn w:val="DefaultParagraphFont"/>
    <w:uiPriority w:val="99"/>
    <w:semiHidden/>
    <w:rsid w:val="00CC1D7B"/>
    <w:rPr>
      <w:rFonts w:cs="Times New Roman"/>
      <w:sz w:val="16"/>
    </w:rPr>
  </w:style>
  <w:style w:type="paragraph" w:styleId="CommentText">
    <w:name w:val="annotation text"/>
    <w:basedOn w:val="Normal"/>
    <w:link w:val="CommentTextChar"/>
    <w:uiPriority w:val="99"/>
    <w:semiHidden/>
    <w:rsid w:val="00CC1D7B"/>
    <w:pPr>
      <w:spacing w:line="240" w:lineRule="auto"/>
    </w:pPr>
    <w:rPr>
      <w:rFonts w:ascii="Cambria" w:eastAsia="MS Minngs" w:hAnsi="Cambria"/>
      <w:sz w:val="20"/>
      <w:szCs w:val="20"/>
    </w:rPr>
  </w:style>
  <w:style w:type="character" w:customStyle="1" w:styleId="CommentTextChar">
    <w:name w:val="Comment Text Char"/>
    <w:basedOn w:val="DefaultParagraphFont"/>
    <w:link w:val="CommentText"/>
    <w:uiPriority w:val="99"/>
    <w:semiHidden/>
    <w:locked/>
    <w:rsid w:val="00CC1D7B"/>
    <w:rPr>
      <w:rFonts w:ascii="Cambria" w:eastAsia="MS Minngs" w:hAnsi="Cambria" w:cs="Times New Roman"/>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BA3D4A"/>
    <w:rPr>
      <w:rFonts w:ascii="Times New Roman" w:hAnsi="Times New Roman" w:cs="Times New Roman"/>
    </w:rPr>
  </w:style>
  <w:style w:type="character" w:styleId="FootnoteReference">
    <w:name w:val="footnote reference"/>
    <w:basedOn w:val="DefaultParagraphFont"/>
    <w:uiPriority w:val="99"/>
    <w:semiHidden/>
    <w:rsid w:val="00BA3D4A"/>
    <w:rPr>
      <w:rFonts w:cs="Times New Roman"/>
      <w:vertAlign w:val="superscript"/>
    </w:rPr>
  </w:style>
  <w:style w:type="character" w:styleId="PageNumber">
    <w:name w:val="page number"/>
    <w:basedOn w:val="DefaultParagraphFont"/>
    <w:uiPriority w:val="99"/>
    <w:semiHidden/>
    <w:rsid w:val="00732752"/>
    <w:rPr>
      <w:rFonts w:cs="Times New Roman"/>
    </w:rPr>
  </w:style>
  <w:style w:type="paragraph" w:customStyle="1" w:styleId="Default">
    <w:name w:val="Default"/>
    <w:uiPriority w:val="99"/>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rsid w:val="001314A7"/>
    <w:rPr>
      <w:rFonts w:ascii="Calibri" w:eastAsia="Calibri" w:hAnsi="Calibri"/>
      <w:b/>
      <w:bCs/>
    </w:rPr>
  </w:style>
  <w:style w:type="character" w:customStyle="1" w:styleId="CommentSubjectChar">
    <w:name w:val="Comment Subject Char"/>
    <w:basedOn w:val="CommentTextChar"/>
    <w:link w:val="CommentSubject"/>
    <w:uiPriority w:val="99"/>
    <w:semiHidden/>
    <w:locked/>
    <w:rsid w:val="001314A7"/>
    <w:rPr>
      <w:rFonts w:ascii="Cambria" w:eastAsia="MS Minngs" w:hAnsi="Cambria" w:cs="Times New Roman"/>
      <w:b/>
      <w:bCs/>
    </w:rPr>
  </w:style>
  <w:style w:type="paragraph" w:styleId="Revision">
    <w:name w:val="Revision"/>
    <w:hidden/>
    <w:uiPriority w:val="99"/>
    <w:semiHidden/>
    <w:rsid w:val="001314A7"/>
  </w:style>
  <w:style w:type="character" w:styleId="Emphasis">
    <w:name w:val="Emphasis"/>
    <w:basedOn w:val="DefaultParagraphFont"/>
    <w:uiPriority w:val="99"/>
    <w:qFormat/>
    <w:locked/>
    <w:rsid w:val="00957D3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9061">
      <w:bodyDiv w:val="1"/>
      <w:marLeft w:val="0"/>
      <w:marRight w:val="0"/>
      <w:marTop w:val="0"/>
      <w:marBottom w:val="0"/>
      <w:divBdr>
        <w:top w:val="none" w:sz="0" w:space="0" w:color="auto"/>
        <w:left w:val="none" w:sz="0" w:space="0" w:color="auto"/>
        <w:bottom w:val="none" w:sz="0" w:space="0" w:color="auto"/>
        <w:right w:val="none" w:sz="0" w:space="0" w:color="auto"/>
      </w:divBdr>
    </w:div>
    <w:div w:id="802504376">
      <w:marLeft w:val="0"/>
      <w:marRight w:val="0"/>
      <w:marTop w:val="0"/>
      <w:marBottom w:val="0"/>
      <w:divBdr>
        <w:top w:val="none" w:sz="0" w:space="0" w:color="auto"/>
        <w:left w:val="none" w:sz="0" w:space="0" w:color="auto"/>
        <w:bottom w:val="none" w:sz="0" w:space="0" w:color="auto"/>
        <w:right w:val="none" w:sz="0" w:space="0" w:color="auto"/>
      </w:divBdr>
    </w:div>
    <w:div w:id="802504381">
      <w:marLeft w:val="0"/>
      <w:marRight w:val="0"/>
      <w:marTop w:val="0"/>
      <w:marBottom w:val="0"/>
      <w:divBdr>
        <w:top w:val="none" w:sz="0" w:space="0" w:color="auto"/>
        <w:left w:val="none" w:sz="0" w:space="0" w:color="auto"/>
        <w:bottom w:val="none" w:sz="0" w:space="0" w:color="auto"/>
        <w:right w:val="none" w:sz="0" w:space="0" w:color="auto"/>
      </w:divBdr>
      <w:divsChild>
        <w:div w:id="802504377">
          <w:marLeft w:val="1166"/>
          <w:marRight w:val="0"/>
          <w:marTop w:val="96"/>
          <w:marBottom w:val="0"/>
          <w:divBdr>
            <w:top w:val="none" w:sz="0" w:space="0" w:color="auto"/>
            <w:left w:val="none" w:sz="0" w:space="0" w:color="auto"/>
            <w:bottom w:val="none" w:sz="0" w:space="0" w:color="auto"/>
            <w:right w:val="none" w:sz="0" w:space="0" w:color="auto"/>
          </w:divBdr>
        </w:div>
        <w:div w:id="802504378">
          <w:marLeft w:val="1166"/>
          <w:marRight w:val="0"/>
          <w:marTop w:val="96"/>
          <w:marBottom w:val="0"/>
          <w:divBdr>
            <w:top w:val="none" w:sz="0" w:space="0" w:color="auto"/>
            <w:left w:val="none" w:sz="0" w:space="0" w:color="auto"/>
            <w:bottom w:val="none" w:sz="0" w:space="0" w:color="auto"/>
            <w:right w:val="none" w:sz="0" w:space="0" w:color="auto"/>
          </w:divBdr>
        </w:div>
        <w:div w:id="802504379">
          <w:marLeft w:val="1166"/>
          <w:marRight w:val="0"/>
          <w:marTop w:val="96"/>
          <w:marBottom w:val="0"/>
          <w:divBdr>
            <w:top w:val="none" w:sz="0" w:space="0" w:color="auto"/>
            <w:left w:val="none" w:sz="0" w:space="0" w:color="auto"/>
            <w:bottom w:val="none" w:sz="0" w:space="0" w:color="auto"/>
            <w:right w:val="none" w:sz="0" w:space="0" w:color="auto"/>
          </w:divBdr>
        </w:div>
        <w:div w:id="802504380">
          <w:marLeft w:val="1166"/>
          <w:marRight w:val="0"/>
          <w:marTop w:val="96"/>
          <w:marBottom w:val="0"/>
          <w:divBdr>
            <w:top w:val="none" w:sz="0" w:space="0" w:color="auto"/>
            <w:left w:val="none" w:sz="0" w:space="0" w:color="auto"/>
            <w:bottom w:val="none" w:sz="0" w:space="0" w:color="auto"/>
            <w:right w:val="none" w:sz="0" w:space="0" w:color="auto"/>
          </w:divBdr>
        </w:div>
        <w:div w:id="802504383">
          <w:marLeft w:val="547"/>
          <w:marRight w:val="0"/>
          <w:marTop w:val="106"/>
          <w:marBottom w:val="0"/>
          <w:divBdr>
            <w:top w:val="none" w:sz="0" w:space="0" w:color="auto"/>
            <w:left w:val="none" w:sz="0" w:space="0" w:color="auto"/>
            <w:bottom w:val="none" w:sz="0" w:space="0" w:color="auto"/>
            <w:right w:val="none" w:sz="0" w:space="0" w:color="auto"/>
          </w:divBdr>
        </w:div>
        <w:div w:id="802504386">
          <w:marLeft w:val="547"/>
          <w:marRight w:val="0"/>
          <w:marTop w:val="106"/>
          <w:marBottom w:val="0"/>
          <w:divBdr>
            <w:top w:val="none" w:sz="0" w:space="0" w:color="auto"/>
            <w:left w:val="none" w:sz="0" w:space="0" w:color="auto"/>
            <w:bottom w:val="none" w:sz="0" w:space="0" w:color="auto"/>
            <w:right w:val="none" w:sz="0" w:space="0" w:color="auto"/>
          </w:divBdr>
        </w:div>
        <w:div w:id="802504391">
          <w:marLeft w:val="547"/>
          <w:marRight w:val="0"/>
          <w:marTop w:val="106"/>
          <w:marBottom w:val="0"/>
          <w:divBdr>
            <w:top w:val="none" w:sz="0" w:space="0" w:color="auto"/>
            <w:left w:val="none" w:sz="0" w:space="0" w:color="auto"/>
            <w:bottom w:val="none" w:sz="0" w:space="0" w:color="auto"/>
            <w:right w:val="none" w:sz="0" w:space="0" w:color="auto"/>
          </w:divBdr>
        </w:div>
      </w:divsChild>
    </w:div>
    <w:div w:id="802504382">
      <w:marLeft w:val="0"/>
      <w:marRight w:val="0"/>
      <w:marTop w:val="0"/>
      <w:marBottom w:val="0"/>
      <w:divBdr>
        <w:top w:val="none" w:sz="0" w:space="0" w:color="auto"/>
        <w:left w:val="none" w:sz="0" w:space="0" w:color="auto"/>
        <w:bottom w:val="none" w:sz="0" w:space="0" w:color="auto"/>
        <w:right w:val="none" w:sz="0" w:space="0" w:color="auto"/>
      </w:divBdr>
    </w:div>
    <w:div w:id="802504385">
      <w:marLeft w:val="0"/>
      <w:marRight w:val="0"/>
      <w:marTop w:val="0"/>
      <w:marBottom w:val="0"/>
      <w:divBdr>
        <w:top w:val="none" w:sz="0" w:space="0" w:color="auto"/>
        <w:left w:val="none" w:sz="0" w:space="0" w:color="auto"/>
        <w:bottom w:val="none" w:sz="0" w:space="0" w:color="auto"/>
        <w:right w:val="none" w:sz="0" w:space="0" w:color="auto"/>
      </w:divBdr>
      <w:divsChild>
        <w:div w:id="802504384">
          <w:marLeft w:val="547"/>
          <w:marRight w:val="0"/>
          <w:marTop w:val="130"/>
          <w:marBottom w:val="0"/>
          <w:divBdr>
            <w:top w:val="none" w:sz="0" w:space="0" w:color="auto"/>
            <w:left w:val="none" w:sz="0" w:space="0" w:color="auto"/>
            <w:bottom w:val="none" w:sz="0" w:space="0" w:color="auto"/>
            <w:right w:val="none" w:sz="0" w:space="0" w:color="auto"/>
          </w:divBdr>
        </w:div>
        <w:div w:id="802504387">
          <w:marLeft w:val="547"/>
          <w:marRight w:val="0"/>
          <w:marTop w:val="130"/>
          <w:marBottom w:val="0"/>
          <w:divBdr>
            <w:top w:val="none" w:sz="0" w:space="0" w:color="auto"/>
            <w:left w:val="none" w:sz="0" w:space="0" w:color="auto"/>
            <w:bottom w:val="none" w:sz="0" w:space="0" w:color="auto"/>
            <w:right w:val="none" w:sz="0" w:space="0" w:color="auto"/>
          </w:divBdr>
        </w:div>
        <w:div w:id="802504389">
          <w:marLeft w:val="547"/>
          <w:marRight w:val="0"/>
          <w:marTop w:val="130"/>
          <w:marBottom w:val="0"/>
          <w:divBdr>
            <w:top w:val="none" w:sz="0" w:space="0" w:color="auto"/>
            <w:left w:val="none" w:sz="0" w:space="0" w:color="auto"/>
            <w:bottom w:val="none" w:sz="0" w:space="0" w:color="auto"/>
            <w:right w:val="none" w:sz="0" w:space="0" w:color="auto"/>
          </w:divBdr>
        </w:div>
      </w:divsChild>
    </w:div>
    <w:div w:id="802504388">
      <w:marLeft w:val="0"/>
      <w:marRight w:val="0"/>
      <w:marTop w:val="0"/>
      <w:marBottom w:val="0"/>
      <w:divBdr>
        <w:top w:val="none" w:sz="0" w:space="0" w:color="auto"/>
        <w:left w:val="none" w:sz="0" w:space="0" w:color="auto"/>
        <w:bottom w:val="none" w:sz="0" w:space="0" w:color="auto"/>
        <w:right w:val="none" w:sz="0" w:space="0" w:color="auto"/>
      </w:divBdr>
    </w:div>
    <w:div w:id="802504390">
      <w:marLeft w:val="0"/>
      <w:marRight w:val="0"/>
      <w:marTop w:val="0"/>
      <w:marBottom w:val="0"/>
      <w:divBdr>
        <w:top w:val="none" w:sz="0" w:space="0" w:color="auto"/>
        <w:left w:val="none" w:sz="0" w:space="0" w:color="auto"/>
        <w:bottom w:val="none" w:sz="0" w:space="0" w:color="auto"/>
        <w:right w:val="none" w:sz="0" w:space="0" w:color="auto"/>
      </w:divBdr>
    </w:div>
    <w:div w:id="802504392">
      <w:marLeft w:val="0"/>
      <w:marRight w:val="0"/>
      <w:marTop w:val="0"/>
      <w:marBottom w:val="0"/>
      <w:divBdr>
        <w:top w:val="none" w:sz="0" w:space="0" w:color="auto"/>
        <w:left w:val="none" w:sz="0" w:space="0" w:color="auto"/>
        <w:bottom w:val="none" w:sz="0" w:space="0" w:color="auto"/>
        <w:right w:val="none" w:sz="0" w:space="0" w:color="auto"/>
      </w:divBdr>
    </w:div>
    <w:div w:id="802504393">
      <w:marLeft w:val="0"/>
      <w:marRight w:val="0"/>
      <w:marTop w:val="0"/>
      <w:marBottom w:val="0"/>
      <w:divBdr>
        <w:top w:val="none" w:sz="0" w:space="0" w:color="auto"/>
        <w:left w:val="none" w:sz="0" w:space="0" w:color="auto"/>
        <w:bottom w:val="none" w:sz="0" w:space="0" w:color="auto"/>
        <w:right w:val="none" w:sz="0" w:space="0" w:color="auto"/>
      </w:divBdr>
    </w:div>
    <w:div w:id="802504394">
      <w:marLeft w:val="0"/>
      <w:marRight w:val="0"/>
      <w:marTop w:val="0"/>
      <w:marBottom w:val="0"/>
      <w:divBdr>
        <w:top w:val="none" w:sz="0" w:space="0" w:color="auto"/>
        <w:left w:val="none" w:sz="0" w:space="0" w:color="auto"/>
        <w:bottom w:val="none" w:sz="0" w:space="0" w:color="auto"/>
        <w:right w:val="none" w:sz="0" w:space="0" w:color="auto"/>
      </w:divBdr>
    </w:div>
    <w:div w:id="1816608335">
      <w:bodyDiv w:val="1"/>
      <w:marLeft w:val="0"/>
      <w:marRight w:val="0"/>
      <w:marTop w:val="0"/>
      <w:marBottom w:val="0"/>
      <w:divBdr>
        <w:top w:val="none" w:sz="0" w:space="0" w:color="auto"/>
        <w:left w:val="none" w:sz="0" w:space="0" w:color="auto"/>
        <w:bottom w:val="none" w:sz="0" w:space="0" w:color="auto"/>
        <w:right w:val="none" w:sz="0" w:space="0" w:color="auto"/>
      </w:divBdr>
    </w:div>
    <w:div w:id="19448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image" Target="media/image1.png"/><Relationship Id="rId13" Type="http://schemas.openxmlformats.org/officeDocument/2006/relationships/hyperlink" Target="http://www.bizconst.org/Positions-Statements/BC%20request%20for%20implementation%20improvements.pdf" TargetMode="External"/><Relationship Id="rId14" Type="http://schemas.openxmlformats.org/officeDocument/2006/relationships/hyperlink" Target="http://www.bizconst.org/Positions-Statements/BC+on+Final+App+Guidebook+May+2011+v3.pdf" TargetMode="External"/><Relationship Id="rId15" Type="http://schemas.openxmlformats.org/officeDocument/2006/relationships/hyperlink" Target="http://www.bizconst.org/Positions-Statements/BC_on_TLD_contract_amendments.pdf" TargetMode="External"/><Relationship Id="rId16" Type="http://schemas.openxmlformats.org/officeDocument/2006/relationships/hyperlink" Target="http://icann.org/en/topics/new-gtlds/draft-agreement-specs-clean-04oct09-en.pdf" TargetMode="External"/><Relationship Id="rId17" Type="http://schemas.openxmlformats.org/officeDocument/2006/relationships/footer" Target="footer4.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forum.icann.org/lists/comments-base-agreement-05feb13/msg00018.html" TargetMode="External"/><Relationship Id="rId4" Type="http://schemas.openxmlformats.org/officeDocument/2006/relationships/hyperlink" Target="http://www.bizconst.org/Positions-Statements/BC+on+Final+App+Guidebook+May+2011+v3.pdf" TargetMode="External"/><Relationship Id="rId5" Type="http://schemas.openxmlformats.org/officeDocument/2006/relationships/hyperlink" Target="http://www.bizconst.org/Positions-Statements/BC_on_TLD_contract_amendments.pdf" TargetMode="External"/><Relationship Id="rId6" Type="http://schemas.openxmlformats.org/officeDocument/2006/relationships/hyperlink" Target="http://www.bizconst.org/Positions-Statements/BC+on+Final+App+Guidebook+May+2011+v3.pdf" TargetMode="External"/><Relationship Id="rId7" Type="http://schemas.openxmlformats.org/officeDocument/2006/relationships/hyperlink" Target="http://www.bizconst.org/Positions-Statements/BC+on+Final+App+Guidebook+May+2011+v3.pdf" TargetMode="External"/><Relationship Id="rId1" Type="http://schemas.openxmlformats.org/officeDocument/2006/relationships/hyperlink" Target="http://www.bizconst.org/Positions-Statements/BC%20request%20for%20implementation%20improvements.pdf" TargetMode="External"/><Relationship Id="rId2" Type="http://schemas.openxmlformats.org/officeDocument/2006/relationships/hyperlink" Target="http://www.bizconst.org/Positions-Statements/BC%20request%20for%20implementation%20improvements.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C4F7815F5479458188E0644CCEC2B1"/>
        <w:category>
          <w:name w:val="General"/>
          <w:gallery w:val="placeholder"/>
        </w:category>
        <w:types>
          <w:type w:val="bbPlcHdr"/>
        </w:types>
        <w:behaviors>
          <w:behavior w:val="content"/>
        </w:behaviors>
        <w:guid w:val="{12CE9801-0A5C-F740-957D-C29BF2C9E3E0}"/>
      </w:docPartPr>
      <w:docPartBody>
        <w:p w14:paraId="3C7E0A16" w14:textId="3EA8DC0F" w:rsidR="00F304DA" w:rsidRDefault="00F304DA" w:rsidP="00F304DA">
          <w:pPr>
            <w:pStyle w:val="71C4F7815F5479458188E0644CCEC2B1"/>
          </w:pPr>
          <w:r>
            <w:t>[Type text]</w:t>
          </w:r>
        </w:p>
      </w:docPartBody>
    </w:docPart>
    <w:docPart>
      <w:docPartPr>
        <w:name w:val="22A06DA4D6C3354D933153551A037D56"/>
        <w:category>
          <w:name w:val="General"/>
          <w:gallery w:val="placeholder"/>
        </w:category>
        <w:types>
          <w:type w:val="bbPlcHdr"/>
        </w:types>
        <w:behaviors>
          <w:behavior w:val="content"/>
        </w:behaviors>
        <w:guid w:val="{0DD10DDF-5F4C-2C40-9BFD-D94BED11D4B4}"/>
      </w:docPartPr>
      <w:docPartBody>
        <w:p w14:paraId="000EAB09" w14:textId="1A99D725" w:rsidR="00F304DA" w:rsidRDefault="00F304DA" w:rsidP="00F304DA">
          <w:pPr>
            <w:pStyle w:val="22A06DA4D6C3354D933153551A037D56"/>
          </w:pPr>
          <w:r>
            <w:t>[Type text]</w:t>
          </w:r>
        </w:p>
      </w:docPartBody>
    </w:docPart>
    <w:docPart>
      <w:docPartPr>
        <w:name w:val="5E8703280E548347BE038D264063BD2D"/>
        <w:category>
          <w:name w:val="General"/>
          <w:gallery w:val="placeholder"/>
        </w:category>
        <w:types>
          <w:type w:val="bbPlcHdr"/>
        </w:types>
        <w:behaviors>
          <w:behavior w:val="content"/>
        </w:behaviors>
        <w:guid w:val="{EFD6BBEA-C88B-FC4A-9C35-9917682F93ED}"/>
      </w:docPartPr>
      <w:docPartBody>
        <w:p w14:paraId="500E36C2" w14:textId="4FF033F0" w:rsidR="00F304DA" w:rsidRDefault="00F304DA" w:rsidP="00F304DA">
          <w:pPr>
            <w:pStyle w:val="5E8703280E548347BE038D264063BD2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Rounded MT Bold">
    <w:panose1 w:val="020F0704030504030204"/>
    <w:charset w:val="00"/>
    <w:family w:val="auto"/>
    <w:pitch w:val="variable"/>
    <w:sig w:usb0="00000003" w:usb1="00000000" w:usb2="00000000" w:usb3="00000000" w:csb0="00000001" w:csb1="00000000"/>
  </w:font>
  <w:font w:name="MS MinNew Roman">
    <w:altName w:val="Roman"/>
    <w:panose1 w:val="00000000000000000000"/>
    <w:charset w:val="80"/>
    <w:family w:val="roman"/>
    <w:notTrueType/>
    <w:pitch w:val="fixed"/>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DA"/>
    <w:rsid w:val="00247169"/>
    <w:rsid w:val="002E5E36"/>
    <w:rsid w:val="00406229"/>
    <w:rsid w:val="00691E56"/>
    <w:rsid w:val="00836E60"/>
    <w:rsid w:val="009B3120"/>
    <w:rsid w:val="00C009FC"/>
    <w:rsid w:val="00D55D57"/>
    <w:rsid w:val="00F304DA"/>
    <w:rsid w:val="00FB6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C4F7815F5479458188E0644CCEC2B1">
    <w:name w:val="71C4F7815F5479458188E0644CCEC2B1"/>
    <w:rsid w:val="00F304DA"/>
  </w:style>
  <w:style w:type="paragraph" w:customStyle="1" w:styleId="22A06DA4D6C3354D933153551A037D56">
    <w:name w:val="22A06DA4D6C3354D933153551A037D56"/>
    <w:rsid w:val="00F304DA"/>
  </w:style>
  <w:style w:type="paragraph" w:customStyle="1" w:styleId="5E8703280E548347BE038D264063BD2D">
    <w:name w:val="5E8703280E548347BE038D264063BD2D"/>
    <w:rsid w:val="00F304DA"/>
  </w:style>
  <w:style w:type="paragraph" w:customStyle="1" w:styleId="258C2A2831E4694B941D1F3EA5D110F9">
    <w:name w:val="258C2A2831E4694B941D1F3EA5D110F9"/>
    <w:rsid w:val="00F304DA"/>
  </w:style>
  <w:style w:type="paragraph" w:customStyle="1" w:styleId="1ADBB6276F003648BA02F924610A3BBF">
    <w:name w:val="1ADBB6276F003648BA02F924610A3BBF"/>
    <w:rsid w:val="00F304DA"/>
  </w:style>
  <w:style w:type="paragraph" w:customStyle="1" w:styleId="FB4399718B7C0A4496BB778F2A6A6213">
    <w:name w:val="FB4399718B7C0A4496BB778F2A6A6213"/>
    <w:rsid w:val="00F304D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C4F7815F5479458188E0644CCEC2B1">
    <w:name w:val="71C4F7815F5479458188E0644CCEC2B1"/>
    <w:rsid w:val="00F304DA"/>
  </w:style>
  <w:style w:type="paragraph" w:customStyle="1" w:styleId="22A06DA4D6C3354D933153551A037D56">
    <w:name w:val="22A06DA4D6C3354D933153551A037D56"/>
    <w:rsid w:val="00F304DA"/>
  </w:style>
  <w:style w:type="paragraph" w:customStyle="1" w:styleId="5E8703280E548347BE038D264063BD2D">
    <w:name w:val="5E8703280E548347BE038D264063BD2D"/>
    <w:rsid w:val="00F304DA"/>
  </w:style>
  <w:style w:type="paragraph" w:customStyle="1" w:styleId="258C2A2831E4694B941D1F3EA5D110F9">
    <w:name w:val="258C2A2831E4694B941D1F3EA5D110F9"/>
    <w:rsid w:val="00F304DA"/>
  </w:style>
  <w:style w:type="paragraph" w:customStyle="1" w:styleId="1ADBB6276F003648BA02F924610A3BBF">
    <w:name w:val="1ADBB6276F003648BA02F924610A3BBF"/>
    <w:rsid w:val="00F304DA"/>
  </w:style>
  <w:style w:type="paragraph" w:customStyle="1" w:styleId="FB4399718B7C0A4496BB778F2A6A6213">
    <w:name w:val="FB4399718B7C0A4496BB778F2A6A6213"/>
    <w:rsid w:val="00F3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16227-4A0D-1B46-A213-E103BA858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8</Pages>
  <Words>2942</Words>
  <Characters>16688</Characters>
  <Application>Microsoft Macintosh Word</Application>
  <DocSecurity>0</DocSecurity>
  <Lines>329</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20</cp:revision>
  <cp:lastPrinted>2013-03-15T15:25:00Z</cp:lastPrinted>
  <dcterms:created xsi:type="dcterms:W3CDTF">2013-03-14T23:02:00Z</dcterms:created>
  <dcterms:modified xsi:type="dcterms:W3CDTF">2013-03-15T21:53:00Z</dcterms:modified>
  <cp:category/>
</cp:coreProperties>
</file>