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A3" w:rsidRDefault="000A3DA3" w:rsidP="000A3DA3">
      <w:pPr>
        <w:jc w:val="center"/>
        <w:rPr>
          <w:rFonts w:ascii="Arial" w:hAnsi="Arial" w:cs="Arial"/>
          <w:sz w:val="24"/>
          <w:szCs w:val="24"/>
        </w:rPr>
      </w:pPr>
      <w:r>
        <w:rPr>
          <w:rFonts w:ascii="Arial" w:hAnsi="Arial" w:cs="Arial"/>
          <w:sz w:val="24"/>
          <w:szCs w:val="24"/>
        </w:rPr>
        <w:t>Difficult Durban Dialogue between GAC and NGPC</w:t>
      </w:r>
    </w:p>
    <w:p w:rsidR="000A3DA3" w:rsidRDefault="000A3DA3" w:rsidP="000A3DA3">
      <w:pPr>
        <w:jc w:val="center"/>
        <w:rPr>
          <w:rFonts w:ascii="Arial" w:hAnsi="Arial" w:cs="Arial"/>
          <w:sz w:val="24"/>
          <w:szCs w:val="24"/>
        </w:rPr>
      </w:pPr>
    </w:p>
    <w:p w:rsidR="000A3DA3" w:rsidRDefault="000A3DA3" w:rsidP="000A3DA3">
      <w:pPr>
        <w:jc w:val="both"/>
        <w:rPr>
          <w:rFonts w:ascii="Arial" w:hAnsi="Arial" w:cs="Arial"/>
          <w:sz w:val="24"/>
          <w:szCs w:val="24"/>
        </w:rPr>
      </w:pPr>
      <w:r>
        <w:rPr>
          <w:rFonts w:ascii="Arial" w:hAnsi="Arial" w:cs="Arial"/>
          <w:sz w:val="24"/>
          <w:szCs w:val="24"/>
        </w:rPr>
        <w:t xml:space="preserve">Durban is a lovely beach city on the Indian Ocean with idyllic winter weather, but you might as well be on Mars if you’re ensconced in the vast windowless meeting rooms of its International Conference Center. </w:t>
      </w:r>
      <w:r w:rsidR="0031407F">
        <w:rPr>
          <w:rFonts w:ascii="Arial" w:hAnsi="Arial" w:cs="Arial"/>
          <w:sz w:val="24"/>
          <w:szCs w:val="24"/>
        </w:rPr>
        <w:t>That’s where ICANN’s Governmental Advisory Committee (GAC) spent a good part of Saturday, July 13</w:t>
      </w:r>
      <w:r w:rsidR="0031407F" w:rsidRPr="0031407F">
        <w:rPr>
          <w:rFonts w:ascii="Arial" w:hAnsi="Arial" w:cs="Arial"/>
          <w:sz w:val="24"/>
          <w:szCs w:val="24"/>
          <w:vertAlign w:val="superscript"/>
        </w:rPr>
        <w:t>th</w:t>
      </w:r>
      <w:r w:rsidR="0031407F">
        <w:rPr>
          <w:rFonts w:ascii="Arial" w:hAnsi="Arial" w:cs="Arial"/>
          <w:sz w:val="24"/>
          <w:szCs w:val="24"/>
        </w:rPr>
        <w:t>, engaged in a dialogue with the non-conflicted members of the New gTLD Board Committee (NGPC) about how to have a constructive dialogue over the coming months geared toward understanding all</w:t>
      </w:r>
      <w:r w:rsidR="00DF599C">
        <w:rPr>
          <w:rFonts w:ascii="Arial" w:hAnsi="Arial" w:cs="Arial"/>
          <w:sz w:val="24"/>
          <w:szCs w:val="24"/>
        </w:rPr>
        <w:t>,</w:t>
      </w:r>
      <w:r w:rsidR="0031407F">
        <w:rPr>
          <w:rFonts w:ascii="Arial" w:hAnsi="Arial" w:cs="Arial"/>
          <w:sz w:val="24"/>
          <w:szCs w:val="24"/>
        </w:rPr>
        <w:t xml:space="preserve"> and implementing </w:t>
      </w:r>
      <w:r w:rsidR="0046392B">
        <w:rPr>
          <w:rFonts w:ascii="Arial" w:hAnsi="Arial" w:cs="Arial"/>
          <w:sz w:val="24"/>
          <w:szCs w:val="24"/>
        </w:rPr>
        <w:t xml:space="preserve">at least </w:t>
      </w:r>
      <w:r w:rsidR="0031407F">
        <w:rPr>
          <w:rFonts w:ascii="Arial" w:hAnsi="Arial" w:cs="Arial"/>
          <w:sz w:val="24"/>
          <w:szCs w:val="24"/>
        </w:rPr>
        <w:t>some parts</w:t>
      </w:r>
      <w:r w:rsidR="00DF599C">
        <w:rPr>
          <w:rFonts w:ascii="Arial" w:hAnsi="Arial" w:cs="Arial"/>
          <w:sz w:val="24"/>
          <w:szCs w:val="24"/>
        </w:rPr>
        <w:t>,</w:t>
      </w:r>
      <w:r w:rsidR="0031407F">
        <w:rPr>
          <w:rFonts w:ascii="Arial" w:hAnsi="Arial" w:cs="Arial"/>
          <w:sz w:val="24"/>
          <w:szCs w:val="24"/>
        </w:rPr>
        <w:t xml:space="preserve"> of the GAC’s safeguard advice for “sensitive” new gTLD strings encompassing regulated industries and professions.</w:t>
      </w:r>
    </w:p>
    <w:p w:rsidR="0031407F" w:rsidRDefault="0031407F" w:rsidP="000A3DA3">
      <w:pPr>
        <w:jc w:val="both"/>
        <w:rPr>
          <w:rFonts w:ascii="Arial" w:hAnsi="Arial" w:cs="Arial"/>
          <w:sz w:val="24"/>
          <w:szCs w:val="24"/>
        </w:rPr>
      </w:pPr>
      <w:r>
        <w:rPr>
          <w:rFonts w:ascii="Arial" w:hAnsi="Arial" w:cs="Arial"/>
          <w:sz w:val="24"/>
          <w:szCs w:val="24"/>
        </w:rPr>
        <w:t xml:space="preserve">The difficult dialogue was somewhat unexpected, as earlier indications had been that the NGPC was moving toward </w:t>
      </w:r>
      <w:r w:rsidR="00DF599C">
        <w:rPr>
          <w:rFonts w:ascii="Arial" w:hAnsi="Arial" w:cs="Arial"/>
          <w:sz w:val="24"/>
          <w:szCs w:val="24"/>
        </w:rPr>
        <w:t xml:space="preserve">broad </w:t>
      </w:r>
      <w:r>
        <w:rPr>
          <w:rFonts w:ascii="Arial" w:hAnsi="Arial" w:cs="Arial"/>
          <w:sz w:val="24"/>
          <w:szCs w:val="24"/>
        </w:rPr>
        <w:t xml:space="preserve">implementation of the safeguards. The NGPC’s July </w:t>
      </w:r>
      <w:r w:rsidR="00D40CEA">
        <w:rPr>
          <w:rFonts w:ascii="Arial" w:hAnsi="Arial" w:cs="Arial"/>
          <w:sz w:val="24"/>
          <w:szCs w:val="24"/>
        </w:rPr>
        <w:t>2</w:t>
      </w:r>
      <w:r w:rsidR="00D40CEA" w:rsidRPr="00D40CEA">
        <w:rPr>
          <w:rFonts w:ascii="Arial" w:hAnsi="Arial" w:cs="Arial"/>
          <w:sz w:val="24"/>
          <w:szCs w:val="24"/>
          <w:vertAlign w:val="superscript"/>
        </w:rPr>
        <w:t>nd</w:t>
      </w:r>
      <w:r w:rsidR="00D40CEA">
        <w:rPr>
          <w:rFonts w:ascii="Arial" w:hAnsi="Arial" w:cs="Arial"/>
          <w:sz w:val="24"/>
          <w:szCs w:val="24"/>
        </w:rPr>
        <w:t xml:space="preserve"> </w:t>
      </w:r>
      <w:r>
        <w:rPr>
          <w:rFonts w:ascii="Arial" w:hAnsi="Arial" w:cs="Arial"/>
          <w:sz w:val="24"/>
          <w:szCs w:val="24"/>
        </w:rPr>
        <w:t>resolution on the matter</w:t>
      </w:r>
      <w:r>
        <w:rPr>
          <w:rStyle w:val="FootnoteReference"/>
          <w:rFonts w:ascii="Arial" w:hAnsi="Arial" w:cs="Arial"/>
          <w:sz w:val="24"/>
          <w:szCs w:val="24"/>
        </w:rPr>
        <w:footnoteReference w:id="1"/>
      </w:r>
      <w:r>
        <w:rPr>
          <w:rFonts w:ascii="Arial" w:hAnsi="Arial" w:cs="Arial"/>
          <w:sz w:val="24"/>
          <w:szCs w:val="24"/>
        </w:rPr>
        <w:t xml:space="preserve"> stated:</w:t>
      </w:r>
    </w:p>
    <w:p w:rsidR="0031407F" w:rsidRDefault="0031407F" w:rsidP="0031407F">
      <w:pPr>
        <w:ind w:left="720"/>
        <w:jc w:val="both"/>
        <w:rPr>
          <w:rFonts w:ascii="Arial" w:hAnsi="Arial" w:cs="Arial"/>
          <w:sz w:val="24"/>
          <w:szCs w:val="24"/>
          <w:lang w:val="en"/>
        </w:rPr>
      </w:pPr>
      <w:r w:rsidRPr="0031407F">
        <w:rPr>
          <w:rFonts w:ascii="Arial" w:hAnsi="Arial" w:cs="Arial"/>
          <w:sz w:val="24"/>
          <w:szCs w:val="24"/>
          <w:lang w:val="en"/>
        </w:rPr>
        <w:t>After considering the community comments, the NGPC decided to begin a dialogue with the GAC during the ICANN Meeting in Durban to clarify the scope of the requirements provided in the Category 1 Safeguard Advice. The dialogue with the GAC on Category 1 will also include discussion of GAC's Category 2.1 Safeguard Advice regarding "Restricted Access" since that advice applies to the strings listed under Category 1. Pending the dialogue with the GAC, staff will defer moving forward with the contracting process for applicants who have applied for TLD strings listed in the GAC's Category 1 Safeguard Advice.</w:t>
      </w:r>
    </w:p>
    <w:p w:rsidR="0031407F" w:rsidRDefault="0031407F" w:rsidP="0031407F">
      <w:pPr>
        <w:jc w:val="both"/>
        <w:rPr>
          <w:rFonts w:ascii="Arial" w:hAnsi="Arial" w:cs="Arial"/>
          <w:sz w:val="24"/>
          <w:szCs w:val="24"/>
          <w:lang w:val="en"/>
        </w:rPr>
      </w:pPr>
      <w:r>
        <w:rPr>
          <w:rFonts w:ascii="Arial" w:hAnsi="Arial" w:cs="Arial"/>
          <w:sz w:val="24"/>
          <w:szCs w:val="24"/>
          <w:lang w:val="en"/>
        </w:rPr>
        <w:t xml:space="preserve">That </w:t>
      </w:r>
      <w:r w:rsidR="00D40CEA">
        <w:rPr>
          <w:rFonts w:ascii="Arial" w:hAnsi="Arial" w:cs="Arial"/>
          <w:sz w:val="24"/>
          <w:szCs w:val="24"/>
          <w:lang w:val="en"/>
        </w:rPr>
        <w:t xml:space="preserve">decision </w:t>
      </w:r>
      <w:r>
        <w:rPr>
          <w:rFonts w:ascii="Arial" w:hAnsi="Arial" w:cs="Arial"/>
          <w:sz w:val="24"/>
          <w:szCs w:val="24"/>
          <w:lang w:val="en"/>
        </w:rPr>
        <w:t xml:space="preserve">put hundreds of new gTLD applications on hold – the exact number is unavailable because the GAC’s list of such sensitive strings was non-exhaustive, implying that many unlisted applications may fall within </w:t>
      </w:r>
      <w:r w:rsidR="00D40CEA">
        <w:rPr>
          <w:rFonts w:ascii="Arial" w:hAnsi="Arial" w:cs="Arial"/>
          <w:sz w:val="24"/>
          <w:szCs w:val="24"/>
          <w:lang w:val="en"/>
        </w:rPr>
        <w:t>its scope</w:t>
      </w:r>
      <w:r>
        <w:rPr>
          <w:rFonts w:ascii="Arial" w:hAnsi="Arial" w:cs="Arial"/>
          <w:sz w:val="24"/>
          <w:szCs w:val="24"/>
          <w:lang w:val="en"/>
        </w:rPr>
        <w:t>.</w:t>
      </w:r>
      <w:r w:rsidR="00D40CEA">
        <w:rPr>
          <w:rFonts w:ascii="Arial" w:hAnsi="Arial" w:cs="Arial"/>
          <w:sz w:val="24"/>
          <w:szCs w:val="24"/>
          <w:lang w:val="en"/>
        </w:rPr>
        <w:t xml:space="preserve"> </w:t>
      </w:r>
    </w:p>
    <w:p w:rsidR="00D40CEA" w:rsidRDefault="00D40CEA" w:rsidP="0031407F">
      <w:pPr>
        <w:jc w:val="both"/>
        <w:rPr>
          <w:rFonts w:ascii="Arial" w:hAnsi="Arial" w:cs="Arial"/>
          <w:bCs/>
          <w:sz w:val="24"/>
          <w:szCs w:val="24"/>
          <w:lang w:val="en"/>
        </w:rPr>
      </w:pPr>
      <w:r>
        <w:rPr>
          <w:rFonts w:ascii="Arial" w:hAnsi="Arial" w:cs="Arial"/>
          <w:sz w:val="24"/>
          <w:szCs w:val="24"/>
        </w:rPr>
        <w:t xml:space="preserve">In light of that action, many GAC members were visibly taken aback when the first NGPC slide displayed at the meeting stated that it was not </w:t>
      </w:r>
      <w:r w:rsidR="0046392B">
        <w:rPr>
          <w:rFonts w:ascii="Arial" w:hAnsi="Arial" w:cs="Arial"/>
          <w:sz w:val="24"/>
          <w:szCs w:val="24"/>
        </w:rPr>
        <w:t xml:space="preserve">(yet) </w:t>
      </w:r>
      <w:r>
        <w:rPr>
          <w:rFonts w:ascii="Arial" w:hAnsi="Arial" w:cs="Arial"/>
          <w:sz w:val="24"/>
          <w:szCs w:val="24"/>
        </w:rPr>
        <w:t>rejecting the GAC advice – a negative spin that set the stra</w:t>
      </w:r>
      <w:r w:rsidR="0046392B">
        <w:rPr>
          <w:rFonts w:ascii="Arial" w:hAnsi="Arial" w:cs="Arial"/>
          <w:sz w:val="24"/>
          <w:szCs w:val="24"/>
        </w:rPr>
        <w:t>ined tone for</w:t>
      </w:r>
      <w:r>
        <w:rPr>
          <w:rFonts w:ascii="Arial" w:hAnsi="Arial" w:cs="Arial"/>
          <w:sz w:val="24"/>
          <w:szCs w:val="24"/>
        </w:rPr>
        <w:t xml:space="preserve"> the meeting. It also became apparent that, just two days prior to the get-together, the NGPC had sent GAC members </w:t>
      </w:r>
      <w:r w:rsidR="00007F9E">
        <w:rPr>
          <w:rFonts w:ascii="Arial" w:hAnsi="Arial" w:cs="Arial"/>
          <w:sz w:val="24"/>
          <w:szCs w:val="24"/>
        </w:rPr>
        <w:t>a 6-page document entitled “Question and Concerns Regarding Portions of the GAC’s Safeguard Advice”. While th</w:t>
      </w:r>
      <w:r w:rsidR="003F75C2">
        <w:rPr>
          <w:rFonts w:ascii="Arial" w:hAnsi="Arial" w:cs="Arial"/>
          <w:sz w:val="24"/>
          <w:szCs w:val="24"/>
        </w:rPr>
        <w:t>at paper is not yet available on</w:t>
      </w:r>
      <w:r w:rsidR="00007F9E">
        <w:rPr>
          <w:rFonts w:ascii="Arial" w:hAnsi="Arial" w:cs="Arial"/>
          <w:sz w:val="24"/>
          <w:szCs w:val="24"/>
        </w:rPr>
        <w:t xml:space="preserve"> the ICANN website, it largely tracks the catalogue</w:t>
      </w:r>
      <w:r w:rsidR="0046392B">
        <w:rPr>
          <w:rFonts w:ascii="Arial" w:hAnsi="Arial" w:cs="Arial"/>
          <w:sz w:val="24"/>
          <w:szCs w:val="24"/>
        </w:rPr>
        <w:t xml:space="preserve"> of questions</w:t>
      </w:r>
      <w:r w:rsidR="00007F9E">
        <w:rPr>
          <w:rFonts w:ascii="Arial" w:hAnsi="Arial" w:cs="Arial"/>
          <w:sz w:val="24"/>
          <w:szCs w:val="24"/>
        </w:rPr>
        <w:t xml:space="preserve"> appearing under the heading “</w:t>
      </w:r>
      <w:r w:rsidR="00007F9E" w:rsidRPr="00007F9E">
        <w:rPr>
          <w:rFonts w:ascii="Arial" w:hAnsi="Arial" w:cs="Arial"/>
          <w:bCs/>
          <w:sz w:val="24"/>
          <w:szCs w:val="24"/>
          <w:lang w:val="en"/>
        </w:rPr>
        <w:t>What concerns or issues were raised by the community?</w:t>
      </w:r>
      <w:r w:rsidR="00007F9E">
        <w:rPr>
          <w:rFonts w:ascii="Arial" w:hAnsi="Arial" w:cs="Arial"/>
          <w:bCs/>
          <w:sz w:val="24"/>
          <w:szCs w:val="24"/>
          <w:lang w:val="en"/>
        </w:rPr>
        <w:t>” in that July 2</w:t>
      </w:r>
      <w:r w:rsidR="00007F9E" w:rsidRPr="00007F9E">
        <w:rPr>
          <w:rFonts w:ascii="Arial" w:hAnsi="Arial" w:cs="Arial"/>
          <w:bCs/>
          <w:sz w:val="24"/>
          <w:szCs w:val="24"/>
          <w:vertAlign w:val="superscript"/>
          <w:lang w:val="en"/>
        </w:rPr>
        <w:t>nd</w:t>
      </w:r>
      <w:r w:rsidR="00007F9E">
        <w:rPr>
          <w:rFonts w:ascii="Arial" w:hAnsi="Arial" w:cs="Arial"/>
          <w:bCs/>
          <w:sz w:val="24"/>
          <w:szCs w:val="24"/>
          <w:lang w:val="en"/>
        </w:rPr>
        <w:t xml:space="preserve"> resol</w:t>
      </w:r>
      <w:r w:rsidR="0046392B">
        <w:rPr>
          <w:rFonts w:ascii="Arial" w:hAnsi="Arial" w:cs="Arial"/>
          <w:bCs/>
          <w:sz w:val="24"/>
          <w:szCs w:val="24"/>
          <w:lang w:val="en"/>
        </w:rPr>
        <w:t>ution, including statements expressing concerns about</w:t>
      </w:r>
      <w:r w:rsidR="00007F9E">
        <w:rPr>
          <w:rFonts w:ascii="Arial" w:hAnsi="Arial" w:cs="Arial"/>
          <w:bCs/>
          <w:sz w:val="24"/>
          <w:szCs w:val="24"/>
          <w:lang w:val="en"/>
        </w:rPr>
        <w:t>:</w:t>
      </w:r>
    </w:p>
    <w:p w:rsidR="00007F9E" w:rsidRDefault="00007F9E" w:rsidP="00007F9E">
      <w:pPr>
        <w:pStyle w:val="ListParagraph"/>
        <w:numPr>
          <w:ilvl w:val="0"/>
          <w:numId w:val="1"/>
        </w:numPr>
        <w:jc w:val="both"/>
        <w:rPr>
          <w:rFonts w:ascii="Arial" w:hAnsi="Arial" w:cs="Arial"/>
          <w:sz w:val="24"/>
          <w:szCs w:val="24"/>
        </w:rPr>
      </w:pPr>
      <w:r>
        <w:rPr>
          <w:rFonts w:ascii="Arial" w:hAnsi="Arial" w:cs="Arial"/>
          <w:sz w:val="24"/>
          <w:szCs w:val="24"/>
        </w:rPr>
        <w:t>Inconsistency in the list of strings, with broad and undefined categories</w:t>
      </w:r>
    </w:p>
    <w:p w:rsidR="00007F9E" w:rsidRDefault="00007F9E" w:rsidP="00007F9E">
      <w:pPr>
        <w:pStyle w:val="ListParagraph"/>
        <w:numPr>
          <w:ilvl w:val="0"/>
          <w:numId w:val="1"/>
        </w:numPr>
        <w:jc w:val="both"/>
        <w:rPr>
          <w:rFonts w:ascii="Arial" w:hAnsi="Arial" w:cs="Arial"/>
          <w:sz w:val="24"/>
          <w:szCs w:val="24"/>
        </w:rPr>
      </w:pPr>
      <w:r>
        <w:rPr>
          <w:rFonts w:ascii="Arial" w:hAnsi="Arial" w:cs="Arial"/>
          <w:sz w:val="24"/>
          <w:szCs w:val="24"/>
        </w:rPr>
        <w:lastRenderedPageBreak/>
        <w:t>Strings encompassing a range of individuals, businesses and associations, some licensed and some not</w:t>
      </w:r>
    </w:p>
    <w:p w:rsidR="00007F9E" w:rsidRDefault="00007F9E" w:rsidP="00007F9E">
      <w:pPr>
        <w:pStyle w:val="ListParagraph"/>
        <w:numPr>
          <w:ilvl w:val="0"/>
          <w:numId w:val="1"/>
        </w:numPr>
        <w:jc w:val="both"/>
        <w:rPr>
          <w:rFonts w:ascii="Arial" w:hAnsi="Arial" w:cs="Arial"/>
          <w:sz w:val="24"/>
          <w:szCs w:val="24"/>
        </w:rPr>
      </w:pPr>
      <w:r>
        <w:rPr>
          <w:rFonts w:ascii="Arial" w:hAnsi="Arial" w:cs="Arial"/>
          <w:sz w:val="24"/>
          <w:szCs w:val="24"/>
        </w:rPr>
        <w:t>Difficulty in determining industry self-regulatory organizations</w:t>
      </w:r>
    </w:p>
    <w:p w:rsidR="00007F9E" w:rsidRDefault="00007F9E" w:rsidP="00007F9E">
      <w:pPr>
        <w:pStyle w:val="ListParagraph"/>
        <w:numPr>
          <w:ilvl w:val="0"/>
          <w:numId w:val="1"/>
        </w:numPr>
        <w:jc w:val="both"/>
        <w:rPr>
          <w:rFonts w:ascii="Arial" w:hAnsi="Arial" w:cs="Arial"/>
          <w:sz w:val="24"/>
          <w:szCs w:val="24"/>
        </w:rPr>
      </w:pPr>
      <w:r>
        <w:rPr>
          <w:rFonts w:ascii="Arial" w:hAnsi="Arial" w:cs="Arial"/>
          <w:sz w:val="24"/>
          <w:szCs w:val="24"/>
        </w:rPr>
        <w:t>Generic terms that are sensitive or regulated in some jurisdictions but not others</w:t>
      </w:r>
    </w:p>
    <w:p w:rsidR="00007F9E" w:rsidRDefault="00007F9E" w:rsidP="00007F9E">
      <w:pPr>
        <w:pStyle w:val="ListParagraph"/>
        <w:numPr>
          <w:ilvl w:val="0"/>
          <w:numId w:val="1"/>
        </w:numPr>
        <w:jc w:val="both"/>
        <w:rPr>
          <w:rFonts w:ascii="Arial" w:hAnsi="Arial" w:cs="Arial"/>
          <w:sz w:val="24"/>
          <w:szCs w:val="24"/>
        </w:rPr>
      </w:pPr>
      <w:r>
        <w:rPr>
          <w:rFonts w:ascii="Arial" w:hAnsi="Arial" w:cs="Arial"/>
          <w:sz w:val="24"/>
          <w:szCs w:val="24"/>
        </w:rPr>
        <w:t xml:space="preserve">Lack of a principled basis for distinguishing between certain categories and strings, some appearing on that non-exhaustive GAC list while others </w:t>
      </w:r>
      <w:r w:rsidR="0046392B">
        <w:rPr>
          <w:rFonts w:ascii="Arial" w:hAnsi="Arial" w:cs="Arial"/>
          <w:sz w:val="24"/>
          <w:szCs w:val="24"/>
        </w:rPr>
        <w:t>do</w:t>
      </w:r>
      <w:r>
        <w:rPr>
          <w:rFonts w:ascii="Arial" w:hAnsi="Arial" w:cs="Arial"/>
          <w:sz w:val="24"/>
          <w:szCs w:val="24"/>
        </w:rPr>
        <w:t xml:space="preserve"> not</w:t>
      </w:r>
    </w:p>
    <w:p w:rsidR="00007F9E" w:rsidRDefault="00007F9E" w:rsidP="00007F9E">
      <w:pPr>
        <w:pStyle w:val="ListParagraph"/>
        <w:numPr>
          <w:ilvl w:val="0"/>
          <w:numId w:val="1"/>
        </w:numPr>
        <w:jc w:val="both"/>
        <w:rPr>
          <w:rFonts w:ascii="Arial" w:hAnsi="Arial" w:cs="Arial"/>
          <w:sz w:val="24"/>
          <w:szCs w:val="24"/>
        </w:rPr>
      </w:pPr>
      <w:r>
        <w:rPr>
          <w:rFonts w:ascii="Arial" w:hAnsi="Arial" w:cs="Arial"/>
          <w:sz w:val="24"/>
          <w:szCs w:val="24"/>
        </w:rPr>
        <w:t>Proposed safeguards</w:t>
      </w:r>
      <w:r w:rsidR="0046392B">
        <w:rPr>
          <w:rFonts w:ascii="Arial" w:hAnsi="Arial" w:cs="Arial"/>
          <w:sz w:val="24"/>
          <w:szCs w:val="24"/>
        </w:rPr>
        <w:t xml:space="preserve"> that appear</w:t>
      </w:r>
      <w:r>
        <w:rPr>
          <w:rFonts w:ascii="Arial" w:hAnsi="Arial" w:cs="Arial"/>
          <w:sz w:val="24"/>
          <w:szCs w:val="24"/>
        </w:rPr>
        <w:t xml:space="preserve"> related to website content, a subject beyond ICANN’s authority</w:t>
      </w:r>
    </w:p>
    <w:p w:rsidR="00007F9E" w:rsidRDefault="00007F9E" w:rsidP="00007F9E">
      <w:pPr>
        <w:pStyle w:val="ListParagraph"/>
        <w:numPr>
          <w:ilvl w:val="0"/>
          <w:numId w:val="1"/>
        </w:numPr>
        <w:jc w:val="both"/>
        <w:rPr>
          <w:rFonts w:ascii="Arial" w:hAnsi="Arial" w:cs="Arial"/>
          <w:sz w:val="24"/>
          <w:szCs w:val="24"/>
        </w:rPr>
      </w:pPr>
      <w:r>
        <w:rPr>
          <w:rFonts w:ascii="Arial" w:hAnsi="Arial" w:cs="Arial"/>
          <w:sz w:val="24"/>
          <w:szCs w:val="24"/>
        </w:rPr>
        <w:t>Questions about whether the registry operator is the appropriate entity to enforce certain safeguards</w:t>
      </w:r>
    </w:p>
    <w:p w:rsidR="00007F9E" w:rsidRDefault="0041671D" w:rsidP="00007F9E">
      <w:pPr>
        <w:pStyle w:val="ListParagraph"/>
        <w:numPr>
          <w:ilvl w:val="0"/>
          <w:numId w:val="1"/>
        </w:numPr>
        <w:jc w:val="both"/>
        <w:rPr>
          <w:rFonts w:ascii="Arial" w:hAnsi="Arial" w:cs="Arial"/>
          <w:sz w:val="24"/>
          <w:szCs w:val="24"/>
        </w:rPr>
      </w:pPr>
      <w:r>
        <w:rPr>
          <w:rFonts w:ascii="Arial" w:hAnsi="Arial" w:cs="Arial"/>
          <w:sz w:val="24"/>
          <w:szCs w:val="24"/>
        </w:rPr>
        <w:t>Unresolved contract enforcement issues</w:t>
      </w:r>
    </w:p>
    <w:p w:rsidR="0041671D" w:rsidRDefault="0041671D" w:rsidP="00007F9E">
      <w:pPr>
        <w:pStyle w:val="ListParagraph"/>
        <w:numPr>
          <w:ilvl w:val="0"/>
          <w:numId w:val="1"/>
        </w:numPr>
        <w:jc w:val="both"/>
        <w:rPr>
          <w:rFonts w:ascii="Arial" w:hAnsi="Arial" w:cs="Arial"/>
          <w:sz w:val="24"/>
          <w:szCs w:val="24"/>
        </w:rPr>
      </w:pPr>
      <w:r>
        <w:rPr>
          <w:rFonts w:ascii="Arial" w:hAnsi="Arial" w:cs="Arial"/>
          <w:sz w:val="24"/>
          <w:szCs w:val="24"/>
        </w:rPr>
        <w:t>Differential treatment of commercial and non-commercial gTLDs</w:t>
      </w:r>
    </w:p>
    <w:p w:rsidR="0041671D" w:rsidRDefault="0041671D" w:rsidP="00007F9E">
      <w:pPr>
        <w:pStyle w:val="ListParagraph"/>
        <w:numPr>
          <w:ilvl w:val="0"/>
          <w:numId w:val="1"/>
        </w:numPr>
        <w:jc w:val="both"/>
        <w:rPr>
          <w:rFonts w:ascii="Arial" w:hAnsi="Arial" w:cs="Arial"/>
          <w:sz w:val="24"/>
          <w:szCs w:val="24"/>
        </w:rPr>
      </w:pPr>
      <w:r>
        <w:rPr>
          <w:rFonts w:ascii="Arial" w:hAnsi="Arial" w:cs="Arial"/>
          <w:sz w:val="24"/>
          <w:szCs w:val="24"/>
        </w:rPr>
        <w:t xml:space="preserve">Potential discrimination against users in developing nations where regulatory structures are thin or lacking – and against those in developed nations with </w:t>
      </w:r>
      <w:r w:rsidR="0046392B">
        <w:rPr>
          <w:rFonts w:ascii="Arial" w:hAnsi="Arial" w:cs="Arial"/>
          <w:sz w:val="24"/>
          <w:szCs w:val="24"/>
        </w:rPr>
        <w:t xml:space="preserve">very </w:t>
      </w:r>
      <w:r>
        <w:rPr>
          <w:rFonts w:ascii="Arial" w:hAnsi="Arial" w:cs="Arial"/>
          <w:sz w:val="24"/>
          <w:szCs w:val="24"/>
        </w:rPr>
        <w:t>extensive regulatory structures</w:t>
      </w:r>
    </w:p>
    <w:p w:rsidR="0041671D" w:rsidRDefault="0041671D" w:rsidP="00007F9E">
      <w:pPr>
        <w:pStyle w:val="ListParagraph"/>
        <w:numPr>
          <w:ilvl w:val="0"/>
          <w:numId w:val="1"/>
        </w:numPr>
        <w:jc w:val="both"/>
        <w:rPr>
          <w:rFonts w:ascii="Arial" w:hAnsi="Arial" w:cs="Arial"/>
          <w:sz w:val="24"/>
          <w:szCs w:val="24"/>
        </w:rPr>
      </w:pPr>
      <w:r>
        <w:rPr>
          <w:rFonts w:ascii="Arial" w:hAnsi="Arial" w:cs="Arial"/>
          <w:sz w:val="24"/>
          <w:szCs w:val="24"/>
        </w:rPr>
        <w:t>Hazy identification of the risks that restricted registration policies aim to address</w:t>
      </w:r>
    </w:p>
    <w:p w:rsidR="0041671D" w:rsidRDefault="0041671D" w:rsidP="0041671D">
      <w:pPr>
        <w:jc w:val="both"/>
        <w:rPr>
          <w:rFonts w:ascii="Arial" w:hAnsi="Arial" w:cs="Arial"/>
          <w:sz w:val="24"/>
          <w:szCs w:val="24"/>
        </w:rPr>
      </w:pPr>
      <w:r>
        <w:rPr>
          <w:rFonts w:ascii="Arial" w:hAnsi="Arial" w:cs="Arial"/>
          <w:sz w:val="24"/>
          <w:szCs w:val="24"/>
        </w:rPr>
        <w:t xml:space="preserve">That long list just scratches the surface of the complex and interrelated issues to be resolved before ICANN can decide which </w:t>
      </w:r>
      <w:r w:rsidR="0046392B">
        <w:rPr>
          <w:rFonts w:ascii="Arial" w:hAnsi="Arial" w:cs="Arial"/>
          <w:sz w:val="24"/>
          <w:szCs w:val="24"/>
        </w:rPr>
        <w:t>parts of the safeguard advice it will</w:t>
      </w:r>
      <w:r>
        <w:rPr>
          <w:rFonts w:ascii="Arial" w:hAnsi="Arial" w:cs="Arial"/>
          <w:sz w:val="24"/>
          <w:szCs w:val="24"/>
        </w:rPr>
        <w:t xml:space="preserve"> ultimately embrace and implement – much less how that is to be accom</w:t>
      </w:r>
      <w:r w:rsidR="00E56DCD">
        <w:rPr>
          <w:rFonts w:ascii="Arial" w:hAnsi="Arial" w:cs="Arial"/>
          <w:sz w:val="24"/>
          <w:szCs w:val="24"/>
        </w:rPr>
        <w:t>p</w:t>
      </w:r>
      <w:r>
        <w:rPr>
          <w:rFonts w:ascii="Arial" w:hAnsi="Arial" w:cs="Arial"/>
          <w:sz w:val="24"/>
          <w:szCs w:val="24"/>
        </w:rPr>
        <w:t xml:space="preserve">lished. </w:t>
      </w:r>
    </w:p>
    <w:p w:rsidR="00E56DCD" w:rsidRDefault="00E56DCD" w:rsidP="0041671D">
      <w:pPr>
        <w:jc w:val="both"/>
        <w:rPr>
          <w:rFonts w:ascii="Arial" w:hAnsi="Arial" w:cs="Arial"/>
          <w:sz w:val="24"/>
          <w:szCs w:val="24"/>
        </w:rPr>
      </w:pPr>
      <w:r>
        <w:rPr>
          <w:rFonts w:ascii="Arial" w:hAnsi="Arial" w:cs="Arial"/>
          <w:sz w:val="24"/>
          <w:szCs w:val="24"/>
        </w:rPr>
        <w:t>With the issues thus framed, it was difficult at times to discern whether the dialogue was moving forward, sideways, or backwards. The European Community representative said the GAC’s role was to provide high level clarification, not precise implementation.  The UK representative expressed disappointment and suggested it was the NGPC’s role</w:t>
      </w:r>
      <w:r w:rsidR="0046392B">
        <w:rPr>
          <w:rFonts w:ascii="Arial" w:hAnsi="Arial" w:cs="Arial"/>
          <w:sz w:val="24"/>
          <w:szCs w:val="24"/>
        </w:rPr>
        <w:t>, not the GAC’s,</w:t>
      </w:r>
      <w:r>
        <w:rPr>
          <w:rFonts w:ascii="Arial" w:hAnsi="Arial" w:cs="Arial"/>
          <w:sz w:val="24"/>
          <w:szCs w:val="24"/>
        </w:rPr>
        <w:t xml:space="preserve"> to compile a proposed list of </w:t>
      </w:r>
      <w:r w:rsidR="0046392B">
        <w:rPr>
          <w:rFonts w:ascii="Arial" w:hAnsi="Arial" w:cs="Arial"/>
          <w:sz w:val="24"/>
          <w:szCs w:val="24"/>
        </w:rPr>
        <w:t xml:space="preserve">all </w:t>
      </w:r>
      <w:r>
        <w:rPr>
          <w:rFonts w:ascii="Arial" w:hAnsi="Arial" w:cs="Arial"/>
          <w:sz w:val="24"/>
          <w:szCs w:val="24"/>
        </w:rPr>
        <w:t xml:space="preserve">affected </w:t>
      </w:r>
      <w:r w:rsidR="0046392B">
        <w:rPr>
          <w:rFonts w:ascii="Arial" w:hAnsi="Arial" w:cs="Arial"/>
          <w:sz w:val="24"/>
          <w:szCs w:val="24"/>
        </w:rPr>
        <w:t>strings to be shared with the G</w:t>
      </w:r>
      <w:r>
        <w:rPr>
          <w:rFonts w:ascii="Arial" w:hAnsi="Arial" w:cs="Arial"/>
          <w:sz w:val="24"/>
          <w:szCs w:val="24"/>
        </w:rPr>
        <w:t>AC and the overall ICANN Community. The US suggested that the GAC should revisit the advice with the aim of assisting the NGPC’s understanding and implementation.</w:t>
      </w:r>
      <w:r w:rsidR="00BE6D77">
        <w:rPr>
          <w:rFonts w:ascii="Arial" w:hAnsi="Arial" w:cs="Arial"/>
          <w:sz w:val="24"/>
          <w:szCs w:val="24"/>
        </w:rPr>
        <w:t xml:space="preserve"> All parties agreed that the task ahead would be complex, pioneering, unprecedented, and challenging, and that the necessary dialogue would take many months (probably all the way up to the November ICANN meeting in Buenos Aries</w:t>
      </w:r>
      <w:r w:rsidR="003F75C2">
        <w:rPr>
          <w:rFonts w:ascii="Arial" w:hAnsi="Arial" w:cs="Arial"/>
          <w:sz w:val="24"/>
          <w:szCs w:val="24"/>
        </w:rPr>
        <w:t>, if not beyond</w:t>
      </w:r>
      <w:r w:rsidR="00BE6D77">
        <w:rPr>
          <w:rFonts w:ascii="Arial" w:hAnsi="Arial" w:cs="Arial"/>
          <w:sz w:val="24"/>
          <w:szCs w:val="24"/>
        </w:rPr>
        <w:t>).</w:t>
      </w:r>
    </w:p>
    <w:p w:rsidR="00BE6D77" w:rsidRDefault="00BE6D77" w:rsidP="0041671D">
      <w:pPr>
        <w:jc w:val="both"/>
        <w:rPr>
          <w:rFonts w:ascii="Arial" w:hAnsi="Arial" w:cs="Arial"/>
          <w:sz w:val="24"/>
          <w:szCs w:val="24"/>
        </w:rPr>
      </w:pPr>
      <w:r>
        <w:rPr>
          <w:rFonts w:ascii="Arial" w:hAnsi="Arial" w:cs="Arial"/>
          <w:sz w:val="24"/>
          <w:szCs w:val="24"/>
        </w:rPr>
        <w:t xml:space="preserve">The meeting ended with both sides trying to put the best face on it, with the GAC Chair </w:t>
      </w:r>
      <w:r w:rsidR="003F75C2">
        <w:rPr>
          <w:rFonts w:ascii="Arial" w:hAnsi="Arial" w:cs="Arial"/>
          <w:sz w:val="24"/>
          <w:szCs w:val="24"/>
        </w:rPr>
        <w:t>thanking the NGPC for its hard work since Beijing</w:t>
      </w:r>
      <w:r w:rsidR="006F6E1B">
        <w:rPr>
          <w:rStyle w:val="FootnoteReference"/>
          <w:rFonts w:ascii="Arial" w:hAnsi="Arial" w:cs="Arial"/>
          <w:sz w:val="24"/>
          <w:szCs w:val="24"/>
        </w:rPr>
        <w:footnoteReference w:id="2"/>
      </w:r>
      <w:r w:rsidR="003F75C2">
        <w:rPr>
          <w:rFonts w:ascii="Arial" w:hAnsi="Arial" w:cs="Arial"/>
          <w:sz w:val="24"/>
          <w:szCs w:val="24"/>
        </w:rPr>
        <w:t xml:space="preserve"> and </w:t>
      </w:r>
      <w:r>
        <w:rPr>
          <w:rFonts w:ascii="Arial" w:hAnsi="Arial" w:cs="Arial"/>
          <w:sz w:val="24"/>
          <w:szCs w:val="24"/>
        </w:rPr>
        <w:t>stating that the discussion had been positive and that the GAC would consider how to best provide further guidance to the NGPC. And most probably the GAC will labor over the next few days to produce a Durban Communique that at least proposes a procedural way forward.</w:t>
      </w:r>
    </w:p>
    <w:p w:rsidR="00523BF7" w:rsidRDefault="00BE6D77" w:rsidP="0041671D">
      <w:pPr>
        <w:jc w:val="both"/>
        <w:rPr>
          <w:rFonts w:ascii="Arial" w:hAnsi="Arial" w:cs="Arial"/>
          <w:sz w:val="24"/>
          <w:szCs w:val="24"/>
        </w:rPr>
      </w:pPr>
      <w:r>
        <w:rPr>
          <w:rFonts w:ascii="Arial" w:hAnsi="Arial" w:cs="Arial"/>
          <w:sz w:val="24"/>
          <w:szCs w:val="24"/>
        </w:rPr>
        <w:lastRenderedPageBreak/>
        <w:t xml:space="preserve">Yet the clear message coming out of the meeting is that new gTLD applications have been bifurcated into two broad categories – those that are clearly not related to sensitive strings and regulated sectors </w:t>
      </w:r>
      <w:r w:rsidR="0046392B">
        <w:rPr>
          <w:rFonts w:ascii="Arial" w:hAnsi="Arial" w:cs="Arial"/>
          <w:sz w:val="24"/>
          <w:szCs w:val="24"/>
        </w:rPr>
        <w:t xml:space="preserve">and </w:t>
      </w:r>
      <w:r>
        <w:rPr>
          <w:rFonts w:ascii="Arial" w:hAnsi="Arial" w:cs="Arial"/>
          <w:sz w:val="24"/>
          <w:szCs w:val="24"/>
        </w:rPr>
        <w:t>which need only comply with the relatively easy to implement basic GAC safeguard advice</w:t>
      </w:r>
      <w:r w:rsidR="0046392B">
        <w:rPr>
          <w:rFonts w:ascii="Arial" w:hAnsi="Arial" w:cs="Arial"/>
          <w:sz w:val="24"/>
          <w:szCs w:val="24"/>
        </w:rPr>
        <w:t>,</w:t>
      </w:r>
      <w:r w:rsidR="00523BF7">
        <w:rPr>
          <w:rFonts w:ascii="Arial" w:hAnsi="Arial" w:cs="Arial"/>
          <w:sz w:val="24"/>
          <w:szCs w:val="24"/>
        </w:rPr>
        <w:t xml:space="preserve"> and</w:t>
      </w:r>
      <w:r w:rsidR="0046392B">
        <w:rPr>
          <w:rFonts w:ascii="Arial" w:hAnsi="Arial" w:cs="Arial"/>
          <w:sz w:val="24"/>
          <w:szCs w:val="24"/>
        </w:rPr>
        <w:t xml:space="preserve"> thus</w:t>
      </w:r>
      <w:r w:rsidR="00523BF7">
        <w:rPr>
          <w:rFonts w:ascii="Arial" w:hAnsi="Arial" w:cs="Arial"/>
          <w:sz w:val="24"/>
          <w:szCs w:val="24"/>
        </w:rPr>
        <w:t xml:space="preserve"> can move forward through the evaluation and delegation process</w:t>
      </w:r>
      <w:r w:rsidR="003F75C2">
        <w:rPr>
          <w:rFonts w:ascii="Arial" w:hAnsi="Arial" w:cs="Arial"/>
          <w:sz w:val="24"/>
          <w:szCs w:val="24"/>
        </w:rPr>
        <w:t xml:space="preserve"> in coming months</w:t>
      </w:r>
      <w:r w:rsidR="00523BF7">
        <w:rPr>
          <w:rFonts w:ascii="Arial" w:hAnsi="Arial" w:cs="Arial"/>
          <w:sz w:val="24"/>
          <w:szCs w:val="24"/>
        </w:rPr>
        <w:t>;</w:t>
      </w:r>
      <w:r>
        <w:rPr>
          <w:rFonts w:ascii="Arial" w:hAnsi="Arial" w:cs="Arial"/>
          <w:sz w:val="24"/>
          <w:szCs w:val="24"/>
        </w:rPr>
        <w:t xml:space="preserve"> and those that have appeared on the G</w:t>
      </w:r>
      <w:r w:rsidR="00523BF7">
        <w:rPr>
          <w:rFonts w:ascii="Arial" w:hAnsi="Arial" w:cs="Arial"/>
          <w:sz w:val="24"/>
          <w:szCs w:val="24"/>
        </w:rPr>
        <w:t>A</w:t>
      </w:r>
      <w:r>
        <w:rPr>
          <w:rFonts w:ascii="Arial" w:hAnsi="Arial" w:cs="Arial"/>
          <w:sz w:val="24"/>
          <w:szCs w:val="24"/>
        </w:rPr>
        <w:t>C’</w:t>
      </w:r>
      <w:r w:rsidR="00523BF7">
        <w:rPr>
          <w:rFonts w:ascii="Arial" w:hAnsi="Arial" w:cs="Arial"/>
          <w:sz w:val="24"/>
          <w:szCs w:val="24"/>
        </w:rPr>
        <w:t>s non-exhaustive list</w:t>
      </w:r>
      <w:r w:rsidR="006F6E1B">
        <w:rPr>
          <w:rFonts w:ascii="Arial" w:hAnsi="Arial" w:cs="Arial"/>
          <w:sz w:val="24"/>
          <w:szCs w:val="24"/>
        </w:rPr>
        <w:t xml:space="preserve"> of sensitive strings</w:t>
      </w:r>
      <w:r>
        <w:rPr>
          <w:rFonts w:ascii="Arial" w:hAnsi="Arial" w:cs="Arial"/>
          <w:sz w:val="24"/>
          <w:szCs w:val="24"/>
        </w:rPr>
        <w:t xml:space="preserve"> </w:t>
      </w:r>
      <w:r w:rsidR="00523BF7">
        <w:rPr>
          <w:rFonts w:ascii="Arial" w:hAnsi="Arial" w:cs="Arial"/>
          <w:sz w:val="24"/>
          <w:szCs w:val="24"/>
        </w:rPr>
        <w:t>(</w:t>
      </w:r>
      <w:r>
        <w:rPr>
          <w:rFonts w:ascii="Arial" w:hAnsi="Arial" w:cs="Arial"/>
          <w:sz w:val="24"/>
          <w:szCs w:val="24"/>
        </w:rPr>
        <w:t>or that may be added to it</w:t>
      </w:r>
      <w:r w:rsidR="00523BF7">
        <w:rPr>
          <w:rFonts w:ascii="Arial" w:hAnsi="Arial" w:cs="Arial"/>
          <w:sz w:val="24"/>
          <w:szCs w:val="24"/>
        </w:rPr>
        <w:t>)</w:t>
      </w:r>
      <w:r>
        <w:rPr>
          <w:rFonts w:ascii="Arial" w:hAnsi="Arial" w:cs="Arial"/>
          <w:sz w:val="24"/>
          <w:szCs w:val="24"/>
        </w:rPr>
        <w:t xml:space="preserve">, which are on indefinite hold while all these unprecedented and interrelated questions are grappled with. </w:t>
      </w:r>
    </w:p>
    <w:p w:rsidR="0046392B" w:rsidRDefault="00BE6D77" w:rsidP="0041671D">
      <w:pPr>
        <w:jc w:val="both"/>
        <w:rPr>
          <w:rFonts w:ascii="Arial" w:hAnsi="Arial" w:cs="Arial"/>
          <w:sz w:val="24"/>
          <w:szCs w:val="24"/>
        </w:rPr>
      </w:pPr>
      <w:r>
        <w:rPr>
          <w:rFonts w:ascii="Arial" w:hAnsi="Arial" w:cs="Arial"/>
          <w:sz w:val="24"/>
          <w:szCs w:val="24"/>
        </w:rPr>
        <w:t xml:space="preserve">Of course, for those </w:t>
      </w:r>
      <w:r w:rsidR="00523BF7">
        <w:rPr>
          <w:rFonts w:ascii="Arial" w:hAnsi="Arial" w:cs="Arial"/>
          <w:sz w:val="24"/>
          <w:szCs w:val="24"/>
        </w:rPr>
        <w:t xml:space="preserve">frozen </w:t>
      </w:r>
      <w:r>
        <w:rPr>
          <w:rFonts w:ascii="Arial" w:hAnsi="Arial" w:cs="Arial"/>
          <w:sz w:val="24"/>
          <w:szCs w:val="24"/>
        </w:rPr>
        <w:t>appl</w:t>
      </w:r>
      <w:r w:rsidR="003F75C2">
        <w:rPr>
          <w:rFonts w:ascii="Arial" w:hAnsi="Arial" w:cs="Arial"/>
          <w:sz w:val="24"/>
          <w:szCs w:val="24"/>
        </w:rPr>
        <w:t>icants even delay and burdensome</w:t>
      </w:r>
      <w:r w:rsidR="00523BF7">
        <w:rPr>
          <w:rFonts w:ascii="Arial" w:hAnsi="Arial" w:cs="Arial"/>
          <w:sz w:val="24"/>
          <w:szCs w:val="24"/>
        </w:rPr>
        <w:t xml:space="preserve"> but</w:t>
      </w:r>
      <w:r>
        <w:rPr>
          <w:rFonts w:ascii="Arial" w:hAnsi="Arial" w:cs="Arial"/>
          <w:sz w:val="24"/>
          <w:szCs w:val="24"/>
        </w:rPr>
        <w:t xml:space="preserve"> uniform </w:t>
      </w:r>
      <w:r w:rsidR="00523BF7">
        <w:rPr>
          <w:rFonts w:ascii="Arial" w:hAnsi="Arial" w:cs="Arial"/>
          <w:sz w:val="24"/>
          <w:szCs w:val="24"/>
        </w:rPr>
        <w:t xml:space="preserve">safeguard </w:t>
      </w:r>
      <w:r>
        <w:rPr>
          <w:rFonts w:ascii="Arial" w:hAnsi="Arial" w:cs="Arial"/>
          <w:sz w:val="24"/>
          <w:szCs w:val="24"/>
        </w:rPr>
        <w:t xml:space="preserve">requirements may be preferable to the alternative likely to emerge if the </w:t>
      </w:r>
      <w:r w:rsidR="006F6E1B">
        <w:rPr>
          <w:rFonts w:ascii="Arial" w:hAnsi="Arial" w:cs="Arial"/>
          <w:sz w:val="24"/>
          <w:szCs w:val="24"/>
        </w:rPr>
        <w:t xml:space="preserve">continuing </w:t>
      </w:r>
      <w:r>
        <w:rPr>
          <w:rFonts w:ascii="Arial" w:hAnsi="Arial" w:cs="Arial"/>
          <w:sz w:val="24"/>
          <w:szCs w:val="24"/>
        </w:rPr>
        <w:t xml:space="preserve">dialogue proves fruitless or breaks down </w:t>
      </w:r>
      <w:r w:rsidR="00523BF7">
        <w:rPr>
          <w:rFonts w:ascii="Arial" w:hAnsi="Arial" w:cs="Arial"/>
          <w:sz w:val="24"/>
          <w:szCs w:val="24"/>
        </w:rPr>
        <w:t xml:space="preserve">– which is for the </w:t>
      </w:r>
      <w:r w:rsidR="0046392B">
        <w:rPr>
          <w:rFonts w:ascii="Arial" w:hAnsi="Arial" w:cs="Arial"/>
          <w:sz w:val="24"/>
          <w:szCs w:val="24"/>
        </w:rPr>
        <w:t xml:space="preserve">sensitive </w:t>
      </w:r>
      <w:r w:rsidR="00523BF7">
        <w:rPr>
          <w:rFonts w:ascii="Arial" w:hAnsi="Arial" w:cs="Arial"/>
          <w:sz w:val="24"/>
          <w:szCs w:val="24"/>
        </w:rPr>
        <w:t>gTLD</w:t>
      </w:r>
      <w:r w:rsidR="0046392B">
        <w:rPr>
          <w:rFonts w:ascii="Arial" w:hAnsi="Arial" w:cs="Arial"/>
          <w:sz w:val="24"/>
          <w:szCs w:val="24"/>
        </w:rPr>
        <w:t>s</w:t>
      </w:r>
      <w:r w:rsidR="00523BF7">
        <w:rPr>
          <w:rFonts w:ascii="Arial" w:hAnsi="Arial" w:cs="Arial"/>
          <w:sz w:val="24"/>
          <w:szCs w:val="24"/>
        </w:rPr>
        <w:t xml:space="preserve"> and </w:t>
      </w:r>
      <w:r w:rsidR="0046392B">
        <w:rPr>
          <w:rFonts w:ascii="Arial" w:hAnsi="Arial" w:cs="Arial"/>
          <w:sz w:val="24"/>
          <w:szCs w:val="24"/>
        </w:rPr>
        <w:t>their</w:t>
      </w:r>
      <w:r w:rsidR="00523BF7">
        <w:rPr>
          <w:rFonts w:ascii="Arial" w:hAnsi="Arial" w:cs="Arial"/>
          <w:sz w:val="24"/>
          <w:szCs w:val="24"/>
        </w:rPr>
        <w:t xml:space="preserve"> registrants being subject to dozens of </w:t>
      </w:r>
      <w:r w:rsidR="0046392B">
        <w:rPr>
          <w:rFonts w:ascii="Arial" w:hAnsi="Arial" w:cs="Arial"/>
          <w:sz w:val="24"/>
          <w:szCs w:val="24"/>
        </w:rPr>
        <w:t>disparate regulatory</w:t>
      </w:r>
      <w:r w:rsidR="00523BF7">
        <w:rPr>
          <w:rFonts w:ascii="Arial" w:hAnsi="Arial" w:cs="Arial"/>
          <w:sz w:val="24"/>
          <w:szCs w:val="24"/>
        </w:rPr>
        <w:t xml:space="preserve"> schemes</w:t>
      </w:r>
      <w:r w:rsidR="0046392B">
        <w:rPr>
          <w:rFonts w:ascii="Arial" w:hAnsi="Arial" w:cs="Arial"/>
          <w:sz w:val="24"/>
          <w:szCs w:val="24"/>
        </w:rPr>
        <w:t>, and perhaps even enforcement actions,</w:t>
      </w:r>
      <w:r w:rsidR="00523BF7">
        <w:rPr>
          <w:rFonts w:ascii="Arial" w:hAnsi="Arial" w:cs="Arial"/>
          <w:sz w:val="24"/>
          <w:szCs w:val="24"/>
        </w:rPr>
        <w:t xml:space="preserve"> based on inconsistent national laws.</w:t>
      </w:r>
      <w:r w:rsidR="0046392B">
        <w:rPr>
          <w:rFonts w:ascii="Arial" w:hAnsi="Arial" w:cs="Arial"/>
          <w:sz w:val="24"/>
          <w:szCs w:val="24"/>
        </w:rPr>
        <w:t xml:space="preserve"> For now, the best advice for all concerned may be the sage wisdom of American baseball legend and everyman philosopher Yogi Berra – “When you come to a fork in the road, take it.”</w:t>
      </w:r>
    </w:p>
    <w:p w:rsidR="00BE6D77" w:rsidRPr="0041671D" w:rsidRDefault="0046392B" w:rsidP="0041671D">
      <w:pPr>
        <w:jc w:val="both"/>
        <w:rPr>
          <w:rFonts w:ascii="Arial" w:hAnsi="Arial" w:cs="Arial"/>
          <w:sz w:val="24"/>
          <w:szCs w:val="24"/>
        </w:rPr>
      </w:pPr>
      <w:r>
        <w:rPr>
          <w:rFonts w:ascii="Arial" w:hAnsi="Arial" w:cs="Arial"/>
          <w:sz w:val="24"/>
          <w:szCs w:val="24"/>
        </w:rPr>
        <w:t xml:space="preserve"> </w:t>
      </w:r>
      <w:bookmarkStart w:id="0" w:name="_GoBack"/>
      <w:bookmarkEnd w:id="0"/>
    </w:p>
    <w:sectPr w:rsidR="00BE6D77" w:rsidRPr="00416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2B0" w:rsidRDefault="004C42B0" w:rsidP="0031407F">
      <w:pPr>
        <w:spacing w:after="0" w:line="240" w:lineRule="auto"/>
      </w:pPr>
      <w:r>
        <w:separator/>
      </w:r>
    </w:p>
  </w:endnote>
  <w:endnote w:type="continuationSeparator" w:id="0">
    <w:p w:rsidR="004C42B0" w:rsidRDefault="004C42B0" w:rsidP="0031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2B0" w:rsidRDefault="004C42B0" w:rsidP="0031407F">
      <w:pPr>
        <w:spacing w:after="0" w:line="240" w:lineRule="auto"/>
      </w:pPr>
      <w:r>
        <w:separator/>
      </w:r>
    </w:p>
  </w:footnote>
  <w:footnote w:type="continuationSeparator" w:id="0">
    <w:p w:rsidR="004C42B0" w:rsidRDefault="004C42B0" w:rsidP="0031407F">
      <w:pPr>
        <w:spacing w:after="0" w:line="240" w:lineRule="auto"/>
      </w:pPr>
      <w:r>
        <w:continuationSeparator/>
      </w:r>
    </w:p>
  </w:footnote>
  <w:footnote w:id="1">
    <w:p w:rsidR="0031407F" w:rsidRDefault="0031407F">
      <w:pPr>
        <w:pStyle w:val="FootnoteText"/>
      </w:pPr>
      <w:r>
        <w:rPr>
          <w:rStyle w:val="FootnoteReference"/>
        </w:rPr>
        <w:footnoteRef/>
      </w:r>
      <w:r>
        <w:t xml:space="preserve"> </w:t>
      </w:r>
      <w:hyperlink r:id="rId1" w:history="1">
        <w:r w:rsidR="00D40CEA" w:rsidRPr="00D873D5">
          <w:rPr>
            <w:rStyle w:val="Hyperlink"/>
          </w:rPr>
          <w:t>http://www.icann.org/en/groups/board/documents/resolutions-new-gtld-02jul13-en.htm</w:t>
        </w:r>
      </w:hyperlink>
      <w:r w:rsidR="00D40CEA">
        <w:t xml:space="preserve"> </w:t>
      </w:r>
    </w:p>
  </w:footnote>
  <w:footnote w:id="2">
    <w:p w:rsidR="006F6E1B" w:rsidRDefault="006F6E1B">
      <w:pPr>
        <w:pStyle w:val="FootnoteText"/>
      </w:pPr>
      <w:r>
        <w:rPr>
          <w:rStyle w:val="FootnoteReference"/>
        </w:rPr>
        <w:footnoteRef/>
      </w:r>
      <w:r>
        <w:t xml:space="preserve"> See </w:t>
      </w:r>
      <w:hyperlink r:id="rId2" w:history="1">
        <w:r w:rsidRPr="00D873D5">
          <w:rPr>
            <w:rStyle w:val="Hyperlink"/>
          </w:rPr>
          <w:t>http://www.icann.org/en/news/announcements/announcement-2-03jul13-en.htm</w:t>
        </w:r>
      </w:hyperlink>
      <w:r>
        <w:t xml:space="preserve"> for a complete listing of the NGPC’s work product since Beijing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7B1"/>
    <w:multiLevelType w:val="hybridMultilevel"/>
    <w:tmpl w:val="C3AA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A3"/>
    <w:rsid w:val="00007F9E"/>
    <w:rsid w:val="000A3DA3"/>
    <w:rsid w:val="0031407F"/>
    <w:rsid w:val="003F75C2"/>
    <w:rsid w:val="0041671D"/>
    <w:rsid w:val="0046392B"/>
    <w:rsid w:val="004C42B0"/>
    <w:rsid w:val="00523BF7"/>
    <w:rsid w:val="006F6E1B"/>
    <w:rsid w:val="008E4B44"/>
    <w:rsid w:val="00BE6D77"/>
    <w:rsid w:val="00D40CEA"/>
    <w:rsid w:val="00DF599C"/>
    <w:rsid w:val="00E5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4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07F"/>
    <w:rPr>
      <w:sz w:val="20"/>
      <w:szCs w:val="20"/>
    </w:rPr>
  </w:style>
  <w:style w:type="character" w:styleId="FootnoteReference">
    <w:name w:val="footnote reference"/>
    <w:basedOn w:val="DefaultParagraphFont"/>
    <w:uiPriority w:val="99"/>
    <w:semiHidden/>
    <w:unhideWhenUsed/>
    <w:rsid w:val="0031407F"/>
    <w:rPr>
      <w:vertAlign w:val="superscript"/>
    </w:rPr>
  </w:style>
  <w:style w:type="character" w:styleId="Hyperlink">
    <w:name w:val="Hyperlink"/>
    <w:basedOn w:val="DefaultParagraphFont"/>
    <w:uiPriority w:val="99"/>
    <w:unhideWhenUsed/>
    <w:rsid w:val="0031407F"/>
    <w:rPr>
      <w:color w:val="0000FF" w:themeColor="hyperlink"/>
      <w:u w:val="single"/>
    </w:rPr>
  </w:style>
  <w:style w:type="paragraph" w:styleId="ListParagraph">
    <w:name w:val="List Paragraph"/>
    <w:basedOn w:val="Normal"/>
    <w:uiPriority w:val="34"/>
    <w:qFormat/>
    <w:rsid w:val="00007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4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07F"/>
    <w:rPr>
      <w:sz w:val="20"/>
      <w:szCs w:val="20"/>
    </w:rPr>
  </w:style>
  <w:style w:type="character" w:styleId="FootnoteReference">
    <w:name w:val="footnote reference"/>
    <w:basedOn w:val="DefaultParagraphFont"/>
    <w:uiPriority w:val="99"/>
    <w:semiHidden/>
    <w:unhideWhenUsed/>
    <w:rsid w:val="0031407F"/>
    <w:rPr>
      <w:vertAlign w:val="superscript"/>
    </w:rPr>
  </w:style>
  <w:style w:type="character" w:styleId="Hyperlink">
    <w:name w:val="Hyperlink"/>
    <w:basedOn w:val="DefaultParagraphFont"/>
    <w:uiPriority w:val="99"/>
    <w:unhideWhenUsed/>
    <w:rsid w:val="0031407F"/>
    <w:rPr>
      <w:color w:val="0000FF" w:themeColor="hyperlink"/>
      <w:u w:val="single"/>
    </w:rPr>
  </w:style>
  <w:style w:type="paragraph" w:styleId="ListParagraph">
    <w:name w:val="List Paragraph"/>
    <w:basedOn w:val="Normal"/>
    <w:uiPriority w:val="34"/>
    <w:qFormat/>
    <w:rsid w:val="0000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en/news/announcements/announcement-2-03jul13-en.htm" TargetMode="External"/><Relationship Id="rId1" Type="http://schemas.openxmlformats.org/officeDocument/2006/relationships/hyperlink" Target="http://www.icann.org/en/groups/board/documents/resolutions-new-gtld-02jul13-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166A2-BB05-44C8-89D4-4365CC3E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2013-07-15T15:25:00Z</dcterms:created>
  <dcterms:modified xsi:type="dcterms:W3CDTF">2013-07-15T16:52:00Z</dcterms:modified>
</cp:coreProperties>
</file>