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535BE4" w14:textId="43C46DFB" w:rsidR="003B3E2A" w:rsidRDefault="003B3E2A" w:rsidP="00D00805">
      <w:pPr>
        <w:widowControl w:val="0"/>
        <w:autoSpaceDE w:val="0"/>
        <w:autoSpaceDN w:val="0"/>
        <w:adjustRightInd w:val="0"/>
        <w:rPr>
          <w:rFonts w:ascii="Calibri" w:hAnsi="Calibri" w:cs="Calibri"/>
          <w:sz w:val="22"/>
          <w:szCs w:val="22"/>
        </w:rPr>
      </w:pPr>
      <w:r>
        <w:rPr>
          <w:rFonts w:ascii="Calibri" w:hAnsi="Calibri" w:cs="Calibri"/>
          <w:sz w:val="22"/>
          <w:szCs w:val="22"/>
        </w:rPr>
        <w:t>D R A F T  [</w:t>
      </w:r>
      <w:r w:rsidR="00072753">
        <w:rPr>
          <w:rFonts w:ascii="Calibri" w:hAnsi="Calibri" w:cs="Calibri"/>
          <w:sz w:val="22"/>
          <w:szCs w:val="22"/>
        </w:rPr>
        <w:t>v</w:t>
      </w:r>
      <w:r w:rsidR="00301602">
        <w:rPr>
          <w:rFonts w:ascii="Calibri" w:hAnsi="Calibri" w:cs="Calibri"/>
          <w:sz w:val="22"/>
          <w:szCs w:val="22"/>
        </w:rPr>
        <w:t>4</w:t>
      </w:r>
      <w:r>
        <w:rPr>
          <w:rFonts w:ascii="Calibri" w:hAnsi="Calibri" w:cs="Calibri"/>
          <w:sz w:val="22"/>
          <w:szCs w:val="22"/>
        </w:rPr>
        <w:t>]</w:t>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7C4285">
        <w:rPr>
          <w:rFonts w:ascii="Calibri" w:hAnsi="Calibri" w:cs="Calibri"/>
          <w:sz w:val="22"/>
          <w:szCs w:val="22"/>
        </w:rPr>
        <w:tab/>
      </w:r>
      <w:r w:rsidR="00301602">
        <w:rPr>
          <w:rFonts w:ascii="Calibri" w:hAnsi="Calibri" w:cs="Calibri"/>
          <w:sz w:val="22"/>
          <w:szCs w:val="22"/>
        </w:rPr>
        <w:t>5</w:t>
      </w:r>
      <w:r w:rsidR="00D76D2B">
        <w:rPr>
          <w:rFonts w:ascii="Calibri" w:hAnsi="Calibri" w:cs="Calibri"/>
          <w:sz w:val="22"/>
          <w:szCs w:val="22"/>
        </w:rPr>
        <w:t>-</w:t>
      </w:r>
      <w:r w:rsidR="00301602">
        <w:rPr>
          <w:rFonts w:ascii="Calibri" w:hAnsi="Calibri" w:cs="Calibri"/>
          <w:sz w:val="22"/>
          <w:szCs w:val="22"/>
        </w:rPr>
        <w:t>February</w:t>
      </w:r>
      <w:r w:rsidR="00D76D2B">
        <w:rPr>
          <w:rFonts w:ascii="Calibri" w:hAnsi="Calibri" w:cs="Calibri"/>
          <w:sz w:val="22"/>
          <w:szCs w:val="22"/>
        </w:rPr>
        <w:t>-2012</w:t>
      </w:r>
    </w:p>
    <w:p w14:paraId="052BF2C8" w14:textId="77777777" w:rsidR="003B3E2A" w:rsidRDefault="003B3E2A" w:rsidP="00D00805">
      <w:pPr>
        <w:widowControl w:val="0"/>
        <w:autoSpaceDE w:val="0"/>
        <w:autoSpaceDN w:val="0"/>
        <w:adjustRightInd w:val="0"/>
        <w:rPr>
          <w:rFonts w:ascii="Calibri" w:hAnsi="Calibri" w:cs="Calibri"/>
          <w:sz w:val="22"/>
          <w:szCs w:val="22"/>
        </w:rPr>
      </w:pPr>
    </w:p>
    <w:p w14:paraId="531E00BA" w14:textId="0D5B0277" w:rsidR="003B3E2A" w:rsidRDefault="003B3E2A" w:rsidP="003B3E2A">
      <w:pPr>
        <w:widowControl w:val="0"/>
        <w:autoSpaceDE w:val="0"/>
        <w:autoSpaceDN w:val="0"/>
        <w:adjustRightInd w:val="0"/>
        <w:jc w:val="right"/>
        <w:rPr>
          <w:rFonts w:ascii="Calibri" w:hAnsi="Calibri" w:cs="Calibri"/>
          <w:sz w:val="22"/>
          <w:szCs w:val="22"/>
        </w:rPr>
      </w:pPr>
    </w:p>
    <w:p w14:paraId="7B7F6563" w14:textId="39F32A14" w:rsidR="002E7E35" w:rsidRDefault="00D76D2B" w:rsidP="00D76D2B">
      <w:pPr>
        <w:widowControl w:val="0"/>
        <w:autoSpaceDE w:val="0"/>
        <w:autoSpaceDN w:val="0"/>
        <w:adjustRightInd w:val="0"/>
        <w:jc w:val="center"/>
        <w:rPr>
          <w:rFonts w:ascii="Calibri" w:hAnsi="Calibri" w:cs="Calibri"/>
          <w:b/>
          <w:sz w:val="22"/>
          <w:szCs w:val="22"/>
        </w:rPr>
      </w:pPr>
      <w:r w:rsidRPr="00D76D2B">
        <w:rPr>
          <w:rFonts w:ascii="Calibri" w:hAnsi="Calibri" w:cs="Calibri"/>
          <w:b/>
          <w:sz w:val="22"/>
          <w:szCs w:val="22"/>
        </w:rPr>
        <w:t>A</w:t>
      </w:r>
      <w:r w:rsidR="00147451" w:rsidRPr="00D76D2B">
        <w:rPr>
          <w:rFonts w:ascii="Calibri" w:hAnsi="Calibri" w:cs="Calibri"/>
          <w:b/>
          <w:sz w:val="22"/>
          <w:szCs w:val="22"/>
        </w:rPr>
        <w:t xml:space="preserve">dvice requested by ICANN Board </w:t>
      </w:r>
    </w:p>
    <w:p w14:paraId="7771186F" w14:textId="77777777" w:rsidR="002E7E35" w:rsidRDefault="00147451" w:rsidP="00D76D2B">
      <w:pPr>
        <w:widowControl w:val="0"/>
        <w:autoSpaceDE w:val="0"/>
        <w:autoSpaceDN w:val="0"/>
        <w:adjustRightInd w:val="0"/>
        <w:jc w:val="center"/>
        <w:rPr>
          <w:rFonts w:ascii="Calibri" w:hAnsi="Calibri" w:cs="Calibri"/>
          <w:b/>
          <w:sz w:val="22"/>
          <w:szCs w:val="22"/>
          <w:lang w:val="en-GB"/>
        </w:rPr>
      </w:pPr>
      <w:r w:rsidRPr="00D76D2B">
        <w:rPr>
          <w:rFonts w:ascii="Calibri" w:hAnsi="Calibri" w:cs="Calibri"/>
          <w:b/>
          <w:sz w:val="22"/>
          <w:szCs w:val="22"/>
        </w:rPr>
        <w:t xml:space="preserve">regarding </w:t>
      </w:r>
      <w:r w:rsidRPr="00D76D2B">
        <w:rPr>
          <w:rFonts w:ascii="Calibri" w:hAnsi="Calibri" w:cs="Calibri"/>
          <w:b/>
          <w:sz w:val="22"/>
          <w:szCs w:val="22"/>
          <w:lang w:val="en-GB"/>
        </w:rPr>
        <w:t xml:space="preserve">definitions, measures, and targets </w:t>
      </w:r>
    </w:p>
    <w:p w14:paraId="3050CD95" w14:textId="21B1018E" w:rsidR="00147451" w:rsidRPr="007D0AF0" w:rsidRDefault="00147451" w:rsidP="007D0AF0">
      <w:pPr>
        <w:widowControl w:val="0"/>
        <w:autoSpaceDE w:val="0"/>
        <w:autoSpaceDN w:val="0"/>
        <w:adjustRightInd w:val="0"/>
        <w:jc w:val="center"/>
        <w:rPr>
          <w:rFonts w:ascii="Calibri" w:hAnsi="Calibri" w:cs="Calibri"/>
          <w:b/>
          <w:sz w:val="22"/>
          <w:szCs w:val="22"/>
          <w:lang w:val="en-GB"/>
        </w:rPr>
      </w:pPr>
      <w:r w:rsidRPr="00D76D2B">
        <w:rPr>
          <w:rFonts w:ascii="Calibri" w:hAnsi="Calibri" w:cs="Calibri"/>
          <w:b/>
          <w:sz w:val="22"/>
          <w:szCs w:val="22"/>
          <w:lang w:val="en-GB"/>
        </w:rPr>
        <w:t xml:space="preserve">for competition, consumer trust and consumer choice </w:t>
      </w:r>
    </w:p>
    <w:p w14:paraId="37FE7A73" w14:textId="77777777" w:rsidR="00147451" w:rsidRDefault="00147451" w:rsidP="00D00805">
      <w:pPr>
        <w:widowControl w:val="0"/>
        <w:autoSpaceDE w:val="0"/>
        <w:autoSpaceDN w:val="0"/>
        <w:adjustRightInd w:val="0"/>
        <w:rPr>
          <w:rFonts w:ascii="Calibri" w:hAnsi="Calibri" w:cs="Calibri"/>
          <w:sz w:val="22"/>
          <w:szCs w:val="22"/>
        </w:rPr>
      </w:pPr>
    </w:p>
    <w:p w14:paraId="075B5955" w14:textId="77777777" w:rsidR="00C14F7F" w:rsidRDefault="00D76D2B" w:rsidP="00D76D2B">
      <w:pPr>
        <w:widowControl w:val="0"/>
        <w:autoSpaceDE w:val="0"/>
        <w:autoSpaceDN w:val="0"/>
        <w:adjustRightInd w:val="0"/>
        <w:jc w:val="center"/>
        <w:rPr>
          <w:rFonts w:ascii="Calibri" w:hAnsi="Calibri" w:cs="Calibri"/>
          <w:sz w:val="22"/>
          <w:szCs w:val="22"/>
        </w:rPr>
      </w:pPr>
      <w:r>
        <w:rPr>
          <w:rFonts w:ascii="Calibri" w:hAnsi="Calibri" w:cs="Calibri"/>
          <w:sz w:val="22"/>
          <w:szCs w:val="22"/>
        </w:rPr>
        <w:t xml:space="preserve">Prepared by the Consumer Trust Working Group, </w:t>
      </w:r>
    </w:p>
    <w:p w14:paraId="130BFD08" w14:textId="567EBF5C" w:rsidR="003B3E2A" w:rsidRDefault="00D76D2B" w:rsidP="00D76D2B">
      <w:pPr>
        <w:widowControl w:val="0"/>
        <w:autoSpaceDE w:val="0"/>
        <w:autoSpaceDN w:val="0"/>
        <w:adjustRightInd w:val="0"/>
        <w:jc w:val="center"/>
        <w:rPr>
          <w:rFonts w:ascii="Calibri" w:hAnsi="Calibri" w:cs="Calibri"/>
          <w:sz w:val="22"/>
          <w:szCs w:val="22"/>
        </w:rPr>
      </w:pPr>
      <w:r>
        <w:rPr>
          <w:rFonts w:ascii="Calibri" w:hAnsi="Calibri" w:cs="Calibri"/>
          <w:sz w:val="22"/>
          <w:szCs w:val="22"/>
        </w:rPr>
        <w:t xml:space="preserve">for consideration of </w:t>
      </w:r>
      <w:r w:rsidR="003B3E2A">
        <w:rPr>
          <w:rFonts w:ascii="Calibri" w:hAnsi="Calibri" w:cs="Calibri"/>
          <w:sz w:val="22"/>
          <w:szCs w:val="22"/>
        </w:rPr>
        <w:t>ALAC, ccNSO, and GNSO</w:t>
      </w:r>
      <w:r>
        <w:rPr>
          <w:rFonts w:ascii="Calibri" w:hAnsi="Calibri" w:cs="Calibri"/>
          <w:sz w:val="22"/>
          <w:szCs w:val="22"/>
        </w:rPr>
        <w:t xml:space="preserve"> </w:t>
      </w:r>
    </w:p>
    <w:p w14:paraId="777A3FB5" w14:textId="77777777" w:rsidR="00D76D2B" w:rsidRDefault="00D76D2B" w:rsidP="00D76D2B">
      <w:pPr>
        <w:widowControl w:val="0"/>
        <w:autoSpaceDE w:val="0"/>
        <w:autoSpaceDN w:val="0"/>
        <w:adjustRightInd w:val="0"/>
        <w:jc w:val="center"/>
        <w:rPr>
          <w:rFonts w:ascii="Calibri" w:hAnsi="Calibri" w:cs="Calibri"/>
          <w:sz w:val="22"/>
          <w:szCs w:val="22"/>
        </w:rPr>
      </w:pPr>
    </w:p>
    <w:p w14:paraId="1BF92C52" w14:textId="3496162E" w:rsidR="003B3E2A" w:rsidRPr="0070200A" w:rsidRDefault="0044303F" w:rsidP="00D00805">
      <w:pPr>
        <w:widowControl w:val="0"/>
        <w:autoSpaceDE w:val="0"/>
        <w:autoSpaceDN w:val="0"/>
        <w:adjustRightInd w:val="0"/>
        <w:rPr>
          <w:rFonts w:ascii="Calibri" w:hAnsi="Calibri" w:cs="Calibri"/>
          <w:b/>
          <w:sz w:val="22"/>
          <w:szCs w:val="22"/>
        </w:rPr>
      </w:pPr>
      <w:r>
        <w:rPr>
          <w:rFonts w:ascii="Calibri" w:hAnsi="Calibri" w:cs="Calibri"/>
          <w:b/>
          <w:sz w:val="22"/>
          <w:szCs w:val="22"/>
        </w:rPr>
        <w:t>Background</w:t>
      </w:r>
    </w:p>
    <w:p w14:paraId="776C1332" w14:textId="77777777" w:rsidR="0044303F" w:rsidRDefault="0044303F" w:rsidP="0070200A">
      <w:pPr>
        <w:widowControl w:val="0"/>
        <w:autoSpaceDE w:val="0"/>
        <w:autoSpaceDN w:val="0"/>
        <w:adjustRightInd w:val="0"/>
        <w:rPr>
          <w:rFonts w:ascii="Calibri" w:hAnsi="Calibri" w:cs="Calibri"/>
          <w:sz w:val="22"/>
          <w:szCs w:val="22"/>
          <w:lang w:val="en-GB"/>
        </w:rPr>
      </w:pPr>
    </w:p>
    <w:p w14:paraId="1A130507" w14:textId="335D513C" w:rsidR="00166DCD" w:rsidRDefault="00166DCD"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This advice </w:t>
      </w:r>
      <w:r w:rsidR="002569BF">
        <w:rPr>
          <w:rFonts w:ascii="Calibri" w:hAnsi="Calibri" w:cs="Calibri"/>
          <w:sz w:val="22"/>
          <w:szCs w:val="22"/>
          <w:lang w:val="en-GB"/>
        </w:rPr>
        <w:t>was</w:t>
      </w:r>
      <w:r>
        <w:rPr>
          <w:rFonts w:ascii="Calibri" w:hAnsi="Calibri" w:cs="Calibri"/>
          <w:sz w:val="22"/>
          <w:szCs w:val="22"/>
          <w:lang w:val="en-GB"/>
        </w:rPr>
        <w:t xml:space="preserve"> drafted in response to an ICANN board resolution asking for definitions and metrics that will be used to evaluate the gTLD expansion program in a post-launch review required under the Affirmation of Commitments.</w:t>
      </w:r>
    </w:p>
    <w:p w14:paraId="301E10AC" w14:textId="77777777" w:rsidR="00166DCD" w:rsidRDefault="00166DCD" w:rsidP="0070200A">
      <w:pPr>
        <w:widowControl w:val="0"/>
        <w:autoSpaceDE w:val="0"/>
        <w:autoSpaceDN w:val="0"/>
        <w:adjustRightInd w:val="0"/>
        <w:rPr>
          <w:rFonts w:ascii="Calibri" w:hAnsi="Calibri" w:cs="Calibri"/>
          <w:sz w:val="22"/>
          <w:szCs w:val="22"/>
          <w:lang w:val="en-GB"/>
        </w:rPr>
      </w:pPr>
    </w:p>
    <w:p w14:paraId="59F2557E" w14:textId="77777777" w:rsidR="00166DCD" w:rsidRDefault="0070200A" w:rsidP="0070200A">
      <w:pPr>
        <w:widowControl w:val="0"/>
        <w:autoSpaceDE w:val="0"/>
        <w:autoSpaceDN w:val="0"/>
        <w:adjustRightInd w:val="0"/>
        <w:rPr>
          <w:rFonts w:ascii="Calibri" w:hAnsi="Calibri" w:cs="Calibri"/>
          <w:sz w:val="22"/>
          <w:szCs w:val="22"/>
          <w:lang w:val="en-GB"/>
        </w:rPr>
      </w:pPr>
      <w:r w:rsidRPr="00584238">
        <w:rPr>
          <w:rFonts w:ascii="Calibri" w:hAnsi="Calibri" w:cs="Calibri"/>
          <w:sz w:val="22"/>
          <w:szCs w:val="22"/>
          <w:lang w:val="en-GB"/>
        </w:rPr>
        <w:t>ICANN and the US National Telecommunications and Information Administration (NTIA)</w:t>
      </w:r>
      <w:r>
        <w:rPr>
          <w:rFonts w:ascii="Calibri" w:hAnsi="Calibri" w:cs="Calibri"/>
          <w:sz w:val="22"/>
          <w:szCs w:val="22"/>
          <w:lang w:val="en-GB"/>
        </w:rPr>
        <w:t xml:space="preserve"> signed the</w:t>
      </w:r>
      <w:r w:rsidRPr="00584238">
        <w:rPr>
          <w:rFonts w:ascii="Calibri" w:hAnsi="Calibri" w:cs="Calibri"/>
          <w:sz w:val="22"/>
          <w:szCs w:val="22"/>
          <w:lang w:val="en-GB"/>
        </w:rPr>
        <w:t xml:space="preserve"> Affirma</w:t>
      </w:r>
      <w:r>
        <w:rPr>
          <w:rFonts w:ascii="Calibri" w:hAnsi="Calibri" w:cs="Calibri"/>
          <w:sz w:val="22"/>
          <w:szCs w:val="22"/>
          <w:lang w:val="en-GB"/>
        </w:rPr>
        <w:t>tion of Commitments (AOC) on 30-</w:t>
      </w:r>
      <w:r w:rsidRPr="00584238">
        <w:rPr>
          <w:rFonts w:ascii="Calibri" w:hAnsi="Calibri" w:cs="Calibri"/>
          <w:sz w:val="22"/>
          <w:szCs w:val="22"/>
          <w:lang w:val="en-GB"/>
        </w:rPr>
        <w:t>Sep</w:t>
      </w:r>
      <w:r>
        <w:rPr>
          <w:rFonts w:ascii="Calibri" w:hAnsi="Calibri" w:cs="Calibri"/>
          <w:sz w:val="22"/>
          <w:szCs w:val="22"/>
          <w:lang w:val="en-GB"/>
        </w:rPr>
        <w:t>-</w:t>
      </w:r>
      <w:r w:rsidRPr="00584238">
        <w:rPr>
          <w:rFonts w:ascii="Calibri" w:hAnsi="Calibri" w:cs="Calibri"/>
          <w:sz w:val="22"/>
          <w:szCs w:val="22"/>
          <w:lang w:val="en-GB"/>
        </w:rPr>
        <w:t>2009.</w:t>
      </w:r>
      <w:r w:rsidR="00166DCD">
        <w:rPr>
          <w:rFonts w:ascii="Calibri" w:hAnsi="Calibri" w:cs="Calibri"/>
          <w:sz w:val="22"/>
          <w:szCs w:val="22"/>
          <w:lang w:val="en-GB"/>
        </w:rPr>
        <w:t xml:space="preserve">  </w:t>
      </w:r>
      <w:r w:rsidRPr="00584238">
        <w:rPr>
          <w:rFonts w:ascii="Calibri" w:hAnsi="Calibri" w:cs="Calibri"/>
          <w:sz w:val="22"/>
          <w:szCs w:val="22"/>
          <w:lang w:val="en-GB"/>
        </w:rPr>
        <w:t xml:space="preserve">Article 3.c of the AOC </w:t>
      </w:r>
      <w:r>
        <w:rPr>
          <w:rFonts w:ascii="Calibri" w:hAnsi="Calibri" w:cs="Calibri"/>
          <w:sz w:val="22"/>
          <w:szCs w:val="22"/>
          <w:lang w:val="en-GB"/>
        </w:rPr>
        <w:t>is</w:t>
      </w:r>
      <w:r w:rsidRPr="00584238">
        <w:rPr>
          <w:rFonts w:ascii="Calibri" w:hAnsi="Calibri" w:cs="Calibri"/>
          <w:sz w:val="22"/>
          <w:szCs w:val="22"/>
          <w:lang w:val="en-GB"/>
        </w:rPr>
        <w:t xml:space="preserve"> a commitment to “</w:t>
      </w:r>
      <w:r w:rsidRPr="002569BF">
        <w:rPr>
          <w:rFonts w:ascii="Calibri" w:hAnsi="Calibri" w:cs="Calibri"/>
          <w:i/>
          <w:sz w:val="22"/>
          <w:szCs w:val="22"/>
          <w:lang w:val="en-GB"/>
        </w:rPr>
        <w:t>promote competition, consumer trust, and consumer choice in the DNS marketplace</w:t>
      </w:r>
      <w:r w:rsidRPr="00584238">
        <w:rPr>
          <w:rFonts w:ascii="Calibri" w:hAnsi="Calibri" w:cs="Calibri"/>
          <w:sz w:val="22"/>
          <w:szCs w:val="22"/>
          <w:lang w:val="en-GB"/>
        </w:rPr>
        <w:t xml:space="preserve">”. </w:t>
      </w:r>
    </w:p>
    <w:p w14:paraId="2238D941" w14:textId="77777777" w:rsidR="00166DCD" w:rsidRDefault="00166DCD" w:rsidP="0070200A">
      <w:pPr>
        <w:widowControl w:val="0"/>
        <w:autoSpaceDE w:val="0"/>
        <w:autoSpaceDN w:val="0"/>
        <w:adjustRightInd w:val="0"/>
        <w:rPr>
          <w:rFonts w:ascii="Calibri" w:hAnsi="Calibri" w:cs="Calibri"/>
          <w:sz w:val="22"/>
          <w:szCs w:val="22"/>
          <w:lang w:val="en-GB"/>
        </w:rPr>
      </w:pPr>
    </w:p>
    <w:p w14:paraId="47B5E3E9" w14:textId="6DDAF9E4" w:rsidR="0070200A" w:rsidRDefault="0070200A" w:rsidP="0070200A">
      <w:pPr>
        <w:widowControl w:val="0"/>
        <w:autoSpaceDE w:val="0"/>
        <w:autoSpaceDN w:val="0"/>
        <w:adjustRightInd w:val="0"/>
        <w:rPr>
          <w:rFonts w:ascii="Calibri" w:hAnsi="Calibri" w:cs="Calibri"/>
          <w:sz w:val="22"/>
          <w:szCs w:val="22"/>
          <w:lang w:val="en-GB"/>
        </w:rPr>
      </w:pPr>
      <w:r w:rsidRPr="00584238">
        <w:rPr>
          <w:rFonts w:ascii="Calibri" w:hAnsi="Calibri" w:cs="Calibri"/>
          <w:sz w:val="22"/>
          <w:szCs w:val="22"/>
          <w:lang w:val="en-GB"/>
        </w:rPr>
        <w:t>Article 9.3 expan</w:t>
      </w:r>
      <w:r w:rsidR="00503D46">
        <w:rPr>
          <w:rFonts w:ascii="Calibri" w:hAnsi="Calibri" w:cs="Calibri"/>
          <w:sz w:val="22"/>
          <w:szCs w:val="22"/>
          <w:lang w:val="en-GB"/>
        </w:rPr>
        <w:t xml:space="preserve">ded on this and committed ICANN </w:t>
      </w:r>
      <w:r w:rsidRPr="00584238">
        <w:rPr>
          <w:rFonts w:ascii="Calibri" w:hAnsi="Calibri" w:cs="Calibri"/>
          <w:sz w:val="22"/>
          <w:szCs w:val="22"/>
          <w:lang w:val="en-GB"/>
        </w:rPr>
        <w:t>to “</w:t>
      </w:r>
      <w:r w:rsidRPr="002569BF">
        <w:rPr>
          <w:rFonts w:ascii="Calibri" w:hAnsi="Calibri" w:cs="Calibri"/>
          <w:i/>
          <w:sz w:val="22"/>
          <w:szCs w:val="22"/>
          <w:lang w:val="en-GB"/>
        </w:rPr>
        <w:t>adequately address” “competition, consumer protection, security, stability and resiliency, malicious abuse issues, sovereignty concerns, and rights protection” “prior to implementation</w:t>
      </w:r>
      <w:r w:rsidRPr="00584238">
        <w:rPr>
          <w:rFonts w:ascii="Calibri" w:hAnsi="Calibri" w:cs="Calibri"/>
          <w:sz w:val="22"/>
          <w:szCs w:val="22"/>
          <w:lang w:val="en-GB"/>
        </w:rPr>
        <w:t>”</w:t>
      </w:r>
      <w:r>
        <w:rPr>
          <w:rFonts w:ascii="Calibri" w:hAnsi="Calibri" w:cs="Calibri"/>
          <w:sz w:val="22"/>
          <w:szCs w:val="22"/>
          <w:lang w:val="en-GB"/>
        </w:rPr>
        <w:t>.</w:t>
      </w:r>
    </w:p>
    <w:p w14:paraId="27F53FFB" w14:textId="77777777" w:rsidR="0070200A" w:rsidRDefault="0070200A" w:rsidP="0070200A">
      <w:pPr>
        <w:widowControl w:val="0"/>
        <w:autoSpaceDE w:val="0"/>
        <w:autoSpaceDN w:val="0"/>
        <w:adjustRightInd w:val="0"/>
        <w:rPr>
          <w:rFonts w:ascii="Calibri" w:hAnsi="Calibri" w:cs="Calibri"/>
          <w:sz w:val="22"/>
          <w:szCs w:val="22"/>
          <w:lang w:val="en-GB"/>
        </w:rPr>
      </w:pPr>
    </w:p>
    <w:p w14:paraId="06A44DF7" w14:textId="77777777" w:rsidR="0070200A" w:rsidRPr="00584238" w:rsidRDefault="0070200A"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Article 9.3 also committed ICANN to perform a review one year after the first new gTLD was delegated, </w:t>
      </w:r>
      <w:r w:rsidRPr="00584238">
        <w:rPr>
          <w:rFonts w:ascii="Calibri" w:hAnsi="Calibri" w:cs="Calibri"/>
          <w:sz w:val="22"/>
          <w:szCs w:val="22"/>
          <w:lang w:val="en-GB"/>
        </w:rPr>
        <w:t>to “</w:t>
      </w:r>
      <w:r w:rsidRPr="002569BF">
        <w:rPr>
          <w:rFonts w:ascii="Calibri" w:hAnsi="Calibri" w:cs="Calibri"/>
          <w:i/>
          <w:sz w:val="22"/>
          <w:szCs w:val="22"/>
          <w:lang w:val="en-GB"/>
        </w:rPr>
        <w:t>examine the extent to which the introduction or expansion of gTLDs has promoted competition, consumer trust and consumer choice</w:t>
      </w:r>
      <w:r w:rsidRPr="00584238">
        <w:rPr>
          <w:rFonts w:ascii="Calibri" w:hAnsi="Calibri" w:cs="Calibri"/>
          <w:sz w:val="22"/>
          <w:szCs w:val="22"/>
          <w:lang w:val="en-GB"/>
        </w:rPr>
        <w:t>”.</w:t>
      </w:r>
    </w:p>
    <w:p w14:paraId="684F9EAC" w14:textId="77777777" w:rsidR="0070200A" w:rsidRPr="00584238" w:rsidRDefault="0070200A" w:rsidP="0070200A">
      <w:pPr>
        <w:widowControl w:val="0"/>
        <w:autoSpaceDE w:val="0"/>
        <w:autoSpaceDN w:val="0"/>
        <w:adjustRightInd w:val="0"/>
        <w:rPr>
          <w:rFonts w:ascii="Calibri" w:hAnsi="Calibri" w:cs="Calibri"/>
          <w:sz w:val="22"/>
          <w:szCs w:val="22"/>
          <w:lang w:val="en-GB"/>
        </w:rPr>
      </w:pPr>
    </w:p>
    <w:p w14:paraId="42A5F861" w14:textId="44B08750" w:rsidR="00646CE3" w:rsidRDefault="00646CE3" w:rsidP="00646CE3">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 xml:space="preserve">Community discussions during the AOC review of Accountability and Transparency included calls for </w:t>
      </w:r>
      <w:r w:rsidRPr="000812DC">
        <w:rPr>
          <w:rFonts w:ascii="Calibri" w:hAnsi="Calibri" w:cs="Calibri"/>
          <w:i/>
          <w:sz w:val="22"/>
          <w:szCs w:val="22"/>
          <w:lang w:val="en-GB"/>
        </w:rPr>
        <w:t>metrics</w:t>
      </w:r>
      <w:r>
        <w:rPr>
          <w:rFonts w:ascii="Calibri" w:hAnsi="Calibri" w:cs="Calibri"/>
          <w:sz w:val="22"/>
          <w:szCs w:val="22"/>
          <w:lang w:val="en-GB"/>
        </w:rPr>
        <w:t xml:space="preserve"> – objective measures that could be used to assess ICANN’s </w:t>
      </w:r>
      <w:r w:rsidR="000812DC">
        <w:rPr>
          <w:rFonts w:ascii="Calibri" w:hAnsi="Calibri" w:cs="Calibri"/>
          <w:sz w:val="22"/>
          <w:szCs w:val="22"/>
          <w:lang w:val="en-GB"/>
        </w:rPr>
        <w:t>performance</w:t>
      </w:r>
      <w:r>
        <w:rPr>
          <w:rFonts w:ascii="Calibri" w:hAnsi="Calibri" w:cs="Calibri"/>
          <w:sz w:val="22"/>
          <w:szCs w:val="22"/>
          <w:lang w:val="en-GB"/>
        </w:rPr>
        <w:t xml:space="preserve"> on key aspects of accountability and transparency.  Moreover, it was argued that such metrics would help ICANN management to focus </w:t>
      </w:r>
      <w:r w:rsidR="000812DC">
        <w:rPr>
          <w:rFonts w:ascii="Calibri" w:hAnsi="Calibri" w:cs="Calibri"/>
          <w:sz w:val="22"/>
          <w:szCs w:val="22"/>
          <w:lang w:val="en-GB"/>
        </w:rPr>
        <w:t xml:space="preserve">its </w:t>
      </w:r>
      <w:r>
        <w:rPr>
          <w:rFonts w:ascii="Calibri" w:hAnsi="Calibri" w:cs="Calibri"/>
          <w:sz w:val="22"/>
          <w:szCs w:val="22"/>
          <w:lang w:val="en-GB"/>
        </w:rPr>
        <w:t xml:space="preserve">efforts in ways that would measurably improve performance.   In that vein, several community members encouraged ICANN’s board to establish metrics for other AOC reviews and commitments, including public interest, consumer trust, competition, and consumer choice. </w:t>
      </w:r>
    </w:p>
    <w:p w14:paraId="74367D53" w14:textId="77777777" w:rsidR="00646CE3" w:rsidRDefault="00646CE3" w:rsidP="00646CE3">
      <w:pPr>
        <w:widowControl w:val="0"/>
        <w:autoSpaceDE w:val="0"/>
        <w:autoSpaceDN w:val="0"/>
        <w:adjustRightInd w:val="0"/>
        <w:rPr>
          <w:rFonts w:ascii="Calibri" w:hAnsi="Calibri" w:cs="Calibri"/>
          <w:sz w:val="22"/>
          <w:szCs w:val="22"/>
          <w:lang w:val="en-GB"/>
        </w:rPr>
      </w:pPr>
    </w:p>
    <w:p w14:paraId="5552C530" w14:textId="10253C2F" w:rsidR="0070200A" w:rsidRPr="00584238" w:rsidRDefault="00646CE3" w:rsidP="00646CE3">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Since</w:t>
      </w:r>
      <w:r w:rsidR="0070200A" w:rsidRPr="00584238">
        <w:rPr>
          <w:rFonts w:ascii="Calibri" w:hAnsi="Calibri" w:cs="Calibri"/>
          <w:sz w:val="22"/>
          <w:szCs w:val="22"/>
          <w:lang w:val="en-GB"/>
        </w:rPr>
        <w:t xml:space="preserve"> the AOC did not d</w:t>
      </w:r>
      <w:r w:rsidR="002569BF">
        <w:rPr>
          <w:rFonts w:ascii="Calibri" w:hAnsi="Calibri" w:cs="Calibri"/>
          <w:sz w:val="22"/>
          <w:szCs w:val="22"/>
          <w:lang w:val="en-GB"/>
        </w:rPr>
        <w:t xml:space="preserve">efine the terms or measures of </w:t>
      </w:r>
      <w:r w:rsidR="0070200A" w:rsidRPr="00584238">
        <w:rPr>
          <w:rFonts w:ascii="Calibri" w:hAnsi="Calibri" w:cs="Calibri"/>
          <w:sz w:val="22"/>
          <w:szCs w:val="22"/>
          <w:lang w:val="en-GB"/>
        </w:rPr>
        <w:t>competition, consu</w:t>
      </w:r>
      <w:r w:rsidR="002569BF">
        <w:rPr>
          <w:rFonts w:ascii="Calibri" w:hAnsi="Calibri" w:cs="Calibri"/>
          <w:sz w:val="22"/>
          <w:szCs w:val="22"/>
          <w:lang w:val="en-GB"/>
        </w:rPr>
        <w:t>mer trust and consumer choice</w:t>
      </w:r>
      <w:r>
        <w:rPr>
          <w:rFonts w:ascii="Calibri" w:hAnsi="Calibri" w:cs="Calibri"/>
          <w:sz w:val="22"/>
          <w:szCs w:val="22"/>
          <w:lang w:val="en-GB"/>
        </w:rPr>
        <w:t xml:space="preserve">, </w:t>
      </w:r>
      <w:r w:rsidR="0070200A" w:rsidRPr="00584238">
        <w:rPr>
          <w:rFonts w:ascii="Calibri" w:hAnsi="Calibri" w:cs="Calibri"/>
          <w:sz w:val="22"/>
          <w:szCs w:val="22"/>
          <w:lang w:val="en-GB"/>
        </w:rPr>
        <w:t>the ICANN Boar</w:t>
      </w:r>
      <w:r w:rsidR="002569BF">
        <w:rPr>
          <w:rFonts w:ascii="Calibri" w:hAnsi="Calibri" w:cs="Calibri"/>
          <w:sz w:val="22"/>
          <w:szCs w:val="22"/>
          <w:lang w:val="en-GB"/>
        </w:rPr>
        <w:t xml:space="preserve">d resolved in December 2010 to </w:t>
      </w:r>
      <w:r w:rsidR="0070200A" w:rsidRPr="00584238">
        <w:rPr>
          <w:rFonts w:ascii="Calibri" w:hAnsi="Calibri" w:cs="Calibri"/>
          <w:sz w:val="22"/>
          <w:szCs w:val="22"/>
          <w:lang w:val="en-GB"/>
        </w:rPr>
        <w:t>request advice from the ALAC, GAC, GNSO and ccNSO on establishing the definition, measures, and three year targets for those measures, for competiti</w:t>
      </w:r>
      <w:r w:rsidR="002569BF">
        <w:rPr>
          <w:rFonts w:ascii="Calibri" w:hAnsi="Calibri" w:cs="Calibri"/>
          <w:sz w:val="22"/>
          <w:szCs w:val="22"/>
          <w:lang w:val="en-GB"/>
        </w:rPr>
        <w:t>on, consumer trust and consumer.</w:t>
      </w:r>
      <w:r w:rsidR="0070200A" w:rsidRPr="00584238">
        <w:rPr>
          <w:rFonts w:ascii="Calibri" w:hAnsi="Calibri" w:cs="Calibri"/>
          <w:sz w:val="22"/>
          <w:szCs w:val="22"/>
          <w:lang w:val="en-GB"/>
        </w:rPr>
        <w:t xml:space="preserve"> </w:t>
      </w:r>
      <w:r w:rsidR="002569BF">
        <w:rPr>
          <w:rFonts w:ascii="Calibri" w:hAnsi="Calibri" w:cs="Calibri"/>
          <w:sz w:val="22"/>
          <w:szCs w:val="22"/>
          <w:lang w:val="en-GB"/>
        </w:rPr>
        <w:t xml:space="preserve">  The resolution reads:</w:t>
      </w:r>
    </w:p>
    <w:p w14:paraId="6363A09F" w14:textId="77777777" w:rsidR="0070200A" w:rsidRPr="003611B7" w:rsidRDefault="0070200A" w:rsidP="0070200A">
      <w:pPr>
        <w:widowControl w:val="0"/>
        <w:autoSpaceDE w:val="0"/>
        <w:autoSpaceDN w:val="0"/>
        <w:adjustRightInd w:val="0"/>
        <w:rPr>
          <w:rFonts w:ascii="Calibri" w:hAnsi="Calibri" w:cs="Calibri"/>
          <w:sz w:val="22"/>
          <w:szCs w:val="22"/>
        </w:rPr>
      </w:pPr>
    </w:p>
    <w:p w14:paraId="0015D9F8" w14:textId="77777777" w:rsidR="0070200A" w:rsidRPr="003611B7" w:rsidRDefault="0070200A" w:rsidP="0070200A">
      <w:pPr>
        <w:widowControl w:val="0"/>
        <w:autoSpaceDE w:val="0"/>
        <w:autoSpaceDN w:val="0"/>
        <w:adjustRightInd w:val="0"/>
        <w:ind w:left="720"/>
        <w:rPr>
          <w:rFonts w:ascii="Calibri" w:hAnsi="Calibri" w:cs="Calibri"/>
          <w:sz w:val="22"/>
          <w:szCs w:val="22"/>
        </w:rPr>
      </w:pPr>
      <w:r w:rsidRPr="003611B7">
        <w:rPr>
          <w:rFonts w:ascii="Calibri" w:hAnsi="Calibri" w:cs="Calibri"/>
          <w:sz w:val="22"/>
          <w:szCs w:val="22"/>
        </w:rPr>
        <w:t>Whereas, ICANN has committed to promoting competition, consumer trust and consumer choice in the Affirmation of Commitments</w:t>
      </w:r>
    </w:p>
    <w:p w14:paraId="6157A947"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7B05ECBF" w14:textId="77777777" w:rsidR="0070200A" w:rsidRPr="003611B7" w:rsidRDefault="0070200A" w:rsidP="0070200A">
      <w:pPr>
        <w:widowControl w:val="0"/>
        <w:autoSpaceDE w:val="0"/>
        <w:autoSpaceDN w:val="0"/>
        <w:adjustRightInd w:val="0"/>
        <w:ind w:left="720"/>
        <w:rPr>
          <w:rFonts w:ascii="Calibri" w:hAnsi="Calibri" w:cs="Calibri"/>
          <w:sz w:val="22"/>
          <w:szCs w:val="22"/>
        </w:rPr>
      </w:pPr>
      <w:r w:rsidRPr="003611B7">
        <w:rPr>
          <w:rFonts w:ascii="Calibri" w:hAnsi="Calibri" w:cs="Calibri"/>
          <w:sz w:val="22"/>
          <w:szCs w:val="22"/>
        </w:rPr>
        <w:t>Whereas, if and when new gTLDs (whether in ASCII or other language character sets) have been in operation for one year, ICANN has committed to organize a review that will examine the extent to which the introduction or expansion of gTLDs has promoted competition, consumer trust and consumer choice.</w:t>
      </w:r>
    </w:p>
    <w:p w14:paraId="2D584EB4"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4DCFC183" w14:textId="365EE6CB" w:rsidR="00890A94" w:rsidRDefault="00890A94" w:rsidP="0070200A">
      <w:pPr>
        <w:widowControl w:val="0"/>
        <w:autoSpaceDE w:val="0"/>
        <w:autoSpaceDN w:val="0"/>
        <w:adjustRightInd w:val="0"/>
        <w:ind w:left="720"/>
        <w:rPr>
          <w:rFonts w:ascii="Calibri" w:hAnsi="Calibri" w:cs="Calibri"/>
          <w:sz w:val="22"/>
          <w:szCs w:val="22"/>
        </w:rPr>
      </w:pPr>
      <w:r>
        <w:rPr>
          <w:rFonts w:ascii="Calibri" w:hAnsi="Calibri" w:cs="Calibri"/>
          <w:sz w:val="22"/>
          <w:szCs w:val="22"/>
        </w:rPr>
        <w:t>Resolved,</w:t>
      </w:r>
      <w:r w:rsidR="0070200A" w:rsidRPr="003611B7">
        <w:rPr>
          <w:rFonts w:ascii="Calibri" w:hAnsi="Calibri" w:cs="Calibri"/>
          <w:sz w:val="22"/>
          <w:szCs w:val="22"/>
        </w:rPr>
        <w:t xml:space="preserve"> the ICANN Board requests advice from the ALAC, GAC, GNSO and ccNSO on establishing the definition, measures, and three year targets for those measures, for competition, consumer trust and consumer choice in the context of the domain name system, such advice to be provided for discussion at the ICANN International Public meeting in San Francisco from 13-18 March 2011. </w:t>
      </w:r>
    </w:p>
    <w:p w14:paraId="3F21041C" w14:textId="77777777" w:rsidR="00890A94" w:rsidRDefault="00890A94" w:rsidP="0070200A">
      <w:pPr>
        <w:widowControl w:val="0"/>
        <w:autoSpaceDE w:val="0"/>
        <w:autoSpaceDN w:val="0"/>
        <w:adjustRightInd w:val="0"/>
        <w:ind w:left="720"/>
        <w:rPr>
          <w:rFonts w:ascii="Calibri" w:hAnsi="Calibri" w:cs="Calibri"/>
          <w:sz w:val="22"/>
          <w:szCs w:val="22"/>
        </w:rPr>
      </w:pPr>
    </w:p>
    <w:p w14:paraId="4E31F3CC" w14:textId="4E159460" w:rsidR="00BE1189" w:rsidRDefault="00890A94" w:rsidP="0070200A">
      <w:pPr>
        <w:widowControl w:val="0"/>
        <w:autoSpaceDE w:val="0"/>
        <w:autoSpaceDN w:val="0"/>
        <w:adjustRightInd w:val="0"/>
        <w:rPr>
          <w:rFonts w:ascii="Calibri" w:hAnsi="Calibri" w:cs="Calibri"/>
          <w:sz w:val="22"/>
          <w:szCs w:val="22"/>
        </w:rPr>
      </w:pPr>
      <w:r>
        <w:rPr>
          <w:rFonts w:ascii="Calibri" w:hAnsi="Calibri" w:cs="Calibri"/>
          <w:sz w:val="22"/>
          <w:szCs w:val="22"/>
        </w:rPr>
        <w:t>In response</w:t>
      </w:r>
      <w:r w:rsidR="00166DCD">
        <w:rPr>
          <w:rFonts w:ascii="Calibri" w:hAnsi="Calibri" w:cs="Calibri"/>
          <w:sz w:val="22"/>
          <w:szCs w:val="22"/>
        </w:rPr>
        <w:t xml:space="preserve"> to</w:t>
      </w:r>
      <w:r w:rsidR="00166DCD" w:rsidRPr="003611B7">
        <w:rPr>
          <w:rFonts w:ascii="Calibri" w:hAnsi="Calibri" w:cs="Calibri"/>
          <w:sz w:val="22"/>
          <w:szCs w:val="22"/>
        </w:rPr>
        <w:t xml:space="preserve"> </w:t>
      </w:r>
      <w:r w:rsidR="00166DCD">
        <w:rPr>
          <w:rFonts w:ascii="Calibri" w:hAnsi="Calibri" w:cs="Calibri"/>
          <w:sz w:val="22"/>
          <w:szCs w:val="22"/>
        </w:rPr>
        <w:t>that</w:t>
      </w:r>
      <w:r w:rsidR="00166DCD" w:rsidRPr="003611B7">
        <w:rPr>
          <w:rFonts w:ascii="Calibri" w:hAnsi="Calibri" w:cs="Calibri"/>
          <w:sz w:val="22"/>
          <w:szCs w:val="22"/>
        </w:rPr>
        <w:t xml:space="preserve"> </w:t>
      </w:r>
      <w:r w:rsidR="002569BF">
        <w:rPr>
          <w:rFonts w:ascii="Calibri" w:hAnsi="Calibri" w:cs="Calibri"/>
          <w:sz w:val="22"/>
          <w:szCs w:val="22"/>
        </w:rPr>
        <w:t>B</w:t>
      </w:r>
      <w:r w:rsidR="00166DCD">
        <w:rPr>
          <w:rFonts w:ascii="Calibri" w:hAnsi="Calibri" w:cs="Calibri"/>
          <w:sz w:val="22"/>
          <w:szCs w:val="22"/>
        </w:rPr>
        <w:t>oard resolution, community members in the GNSO, ccNSO and ALAC began to organize a joint working group</w:t>
      </w:r>
      <w:r w:rsidR="00503D46">
        <w:rPr>
          <w:rFonts w:ascii="Calibri" w:hAnsi="Calibri" w:cs="Calibri"/>
          <w:sz w:val="22"/>
          <w:szCs w:val="22"/>
        </w:rPr>
        <w:t xml:space="preserve"> at the Singapore meeting in Jun-2011</w:t>
      </w:r>
      <w:r w:rsidR="00166DCD">
        <w:rPr>
          <w:rFonts w:ascii="Calibri" w:hAnsi="Calibri" w:cs="Calibri"/>
          <w:sz w:val="22"/>
          <w:szCs w:val="22"/>
        </w:rPr>
        <w:t xml:space="preserve">.  </w:t>
      </w:r>
      <w:r w:rsidR="00BE1189">
        <w:rPr>
          <w:rFonts w:ascii="Calibri" w:hAnsi="Calibri" w:cs="Calibri"/>
          <w:sz w:val="22"/>
          <w:szCs w:val="22"/>
        </w:rPr>
        <w:t xml:space="preserve">The Working Group invited the GAC to participate and welcomes GAC response to this draft advice. </w:t>
      </w:r>
    </w:p>
    <w:p w14:paraId="003851C7" w14:textId="77777777" w:rsidR="00BE1189" w:rsidRDefault="00BE1189" w:rsidP="0070200A">
      <w:pPr>
        <w:widowControl w:val="0"/>
        <w:autoSpaceDE w:val="0"/>
        <w:autoSpaceDN w:val="0"/>
        <w:adjustRightInd w:val="0"/>
        <w:rPr>
          <w:rFonts w:ascii="Calibri" w:hAnsi="Calibri" w:cs="Calibri"/>
          <w:sz w:val="22"/>
          <w:szCs w:val="22"/>
        </w:rPr>
      </w:pPr>
    </w:p>
    <w:p w14:paraId="0BA5FBC3" w14:textId="08D9865E" w:rsidR="00BE1189" w:rsidRDefault="0070200A" w:rsidP="0070200A">
      <w:pPr>
        <w:widowControl w:val="0"/>
        <w:autoSpaceDE w:val="0"/>
        <w:autoSpaceDN w:val="0"/>
        <w:adjustRightInd w:val="0"/>
        <w:rPr>
          <w:rFonts w:ascii="Calibri" w:hAnsi="Calibri" w:cs="Calibri"/>
          <w:sz w:val="22"/>
          <w:szCs w:val="22"/>
        </w:rPr>
      </w:pPr>
      <w:r>
        <w:rPr>
          <w:rFonts w:ascii="Calibri" w:hAnsi="Calibri" w:cs="Calibri"/>
          <w:sz w:val="22"/>
          <w:szCs w:val="22"/>
        </w:rPr>
        <w:t>T</w:t>
      </w:r>
      <w:r w:rsidRPr="003611B7">
        <w:rPr>
          <w:rFonts w:ascii="Calibri" w:hAnsi="Calibri" w:cs="Calibri"/>
          <w:sz w:val="22"/>
          <w:szCs w:val="22"/>
        </w:rPr>
        <w:t>he Consumer Trust, Choice, and Competition Working Group</w:t>
      </w:r>
      <w:r>
        <w:rPr>
          <w:rFonts w:ascii="Calibri" w:hAnsi="Calibri" w:cs="Calibri"/>
          <w:sz w:val="22"/>
          <w:szCs w:val="22"/>
        </w:rPr>
        <w:t xml:space="preserve"> </w:t>
      </w:r>
      <w:r w:rsidR="00503D46">
        <w:rPr>
          <w:rFonts w:ascii="Calibri" w:hAnsi="Calibri" w:cs="Calibri"/>
          <w:sz w:val="22"/>
          <w:szCs w:val="22"/>
        </w:rPr>
        <w:t xml:space="preserve">was chartered </w:t>
      </w:r>
      <w:r w:rsidR="00BE1189">
        <w:rPr>
          <w:rFonts w:ascii="Calibri" w:hAnsi="Calibri" w:cs="Calibri"/>
          <w:sz w:val="22"/>
          <w:szCs w:val="22"/>
        </w:rPr>
        <w:t xml:space="preserve">first </w:t>
      </w:r>
      <w:r w:rsidR="00503D46">
        <w:rPr>
          <w:rFonts w:ascii="Calibri" w:hAnsi="Calibri" w:cs="Calibri"/>
          <w:sz w:val="22"/>
          <w:szCs w:val="22"/>
        </w:rPr>
        <w:t xml:space="preserve">by the GNSO Council on </w:t>
      </w:r>
      <w:r w:rsidR="00A11FD0">
        <w:rPr>
          <w:rFonts w:ascii="Calibri" w:hAnsi="Calibri" w:cs="Calibri"/>
          <w:sz w:val="22"/>
          <w:szCs w:val="22"/>
        </w:rPr>
        <w:t>[date]</w:t>
      </w:r>
      <w:r w:rsidR="00503D46">
        <w:rPr>
          <w:rFonts w:ascii="Calibri" w:hAnsi="Calibri" w:cs="Calibri"/>
          <w:sz w:val="22"/>
          <w:szCs w:val="22"/>
        </w:rPr>
        <w:t xml:space="preserve">.  </w:t>
      </w:r>
      <w:r w:rsidR="00BE1189">
        <w:rPr>
          <w:rFonts w:ascii="Calibri" w:hAnsi="Calibri" w:cs="Calibri"/>
          <w:sz w:val="22"/>
          <w:szCs w:val="22"/>
        </w:rPr>
        <w:t xml:space="preserve">It was intended that the Charter could also be formally endorsed by ALAC and ccNSO, but their endorsement was not a requirement for participation in the Working Group. </w:t>
      </w:r>
    </w:p>
    <w:p w14:paraId="4C1B9EEC" w14:textId="77777777" w:rsidR="00BE1189" w:rsidRDefault="00BE1189" w:rsidP="0070200A">
      <w:pPr>
        <w:widowControl w:val="0"/>
        <w:autoSpaceDE w:val="0"/>
        <w:autoSpaceDN w:val="0"/>
        <w:adjustRightInd w:val="0"/>
        <w:rPr>
          <w:rFonts w:ascii="Calibri" w:hAnsi="Calibri" w:cs="Calibri"/>
          <w:sz w:val="22"/>
          <w:szCs w:val="22"/>
        </w:rPr>
      </w:pPr>
    </w:p>
    <w:p w14:paraId="2806011A" w14:textId="7D02497E" w:rsidR="00BE1189" w:rsidRPr="00BE1189" w:rsidRDefault="00A11FD0" w:rsidP="005526A1">
      <w:pPr>
        <w:widowControl w:val="0"/>
        <w:autoSpaceDE w:val="0"/>
        <w:autoSpaceDN w:val="0"/>
        <w:adjustRightInd w:val="0"/>
        <w:rPr>
          <w:rFonts w:ascii="Calibri" w:hAnsi="Calibri" w:cs="Calibri"/>
          <w:sz w:val="22"/>
          <w:szCs w:val="22"/>
        </w:rPr>
      </w:pPr>
      <w:r>
        <w:rPr>
          <w:rFonts w:ascii="Calibri" w:hAnsi="Calibri" w:cs="Calibri"/>
          <w:sz w:val="22"/>
          <w:szCs w:val="22"/>
        </w:rPr>
        <w:t xml:space="preserve">In drafting its charter, the Working Group </w:t>
      </w:r>
      <w:r w:rsidR="000812DC">
        <w:rPr>
          <w:rFonts w:ascii="Calibri" w:hAnsi="Calibri" w:cs="Calibri"/>
          <w:sz w:val="22"/>
          <w:szCs w:val="22"/>
        </w:rPr>
        <w:t xml:space="preserve">understood that its work was to produce </w:t>
      </w:r>
      <w:r w:rsidRPr="00A11FD0">
        <w:rPr>
          <w:rFonts w:ascii="Calibri" w:hAnsi="Calibri" w:cs="Calibri"/>
          <w:sz w:val="22"/>
          <w:szCs w:val="22"/>
        </w:rPr>
        <w:t>advice</w:t>
      </w:r>
      <w:r w:rsidR="00BE1189" w:rsidRPr="00A11FD0">
        <w:rPr>
          <w:rFonts w:ascii="Calibri" w:hAnsi="Calibri" w:cs="Calibri"/>
          <w:sz w:val="22"/>
          <w:szCs w:val="22"/>
        </w:rPr>
        <w:t xml:space="preserve"> </w:t>
      </w:r>
      <w:r w:rsidRPr="00A11FD0">
        <w:rPr>
          <w:rFonts w:ascii="Calibri" w:hAnsi="Calibri" w:cs="Calibri"/>
          <w:sz w:val="22"/>
          <w:szCs w:val="22"/>
        </w:rPr>
        <w:t>for consideration by</w:t>
      </w:r>
      <w:r>
        <w:rPr>
          <w:rFonts w:ascii="Calibri" w:hAnsi="Calibri" w:cs="Calibri"/>
          <w:sz w:val="22"/>
          <w:szCs w:val="22"/>
        </w:rPr>
        <w:t xml:space="preserve"> </w:t>
      </w:r>
      <w:r w:rsidR="00BE1189" w:rsidRPr="00A11FD0">
        <w:rPr>
          <w:rFonts w:ascii="Calibri" w:hAnsi="Calibri" w:cs="Calibri"/>
          <w:sz w:val="22"/>
          <w:szCs w:val="22"/>
        </w:rPr>
        <w:t>GNSO, ccNSO, GAC and ALAC</w:t>
      </w:r>
      <w:r w:rsidR="000812DC">
        <w:rPr>
          <w:rFonts w:ascii="Calibri" w:hAnsi="Calibri" w:cs="Calibri"/>
          <w:sz w:val="22"/>
          <w:szCs w:val="22"/>
        </w:rPr>
        <w:t>, each of wh</w:t>
      </w:r>
      <w:r w:rsidR="005526A1">
        <w:rPr>
          <w:rFonts w:ascii="Calibri" w:hAnsi="Calibri" w:cs="Calibri"/>
          <w:sz w:val="22"/>
          <w:szCs w:val="22"/>
        </w:rPr>
        <w:t>om was asked for advice as part of the Board resolution discussed above.</w:t>
      </w:r>
      <w:r w:rsidR="00BE1189" w:rsidRPr="00A11FD0">
        <w:rPr>
          <w:rFonts w:ascii="Calibri" w:hAnsi="Calibri" w:cs="Calibri"/>
          <w:sz w:val="22"/>
          <w:szCs w:val="22"/>
        </w:rPr>
        <w:t xml:space="preserve"> </w:t>
      </w:r>
      <w:r w:rsidR="005526A1">
        <w:rPr>
          <w:rFonts w:ascii="Calibri" w:hAnsi="Calibri" w:cs="Calibri"/>
          <w:sz w:val="22"/>
          <w:szCs w:val="22"/>
        </w:rPr>
        <w:t xml:space="preserve">  Ea</w:t>
      </w:r>
      <w:r w:rsidR="00BE1189" w:rsidRPr="00BE1189">
        <w:rPr>
          <w:rFonts w:ascii="Calibri" w:hAnsi="Calibri" w:cs="Calibri"/>
          <w:sz w:val="22"/>
          <w:szCs w:val="22"/>
        </w:rPr>
        <w:t>ch AC/SO may act independently on the Working Group</w:t>
      </w:r>
      <w:r>
        <w:rPr>
          <w:rFonts w:ascii="Calibri" w:hAnsi="Calibri" w:cs="Calibri"/>
          <w:sz w:val="22"/>
          <w:szCs w:val="22"/>
        </w:rPr>
        <w:t>’s draft advice</w:t>
      </w:r>
      <w:r w:rsidR="00BE1189" w:rsidRPr="00BE1189">
        <w:rPr>
          <w:rFonts w:ascii="Calibri" w:hAnsi="Calibri" w:cs="Calibri"/>
          <w:sz w:val="22"/>
          <w:szCs w:val="22"/>
        </w:rPr>
        <w:t xml:space="preserve">, and may endorse all, part, or none of the </w:t>
      </w:r>
      <w:r>
        <w:rPr>
          <w:rFonts w:ascii="Calibri" w:hAnsi="Calibri" w:cs="Calibri"/>
          <w:sz w:val="22"/>
          <w:szCs w:val="22"/>
        </w:rPr>
        <w:t>draft advice</w:t>
      </w:r>
      <w:r w:rsidR="005526A1">
        <w:rPr>
          <w:rFonts w:ascii="Calibri" w:hAnsi="Calibri" w:cs="Calibri"/>
          <w:sz w:val="22"/>
          <w:szCs w:val="22"/>
        </w:rPr>
        <w:t xml:space="preserve"> as it decides how to respond to the Board resolution.</w:t>
      </w:r>
    </w:p>
    <w:p w14:paraId="380DAB19" w14:textId="77777777" w:rsidR="00BE1189" w:rsidRDefault="00BE1189" w:rsidP="0070200A">
      <w:pPr>
        <w:widowControl w:val="0"/>
        <w:autoSpaceDE w:val="0"/>
        <w:autoSpaceDN w:val="0"/>
        <w:adjustRightInd w:val="0"/>
        <w:rPr>
          <w:rFonts w:ascii="Calibri" w:hAnsi="Calibri" w:cs="Calibri"/>
          <w:b/>
          <w:bCs/>
          <w:i/>
          <w:iCs/>
          <w:sz w:val="22"/>
          <w:szCs w:val="22"/>
        </w:rPr>
      </w:pPr>
    </w:p>
    <w:p w14:paraId="0D6C7357" w14:textId="63575544" w:rsidR="000118A8" w:rsidRPr="00BE1189" w:rsidRDefault="00A11FD0" w:rsidP="000118A8">
      <w:pPr>
        <w:widowControl w:val="0"/>
        <w:autoSpaceDE w:val="0"/>
        <w:autoSpaceDN w:val="0"/>
        <w:adjustRightInd w:val="0"/>
        <w:rPr>
          <w:rFonts w:ascii="Calibri" w:hAnsi="Calibri" w:cs="Calibri"/>
          <w:sz w:val="22"/>
          <w:szCs w:val="22"/>
        </w:rPr>
      </w:pPr>
      <w:r>
        <w:rPr>
          <w:rFonts w:ascii="Calibri" w:hAnsi="Calibri" w:cs="Calibri"/>
          <w:sz w:val="22"/>
          <w:szCs w:val="22"/>
        </w:rPr>
        <w:t xml:space="preserve">The Working Group understands that the purpose of </w:t>
      </w:r>
      <w:r w:rsidR="002E6740">
        <w:rPr>
          <w:rFonts w:ascii="Calibri" w:hAnsi="Calibri" w:cs="Calibri"/>
          <w:sz w:val="22"/>
          <w:szCs w:val="22"/>
        </w:rPr>
        <w:t xml:space="preserve">this </w:t>
      </w:r>
      <w:r>
        <w:rPr>
          <w:rFonts w:ascii="Calibri" w:hAnsi="Calibri" w:cs="Calibri"/>
          <w:sz w:val="22"/>
          <w:szCs w:val="22"/>
        </w:rPr>
        <w:t xml:space="preserve">advice is to </w:t>
      </w:r>
      <w:r w:rsidR="00BE1189" w:rsidRPr="00BE1189">
        <w:rPr>
          <w:rFonts w:ascii="Calibri" w:hAnsi="Calibri" w:cs="Calibri"/>
          <w:sz w:val="22"/>
          <w:szCs w:val="22"/>
        </w:rPr>
        <w:t>provide ICANN</w:t>
      </w:r>
      <w:r>
        <w:rPr>
          <w:rFonts w:ascii="Calibri" w:hAnsi="Calibri" w:cs="Calibri"/>
          <w:sz w:val="22"/>
          <w:szCs w:val="22"/>
        </w:rPr>
        <w:t xml:space="preserve">’s board </w:t>
      </w:r>
      <w:r w:rsidR="00BE1189" w:rsidRPr="00BE1189">
        <w:rPr>
          <w:rFonts w:ascii="Calibri" w:hAnsi="Calibri" w:cs="Calibri"/>
          <w:sz w:val="22"/>
          <w:szCs w:val="22"/>
        </w:rPr>
        <w:t>with</w:t>
      </w:r>
      <w:r>
        <w:rPr>
          <w:rFonts w:ascii="Calibri" w:hAnsi="Calibri" w:cs="Calibri"/>
          <w:sz w:val="22"/>
          <w:szCs w:val="22"/>
        </w:rPr>
        <w:t xml:space="preserve"> </w:t>
      </w:r>
      <w:r w:rsidR="000118A8">
        <w:rPr>
          <w:rFonts w:ascii="Calibri" w:hAnsi="Calibri" w:cs="Calibri"/>
          <w:sz w:val="22"/>
          <w:szCs w:val="22"/>
        </w:rPr>
        <w:t xml:space="preserve">definitions, measures, and targets that could be useful to the AOC review team that will convene one year after new gTLDs are launched.  However, the Working Group understands that this advice cannot pre-determine or otherwise </w:t>
      </w:r>
      <w:r w:rsidR="000118A8" w:rsidRPr="00BE1189">
        <w:rPr>
          <w:rFonts w:ascii="Calibri" w:hAnsi="Calibri" w:cs="Calibri"/>
          <w:sz w:val="22"/>
          <w:szCs w:val="22"/>
        </w:rPr>
        <w:t xml:space="preserve">limit the scope of the </w:t>
      </w:r>
      <w:r w:rsidR="000118A8">
        <w:rPr>
          <w:rFonts w:ascii="Calibri" w:hAnsi="Calibri" w:cs="Calibri"/>
          <w:sz w:val="22"/>
          <w:szCs w:val="22"/>
        </w:rPr>
        <w:t xml:space="preserve">future AOC </w:t>
      </w:r>
      <w:r w:rsidR="000118A8" w:rsidRPr="00BE1189">
        <w:rPr>
          <w:rFonts w:ascii="Calibri" w:hAnsi="Calibri" w:cs="Calibri"/>
          <w:sz w:val="22"/>
          <w:szCs w:val="22"/>
        </w:rPr>
        <w:t>review</w:t>
      </w:r>
      <w:r w:rsidR="000118A8">
        <w:rPr>
          <w:rFonts w:ascii="Calibri" w:hAnsi="Calibri" w:cs="Calibri"/>
          <w:sz w:val="22"/>
          <w:szCs w:val="22"/>
        </w:rPr>
        <w:t xml:space="preserve"> team.</w:t>
      </w:r>
    </w:p>
    <w:p w14:paraId="08D3614A" w14:textId="77777777" w:rsidR="000118A8" w:rsidRDefault="000118A8" w:rsidP="00A11FD0">
      <w:pPr>
        <w:widowControl w:val="0"/>
        <w:autoSpaceDE w:val="0"/>
        <w:autoSpaceDN w:val="0"/>
        <w:adjustRightInd w:val="0"/>
        <w:rPr>
          <w:rFonts w:ascii="Calibri" w:hAnsi="Calibri" w:cs="Calibri"/>
          <w:sz w:val="22"/>
          <w:szCs w:val="22"/>
        </w:rPr>
      </w:pPr>
    </w:p>
    <w:p w14:paraId="509973F4" w14:textId="24079447" w:rsidR="002E6740" w:rsidRDefault="000118A8" w:rsidP="00A11FD0">
      <w:pPr>
        <w:widowControl w:val="0"/>
        <w:autoSpaceDE w:val="0"/>
        <w:autoSpaceDN w:val="0"/>
        <w:adjustRightInd w:val="0"/>
        <w:rPr>
          <w:rFonts w:ascii="Calibri" w:hAnsi="Calibri" w:cs="Calibri"/>
          <w:sz w:val="22"/>
          <w:szCs w:val="22"/>
        </w:rPr>
      </w:pPr>
      <w:r>
        <w:rPr>
          <w:rFonts w:ascii="Calibri" w:hAnsi="Calibri" w:cs="Calibri"/>
          <w:sz w:val="22"/>
          <w:szCs w:val="22"/>
        </w:rPr>
        <w:t xml:space="preserve">In addition, the Working Group anticipates </w:t>
      </w:r>
      <w:r w:rsidR="002E6740">
        <w:rPr>
          <w:rFonts w:ascii="Calibri" w:hAnsi="Calibri" w:cs="Calibri"/>
          <w:sz w:val="22"/>
          <w:szCs w:val="22"/>
        </w:rPr>
        <w:t xml:space="preserve">that </w:t>
      </w:r>
      <w:r>
        <w:rPr>
          <w:rFonts w:ascii="Calibri" w:hAnsi="Calibri" w:cs="Calibri"/>
          <w:sz w:val="22"/>
          <w:szCs w:val="22"/>
        </w:rPr>
        <w:t xml:space="preserve">ICANN’s board will establish </w:t>
      </w:r>
      <w:r w:rsidR="002E6740">
        <w:rPr>
          <w:rFonts w:ascii="Calibri" w:hAnsi="Calibri" w:cs="Calibri"/>
          <w:sz w:val="22"/>
          <w:szCs w:val="22"/>
        </w:rPr>
        <w:t xml:space="preserve">definitions, measures, and targets </w:t>
      </w:r>
      <w:r w:rsidR="00E267B5">
        <w:rPr>
          <w:rFonts w:ascii="Calibri" w:hAnsi="Calibri" w:cs="Calibri"/>
          <w:sz w:val="22"/>
          <w:szCs w:val="22"/>
        </w:rPr>
        <w:t xml:space="preserve">early enough to become </w:t>
      </w:r>
      <w:r w:rsidR="005526A1">
        <w:rPr>
          <w:rFonts w:ascii="Calibri" w:hAnsi="Calibri" w:cs="Calibri"/>
          <w:sz w:val="22"/>
          <w:szCs w:val="22"/>
        </w:rPr>
        <w:t xml:space="preserve">part of ICANN’s management objectives </w:t>
      </w:r>
      <w:r w:rsidR="00E267B5">
        <w:rPr>
          <w:rFonts w:ascii="Calibri" w:hAnsi="Calibri" w:cs="Calibri"/>
          <w:sz w:val="22"/>
          <w:szCs w:val="22"/>
        </w:rPr>
        <w:t xml:space="preserve">as it evaluates and delegates </w:t>
      </w:r>
      <w:r w:rsidR="005526A1">
        <w:rPr>
          <w:rFonts w:ascii="Calibri" w:hAnsi="Calibri" w:cs="Calibri"/>
          <w:sz w:val="22"/>
          <w:szCs w:val="22"/>
        </w:rPr>
        <w:t>new gTLDs</w:t>
      </w:r>
      <w:r w:rsidR="00E267B5">
        <w:rPr>
          <w:rFonts w:ascii="Calibri" w:hAnsi="Calibri" w:cs="Calibri"/>
          <w:sz w:val="22"/>
          <w:szCs w:val="22"/>
        </w:rPr>
        <w:t xml:space="preserve"> in 2012 and 2013</w:t>
      </w:r>
      <w:r w:rsidR="005526A1">
        <w:rPr>
          <w:rFonts w:ascii="Calibri" w:hAnsi="Calibri" w:cs="Calibri"/>
          <w:sz w:val="22"/>
          <w:szCs w:val="22"/>
        </w:rPr>
        <w:t xml:space="preserve">. </w:t>
      </w:r>
    </w:p>
    <w:p w14:paraId="343C0A4F" w14:textId="77777777" w:rsidR="002E6740" w:rsidRDefault="002E6740" w:rsidP="00A11FD0">
      <w:pPr>
        <w:widowControl w:val="0"/>
        <w:autoSpaceDE w:val="0"/>
        <w:autoSpaceDN w:val="0"/>
        <w:adjustRightInd w:val="0"/>
        <w:rPr>
          <w:rFonts w:ascii="Calibri" w:hAnsi="Calibri" w:cs="Calibri"/>
          <w:sz w:val="22"/>
          <w:szCs w:val="22"/>
        </w:rPr>
      </w:pPr>
    </w:p>
    <w:p w14:paraId="583AE776" w14:textId="77777777" w:rsidR="001E58BB" w:rsidRDefault="001E58BB" w:rsidP="00D00805">
      <w:pPr>
        <w:widowControl w:val="0"/>
        <w:autoSpaceDE w:val="0"/>
        <w:autoSpaceDN w:val="0"/>
        <w:adjustRightInd w:val="0"/>
        <w:rPr>
          <w:rFonts w:ascii="Calibri" w:hAnsi="Calibri" w:cs="Calibri"/>
          <w:sz w:val="22"/>
          <w:szCs w:val="22"/>
        </w:rPr>
      </w:pPr>
    </w:p>
    <w:p w14:paraId="18B29E82" w14:textId="242D42E5" w:rsidR="001E58BB" w:rsidRPr="00AC4FF1" w:rsidRDefault="001E58BB" w:rsidP="00FD0DD7">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Community represent</w:t>
      </w:r>
      <w:r w:rsidR="00AC4FF1">
        <w:rPr>
          <w:rFonts w:ascii="Calibri" w:hAnsi="Calibri" w:cs="Calibri"/>
          <w:b/>
          <w:sz w:val="22"/>
          <w:szCs w:val="22"/>
        </w:rPr>
        <w:t>ation</w:t>
      </w:r>
      <w:r w:rsidR="0044303F">
        <w:rPr>
          <w:rFonts w:ascii="Calibri" w:hAnsi="Calibri" w:cs="Calibri"/>
          <w:b/>
          <w:sz w:val="22"/>
          <w:szCs w:val="22"/>
        </w:rPr>
        <w:t xml:space="preserve"> on the Working Group</w:t>
      </w:r>
    </w:p>
    <w:p w14:paraId="7F80CEA7" w14:textId="77777777" w:rsidR="0070200A" w:rsidRDefault="0070200A" w:rsidP="0070200A">
      <w:pPr>
        <w:widowControl w:val="0"/>
        <w:autoSpaceDE w:val="0"/>
        <w:autoSpaceDN w:val="0"/>
        <w:adjustRightInd w:val="0"/>
        <w:rPr>
          <w:rFonts w:ascii="Calibri" w:hAnsi="Calibri" w:cs="Calibri"/>
          <w:sz w:val="22"/>
          <w:szCs w:val="22"/>
        </w:rPr>
      </w:pPr>
    </w:p>
    <w:p w14:paraId="31A68B9D" w14:textId="3A111452" w:rsidR="0070200A" w:rsidRDefault="0070200A" w:rsidP="0070200A">
      <w:pPr>
        <w:widowControl w:val="0"/>
        <w:autoSpaceDE w:val="0"/>
        <w:autoSpaceDN w:val="0"/>
        <w:adjustRightInd w:val="0"/>
        <w:rPr>
          <w:rFonts w:ascii="Calibri" w:hAnsi="Calibri" w:cs="Calibri"/>
          <w:sz w:val="22"/>
          <w:szCs w:val="22"/>
          <w:lang w:val="en-GB"/>
        </w:rPr>
      </w:pPr>
      <w:r>
        <w:rPr>
          <w:rFonts w:ascii="Calibri" w:hAnsi="Calibri" w:cs="Calibri"/>
          <w:sz w:val="22"/>
          <w:szCs w:val="22"/>
          <w:lang w:val="en-GB"/>
        </w:rPr>
        <w:t>The Working Group on Consumer Trust, Choice, and Competition was formed to respond to an ICANN Board resolution regarding a review of the new gTLD program, as required under the Affirmation of Commitments.</w:t>
      </w:r>
      <w:r w:rsidR="000812DC">
        <w:rPr>
          <w:rFonts w:ascii="Calibri" w:hAnsi="Calibri" w:cs="Calibri"/>
          <w:sz w:val="22"/>
          <w:szCs w:val="22"/>
          <w:lang w:val="en-GB"/>
        </w:rPr>
        <w:t xml:space="preserve">  Names of Working Group participants and ICANN staff are listed in Appendix A.</w:t>
      </w:r>
    </w:p>
    <w:p w14:paraId="17779621" w14:textId="77777777" w:rsidR="001E58BB" w:rsidRDefault="001E58BB" w:rsidP="00D00805">
      <w:pPr>
        <w:widowControl w:val="0"/>
        <w:autoSpaceDE w:val="0"/>
        <w:autoSpaceDN w:val="0"/>
        <w:adjustRightInd w:val="0"/>
        <w:rPr>
          <w:rFonts w:ascii="Calibri" w:hAnsi="Calibri" w:cs="Calibri"/>
          <w:sz w:val="22"/>
          <w:szCs w:val="22"/>
        </w:rPr>
      </w:pPr>
    </w:p>
    <w:p w14:paraId="31070E20" w14:textId="4D6037F1" w:rsidR="001E58BB" w:rsidRPr="00AC4FF1" w:rsidRDefault="001E58BB" w:rsidP="00D00805">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Process</w:t>
      </w:r>
      <w:r w:rsidR="0070200A" w:rsidRPr="00AC4FF1">
        <w:rPr>
          <w:rFonts w:ascii="Calibri" w:hAnsi="Calibri" w:cs="Calibri"/>
          <w:b/>
          <w:sz w:val="22"/>
          <w:szCs w:val="22"/>
        </w:rPr>
        <w:t xml:space="preserve"> for developing this </w:t>
      </w:r>
      <w:r w:rsidR="005526A1">
        <w:rPr>
          <w:rFonts w:ascii="Calibri" w:hAnsi="Calibri" w:cs="Calibri"/>
          <w:b/>
          <w:sz w:val="22"/>
          <w:szCs w:val="22"/>
        </w:rPr>
        <w:t xml:space="preserve">Draft </w:t>
      </w:r>
      <w:r w:rsidR="0070200A" w:rsidRPr="00AC4FF1">
        <w:rPr>
          <w:rFonts w:ascii="Calibri" w:hAnsi="Calibri" w:cs="Calibri"/>
          <w:b/>
          <w:sz w:val="22"/>
          <w:szCs w:val="22"/>
        </w:rPr>
        <w:t>Advice</w:t>
      </w:r>
    </w:p>
    <w:p w14:paraId="77425768" w14:textId="77777777" w:rsidR="005526A1" w:rsidRDefault="005526A1" w:rsidP="0070200A">
      <w:pPr>
        <w:widowControl w:val="0"/>
        <w:autoSpaceDE w:val="0"/>
        <w:autoSpaceDN w:val="0"/>
        <w:adjustRightInd w:val="0"/>
        <w:rPr>
          <w:rFonts w:ascii="Calibri" w:hAnsi="Calibri" w:cs="Calibri"/>
          <w:sz w:val="22"/>
          <w:szCs w:val="22"/>
        </w:rPr>
      </w:pPr>
    </w:p>
    <w:p w14:paraId="6933E0B7" w14:textId="77777777" w:rsidR="005526A1" w:rsidRDefault="005526A1" w:rsidP="0070200A">
      <w:pPr>
        <w:widowControl w:val="0"/>
        <w:autoSpaceDE w:val="0"/>
        <w:autoSpaceDN w:val="0"/>
        <w:adjustRightInd w:val="0"/>
        <w:rPr>
          <w:rFonts w:ascii="Calibri" w:hAnsi="Calibri" w:cs="Calibri"/>
          <w:sz w:val="22"/>
          <w:szCs w:val="22"/>
        </w:rPr>
      </w:pPr>
      <w:r>
        <w:rPr>
          <w:rFonts w:ascii="Calibri" w:hAnsi="Calibri" w:cs="Calibri"/>
          <w:sz w:val="22"/>
          <w:szCs w:val="22"/>
        </w:rPr>
        <w:t>The Working Group began regular meetings after the Singapore meeting in June 2011.  Working Group members drafted a charter for consideration by any and all community groups form whom the board solicited advice.   The Charter was approved by the GNSO on [date] and is available at [link]</w:t>
      </w:r>
    </w:p>
    <w:p w14:paraId="7EA00B40" w14:textId="77777777" w:rsidR="005526A1" w:rsidRDefault="005526A1" w:rsidP="0070200A">
      <w:pPr>
        <w:widowControl w:val="0"/>
        <w:autoSpaceDE w:val="0"/>
        <w:autoSpaceDN w:val="0"/>
        <w:adjustRightInd w:val="0"/>
        <w:rPr>
          <w:rFonts w:ascii="Calibri" w:hAnsi="Calibri" w:cs="Calibri"/>
          <w:sz w:val="22"/>
          <w:szCs w:val="22"/>
        </w:rPr>
      </w:pPr>
    </w:p>
    <w:p w14:paraId="7C4D08B9" w14:textId="77777777" w:rsidR="005026D1" w:rsidRDefault="005526A1" w:rsidP="0070200A">
      <w:pPr>
        <w:widowControl w:val="0"/>
        <w:autoSpaceDE w:val="0"/>
        <w:autoSpaceDN w:val="0"/>
        <w:adjustRightInd w:val="0"/>
        <w:rPr>
          <w:rFonts w:ascii="Calibri" w:hAnsi="Calibri" w:cs="Calibri"/>
          <w:sz w:val="22"/>
          <w:szCs w:val="22"/>
        </w:rPr>
      </w:pPr>
      <w:r>
        <w:rPr>
          <w:rFonts w:ascii="Calibri" w:hAnsi="Calibri" w:cs="Calibri"/>
          <w:sz w:val="22"/>
          <w:szCs w:val="22"/>
        </w:rPr>
        <w:t>In addition to its bi-weekly conference calls, the working group held public discussion sessions at the Singapore and Dakar meetings</w:t>
      </w:r>
      <w:r w:rsidR="0070200A" w:rsidRPr="00D00805">
        <w:rPr>
          <w:rFonts w:ascii="Calibri" w:hAnsi="Calibri" w:cs="Calibri"/>
          <w:sz w:val="22"/>
          <w:szCs w:val="22"/>
        </w:rPr>
        <w:t xml:space="preserve">, </w:t>
      </w:r>
      <w:r>
        <w:rPr>
          <w:rFonts w:ascii="Calibri" w:hAnsi="Calibri" w:cs="Calibri"/>
          <w:sz w:val="22"/>
          <w:szCs w:val="22"/>
        </w:rPr>
        <w:t xml:space="preserve">including </w:t>
      </w:r>
      <w:r w:rsidR="0070200A" w:rsidRPr="00D00805">
        <w:rPr>
          <w:rFonts w:ascii="Calibri" w:hAnsi="Calibri" w:cs="Calibri"/>
          <w:sz w:val="22"/>
          <w:szCs w:val="22"/>
        </w:rPr>
        <w:t>presentations</w:t>
      </w:r>
      <w:r>
        <w:rPr>
          <w:rFonts w:ascii="Calibri" w:hAnsi="Calibri" w:cs="Calibri"/>
          <w:sz w:val="22"/>
          <w:szCs w:val="22"/>
        </w:rPr>
        <w:t xml:space="preserve"> of prelim</w:t>
      </w:r>
      <w:r w:rsidR="005026D1">
        <w:rPr>
          <w:rFonts w:ascii="Calibri" w:hAnsi="Calibri" w:cs="Calibri"/>
          <w:sz w:val="22"/>
          <w:szCs w:val="22"/>
        </w:rPr>
        <w:t>inary results.   In Dakar, the W</w:t>
      </w:r>
      <w:r>
        <w:rPr>
          <w:rFonts w:ascii="Calibri" w:hAnsi="Calibri" w:cs="Calibri"/>
          <w:sz w:val="22"/>
          <w:szCs w:val="22"/>
        </w:rPr>
        <w:t xml:space="preserve">orking Group </w:t>
      </w:r>
      <w:r w:rsidR="005026D1">
        <w:rPr>
          <w:rFonts w:ascii="Calibri" w:hAnsi="Calibri" w:cs="Calibri"/>
          <w:sz w:val="22"/>
          <w:szCs w:val="22"/>
        </w:rPr>
        <w:t xml:space="preserve">gave </w:t>
      </w:r>
      <w:r>
        <w:rPr>
          <w:rFonts w:ascii="Calibri" w:hAnsi="Calibri" w:cs="Calibri"/>
          <w:sz w:val="22"/>
          <w:szCs w:val="22"/>
        </w:rPr>
        <w:t>brief</w:t>
      </w:r>
      <w:r w:rsidR="005026D1">
        <w:rPr>
          <w:rFonts w:ascii="Calibri" w:hAnsi="Calibri" w:cs="Calibri"/>
          <w:sz w:val="22"/>
          <w:szCs w:val="22"/>
        </w:rPr>
        <w:t xml:space="preserve">ings to GNSO Council during its weekend sessions.  </w:t>
      </w:r>
    </w:p>
    <w:p w14:paraId="7334314D" w14:textId="77777777" w:rsidR="005026D1" w:rsidRDefault="005026D1" w:rsidP="0070200A">
      <w:pPr>
        <w:widowControl w:val="0"/>
        <w:autoSpaceDE w:val="0"/>
        <w:autoSpaceDN w:val="0"/>
        <w:adjustRightInd w:val="0"/>
        <w:rPr>
          <w:rFonts w:ascii="Calibri" w:hAnsi="Calibri" w:cs="Calibri"/>
          <w:sz w:val="22"/>
          <w:szCs w:val="22"/>
        </w:rPr>
      </w:pPr>
    </w:p>
    <w:p w14:paraId="76B5B6F7" w14:textId="77115DB6" w:rsidR="001E58BB" w:rsidRDefault="005026D1"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This initial draft of advice is being posted for </w:t>
      </w:r>
      <w:r w:rsidR="0070200A" w:rsidRPr="00D00805">
        <w:rPr>
          <w:rFonts w:ascii="Calibri" w:hAnsi="Calibri" w:cs="Calibri"/>
          <w:sz w:val="22"/>
          <w:szCs w:val="22"/>
        </w:rPr>
        <w:t xml:space="preserve">public comment </w:t>
      </w:r>
      <w:r>
        <w:rPr>
          <w:rFonts w:ascii="Calibri" w:hAnsi="Calibri" w:cs="Calibri"/>
          <w:sz w:val="22"/>
          <w:szCs w:val="22"/>
        </w:rPr>
        <w:t xml:space="preserve">on [date].  The Working Group will assess comments received and expects to offer draft advice to ALAC, ccNSO, GAC, and GNSO </w:t>
      </w:r>
      <w:r w:rsidR="0059570B">
        <w:rPr>
          <w:rFonts w:ascii="Calibri" w:hAnsi="Calibri" w:cs="Calibri"/>
          <w:sz w:val="22"/>
          <w:szCs w:val="22"/>
        </w:rPr>
        <w:t xml:space="preserve">soon after closing of the public comment period. </w:t>
      </w:r>
    </w:p>
    <w:p w14:paraId="15DA924F" w14:textId="77777777" w:rsidR="005026D1" w:rsidRDefault="005026D1" w:rsidP="002F121F">
      <w:pPr>
        <w:widowControl w:val="0"/>
        <w:autoSpaceDE w:val="0"/>
        <w:autoSpaceDN w:val="0"/>
        <w:adjustRightInd w:val="0"/>
        <w:rPr>
          <w:rFonts w:ascii="Calibri" w:hAnsi="Calibri" w:cs="Calibri"/>
          <w:sz w:val="22"/>
          <w:szCs w:val="22"/>
        </w:rPr>
      </w:pPr>
    </w:p>
    <w:p w14:paraId="459106E8" w14:textId="7A58F025" w:rsidR="001E58BB" w:rsidRDefault="0070200A" w:rsidP="002F121F">
      <w:pPr>
        <w:widowControl w:val="0"/>
        <w:autoSpaceDE w:val="0"/>
        <w:autoSpaceDN w:val="0"/>
        <w:adjustRightInd w:val="0"/>
        <w:rPr>
          <w:rFonts w:ascii="Calibri" w:hAnsi="Calibri" w:cs="Calibri"/>
          <w:b/>
          <w:sz w:val="22"/>
          <w:szCs w:val="22"/>
        </w:rPr>
      </w:pPr>
      <w:r w:rsidRPr="00AC4FF1">
        <w:rPr>
          <w:rFonts w:ascii="Calibri" w:hAnsi="Calibri" w:cs="Calibri"/>
          <w:b/>
          <w:sz w:val="22"/>
          <w:szCs w:val="22"/>
        </w:rPr>
        <w:t>Advice</w:t>
      </w:r>
      <w:r w:rsidR="002F121F">
        <w:rPr>
          <w:rFonts w:ascii="Calibri" w:hAnsi="Calibri" w:cs="Calibri"/>
          <w:b/>
          <w:sz w:val="22"/>
          <w:szCs w:val="22"/>
        </w:rPr>
        <w:t xml:space="preserve"> on D</w:t>
      </w:r>
      <w:r w:rsidRPr="00AC4FF1">
        <w:rPr>
          <w:rFonts w:ascii="Calibri" w:hAnsi="Calibri" w:cs="Calibri"/>
          <w:b/>
          <w:sz w:val="22"/>
          <w:szCs w:val="22"/>
        </w:rPr>
        <w:t>efinitions</w:t>
      </w:r>
    </w:p>
    <w:p w14:paraId="4101B101" w14:textId="77777777" w:rsidR="002F121F" w:rsidRDefault="002F121F" w:rsidP="002F121F">
      <w:pPr>
        <w:widowControl w:val="0"/>
        <w:autoSpaceDE w:val="0"/>
        <w:autoSpaceDN w:val="0"/>
        <w:adjustRightInd w:val="0"/>
        <w:rPr>
          <w:rFonts w:ascii="Calibri" w:hAnsi="Calibri" w:cs="Calibri"/>
          <w:b/>
          <w:sz w:val="22"/>
          <w:szCs w:val="22"/>
        </w:rPr>
      </w:pPr>
    </w:p>
    <w:p w14:paraId="78F04D0D" w14:textId="5FBB18F9" w:rsidR="002F121F" w:rsidRPr="007D6351" w:rsidRDefault="002F121F" w:rsidP="002F121F">
      <w:pPr>
        <w:widowControl w:val="0"/>
        <w:autoSpaceDE w:val="0"/>
        <w:autoSpaceDN w:val="0"/>
        <w:adjustRightInd w:val="0"/>
        <w:rPr>
          <w:rFonts w:ascii="Calibri" w:hAnsi="Calibri" w:cs="Calibri"/>
          <w:sz w:val="22"/>
          <w:szCs w:val="22"/>
        </w:rPr>
      </w:pPr>
      <w:r w:rsidRPr="002F121F">
        <w:rPr>
          <w:rFonts w:ascii="Calibri" w:hAnsi="Calibri" w:cs="Calibri"/>
          <w:sz w:val="22"/>
          <w:szCs w:val="22"/>
        </w:rPr>
        <w:t>As its initial task, the Working Group</w:t>
      </w:r>
      <w:r>
        <w:rPr>
          <w:rFonts w:ascii="Calibri" w:hAnsi="Calibri" w:cs="Calibri"/>
          <w:sz w:val="22"/>
          <w:szCs w:val="22"/>
        </w:rPr>
        <w:t xml:space="preserve"> </w:t>
      </w:r>
      <w:r w:rsidR="00BE1189">
        <w:rPr>
          <w:rFonts w:ascii="Calibri" w:hAnsi="Calibri" w:cs="Calibri"/>
          <w:sz w:val="22"/>
          <w:szCs w:val="22"/>
        </w:rPr>
        <w:t>considered definitions for</w:t>
      </w:r>
      <w:r>
        <w:rPr>
          <w:rFonts w:ascii="Calibri" w:hAnsi="Calibri" w:cs="Calibri"/>
          <w:sz w:val="22"/>
          <w:szCs w:val="22"/>
        </w:rPr>
        <w:t xml:space="preserve"> Consumer Trust, Competition, and </w:t>
      </w:r>
      <w:r w:rsidR="008C345B">
        <w:rPr>
          <w:rFonts w:ascii="Calibri" w:hAnsi="Calibri" w:cs="Calibri"/>
          <w:sz w:val="22"/>
          <w:szCs w:val="22"/>
        </w:rPr>
        <w:t xml:space="preserve">Consumer </w:t>
      </w:r>
      <w:r>
        <w:rPr>
          <w:rFonts w:ascii="Calibri" w:hAnsi="Calibri" w:cs="Calibri"/>
          <w:sz w:val="22"/>
          <w:szCs w:val="22"/>
        </w:rPr>
        <w:t>C</w:t>
      </w:r>
      <w:r w:rsidR="00BE1189">
        <w:rPr>
          <w:rFonts w:ascii="Calibri" w:hAnsi="Calibri" w:cs="Calibri"/>
          <w:sz w:val="22"/>
          <w:szCs w:val="22"/>
        </w:rPr>
        <w:t xml:space="preserve">hoice in the context of the DNS and ICANN’s gTLD expansion program.  As a threshold matter, the </w:t>
      </w:r>
      <w:r w:rsidR="008C345B">
        <w:rPr>
          <w:rFonts w:ascii="Calibri" w:hAnsi="Calibri" w:cs="Calibri"/>
          <w:sz w:val="22"/>
          <w:szCs w:val="22"/>
        </w:rPr>
        <w:t xml:space="preserve">working group established this </w:t>
      </w:r>
      <w:r w:rsidR="00BE1189">
        <w:rPr>
          <w:rFonts w:ascii="Calibri" w:hAnsi="Calibri" w:cs="Calibri"/>
          <w:sz w:val="22"/>
          <w:szCs w:val="22"/>
        </w:rPr>
        <w:t xml:space="preserve">definition of </w:t>
      </w:r>
      <w:r w:rsidR="00BE1189" w:rsidRPr="008C345B">
        <w:rPr>
          <w:rFonts w:ascii="Calibri" w:hAnsi="Calibri" w:cs="Calibri"/>
          <w:i/>
          <w:sz w:val="22"/>
          <w:szCs w:val="22"/>
        </w:rPr>
        <w:t>consumer</w:t>
      </w:r>
      <w:r w:rsidR="007D6351" w:rsidRPr="007D6351">
        <w:rPr>
          <w:rFonts w:ascii="Calibri" w:hAnsi="Calibri" w:cs="Calibri"/>
          <w:sz w:val="22"/>
          <w:szCs w:val="22"/>
        </w:rPr>
        <w:t>, which is critical to two of the three defined terms</w:t>
      </w:r>
      <w:r w:rsidR="008C345B" w:rsidRPr="007D6351">
        <w:rPr>
          <w:rFonts w:ascii="Calibri" w:hAnsi="Calibri" w:cs="Calibri"/>
          <w:sz w:val="22"/>
          <w:szCs w:val="22"/>
        </w:rPr>
        <w:t>:</w:t>
      </w:r>
    </w:p>
    <w:p w14:paraId="1BCA7FD3" w14:textId="77777777" w:rsidR="007D6351" w:rsidRDefault="007D6351" w:rsidP="007D6351">
      <w:pPr>
        <w:widowControl w:val="0"/>
        <w:autoSpaceDE w:val="0"/>
        <w:autoSpaceDN w:val="0"/>
        <w:adjustRightInd w:val="0"/>
        <w:ind w:left="720"/>
        <w:rPr>
          <w:rFonts w:ascii="Calibri" w:hAnsi="Calibri"/>
          <w:b/>
          <w:color w:val="000000"/>
          <w:sz w:val="22"/>
          <w:szCs w:val="22"/>
        </w:rPr>
      </w:pPr>
    </w:p>
    <w:p w14:paraId="724A244C" w14:textId="7D6BD942" w:rsidR="008C345B" w:rsidRDefault="007D6351" w:rsidP="007D6351">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sidR="00E42913">
        <w:rPr>
          <w:rFonts w:ascii="Calibri" w:hAnsi="Calibri"/>
          <w:color w:val="000000"/>
          <w:sz w:val="22"/>
          <w:szCs w:val="22"/>
        </w:rPr>
        <w:t>:</w:t>
      </w:r>
      <w:r w:rsidRPr="007D6351">
        <w:rPr>
          <w:rFonts w:ascii="Calibri" w:hAnsi="Calibri"/>
          <w:color w:val="000000"/>
          <w:sz w:val="22"/>
          <w:szCs w:val="22"/>
        </w:rPr>
        <w:t xml:space="preserve"> Actual and Potential Internet Users, and Registrants</w:t>
      </w:r>
      <w:r>
        <w:rPr>
          <w:rFonts w:ascii="Calibri" w:hAnsi="Calibri"/>
          <w:color w:val="000000"/>
          <w:sz w:val="22"/>
          <w:szCs w:val="22"/>
        </w:rPr>
        <w:t>.</w:t>
      </w:r>
    </w:p>
    <w:p w14:paraId="27B9FDCC" w14:textId="77777777" w:rsidR="007D6351" w:rsidRDefault="007D6351" w:rsidP="007D6351">
      <w:pPr>
        <w:widowControl w:val="0"/>
        <w:autoSpaceDE w:val="0"/>
        <w:autoSpaceDN w:val="0"/>
        <w:adjustRightInd w:val="0"/>
        <w:rPr>
          <w:rFonts w:ascii="Calibri" w:hAnsi="Calibri"/>
          <w:b/>
          <w:color w:val="000000"/>
          <w:sz w:val="22"/>
          <w:szCs w:val="22"/>
        </w:rPr>
      </w:pPr>
    </w:p>
    <w:p w14:paraId="6291A182" w14:textId="77777777" w:rsidR="00F92288" w:rsidRDefault="00F92288" w:rsidP="007D6351">
      <w:pPr>
        <w:widowControl w:val="0"/>
        <w:autoSpaceDE w:val="0"/>
        <w:autoSpaceDN w:val="0"/>
        <w:adjustRightInd w:val="0"/>
        <w:rPr>
          <w:rFonts w:ascii="Calibri" w:hAnsi="Calibri"/>
          <w:color w:val="000000"/>
          <w:sz w:val="22"/>
          <w:szCs w:val="22"/>
        </w:rPr>
      </w:pPr>
      <w:r>
        <w:rPr>
          <w:rFonts w:ascii="Calibri" w:hAnsi="Calibri"/>
          <w:color w:val="000000"/>
          <w:sz w:val="22"/>
          <w:szCs w:val="22"/>
        </w:rPr>
        <w:t xml:space="preserve">Consistent with the </w:t>
      </w:r>
      <w:r w:rsidRPr="00F92288">
        <w:rPr>
          <w:rFonts w:ascii="Calibri" w:hAnsi="Calibri"/>
          <w:i/>
          <w:color w:val="000000"/>
          <w:sz w:val="22"/>
          <w:szCs w:val="22"/>
        </w:rPr>
        <w:t>Affirmation of Commitmen</w:t>
      </w:r>
      <w:r>
        <w:rPr>
          <w:rFonts w:ascii="Calibri" w:hAnsi="Calibri"/>
          <w:i/>
          <w:color w:val="000000"/>
          <w:sz w:val="22"/>
          <w:szCs w:val="22"/>
        </w:rPr>
        <w:t>t</w:t>
      </w:r>
      <w:r w:rsidRPr="00F92288">
        <w:rPr>
          <w:rFonts w:ascii="Calibri" w:hAnsi="Calibri"/>
          <w:i/>
          <w:color w:val="000000"/>
          <w:sz w:val="22"/>
          <w:szCs w:val="22"/>
        </w:rPr>
        <w:t>s</w:t>
      </w:r>
      <w:r>
        <w:rPr>
          <w:rFonts w:ascii="Calibri" w:hAnsi="Calibri"/>
          <w:color w:val="000000"/>
          <w:sz w:val="22"/>
          <w:szCs w:val="22"/>
        </w:rPr>
        <w:t>, t</w:t>
      </w:r>
      <w:r w:rsidR="007D6351" w:rsidRPr="007D6351">
        <w:rPr>
          <w:rFonts w:ascii="Calibri" w:hAnsi="Calibri"/>
          <w:color w:val="000000"/>
          <w:sz w:val="22"/>
          <w:szCs w:val="22"/>
        </w:rPr>
        <w:t>his definition</w:t>
      </w:r>
      <w:r w:rsidR="007D6351">
        <w:rPr>
          <w:rFonts w:ascii="Calibri" w:hAnsi="Calibri"/>
          <w:color w:val="000000"/>
          <w:sz w:val="22"/>
          <w:szCs w:val="22"/>
        </w:rPr>
        <w:t xml:space="preserve"> of </w:t>
      </w:r>
      <w:r w:rsidR="007D6351" w:rsidRPr="007D6351">
        <w:rPr>
          <w:rFonts w:ascii="Calibri" w:hAnsi="Calibri"/>
          <w:i/>
          <w:color w:val="000000"/>
          <w:sz w:val="22"/>
          <w:szCs w:val="22"/>
        </w:rPr>
        <w:t>Consumer</w:t>
      </w:r>
      <w:r w:rsidR="00E42913">
        <w:rPr>
          <w:rFonts w:ascii="Calibri" w:hAnsi="Calibri"/>
          <w:color w:val="000000"/>
          <w:sz w:val="22"/>
          <w:szCs w:val="22"/>
        </w:rPr>
        <w:t xml:space="preserve"> is </w:t>
      </w:r>
      <w:r w:rsidR="007C7314">
        <w:rPr>
          <w:rFonts w:ascii="Calibri" w:hAnsi="Calibri"/>
          <w:color w:val="000000"/>
          <w:sz w:val="22"/>
          <w:szCs w:val="22"/>
        </w:rPr>
        <w:t>designed to focus on the interests of</w:t>
      </w:r>
      <w:r w:rsidR="00E42913">
        <w:rPr>
          <w:rFonts w:ascii="Calibri" w:hAnsi="Calibri"/>
          <w:color w:val="000000"/>
          <w:sz w:val="22"/>
          <w:szCs w:val="22"/>
        </w:rPr>
        <w:t xml:space="preserve"> </w:t>
      </w:r>
      <w:r w:rsidR="008F2D58">
        <w:rPr>
          <w:rFonts w:ascii="Calibri" w:hAnsi="Calibri"/>
          <w:color w:val="000000"/>
          <w:sz w:val="22"/>
          <w:szCs w:val="22"/>
        </w:rPr>
        <w:t xml:space="preserve">anyone or any entity taking the role of an </w:t>
      </w:r>
      <w:r w:rsidR="007C7314">
        <w:rPr>
          <w:rFonts w:ascii="Calibri" w:hAnsi="Calibri"/>
          <w:color w:val="000000"/>
          <w:sz w:val="22"/>
          <w:szCs w:val="22"/>
        </w:rPr>
        <w:t xml:space="preserve">Internet user </w:t>
      </w:r>
      <w:r w:rsidR="008F2D58">
        <w:rPr>
          <w:rFonts w:ascii="Calibri" w:hAnsi="Calibri"/>
          <w:color w:val="000000"/>
          <w:sz w:val="22"/>
          <w:szCs w:val="22"/>
        </w:rPr>
        <w:t xml:space="preserve">or domain name registrant.  </w:t>
      </w:r>
    </w:p>
    <w:p w14:paraId="4B7AF282" w14:textId="77777777" w:rsidR="00F92288" w:rsidRDefault="00F92288" w:rsidP="007D6351">
      <w:pPr>
        <w:widowControl w:val="0"/>
        <w:autoSpaceDE w:val="0"/>
        <w:autoSpaceDN w:val="0"/>
        <w:adjustRightInd w:val="0"/>
        <w:rPr>
          <w:rFonts w:ascii="Calibri" w:hAnsi="Calibri"/>
          <w:color w:val="000000"/>
          <w:sz w:val="22"/>
          <w:szCs w:val="22"/>
        </w:rPr>
      </w:pPr>
    </w:p>
    <w:p w14:paraId="66AF395D" w14:textId="4098417B" w:rsidR="007C7314" w:rsidRDefault="00F92288" w:rsidP="007D6351">
      <w:pPr>
        <w:widowControl w:val="0"/>
        <w:autoSpaceDE w:val="0"/>
        <w:autoSpaceDN w:val="0"/>
        <w:adjustRightInd w:val="0"/>
        <w:rPr>
          <w:rFonts w:ascii="Calibri" w:hAnsi="Calibri"/>
          <w:color w:val="000000"/>
          <w:sz w:val="22"/>
          <w:szCs w:val="22"/>
        </w:rPr>
      </w:pPr>
      <w:r>
        <w:rPr>
          <w:rFonts w:ascii="Calibri" w:hAnsi="Calibri"/>
          <w:color w:val="000000"/>
          <w:sz w:val="22"/>
          <w:szCs w:val="22"/>
        </w:rPr>
        <w:t xml:space="preserve">The definition focuses not on the nature of an entity, but rather on the </w:t>
      </w:r>
      <w:r w:rsidRPr="00F92288">
        <w:rPr>
          <w:rFonts w:ascii="Calibri" w:hAnsi="Calibri"/>
          <w:i/>
          <w:color w:val="000000"/>
          <w:sz w:val="22"/>
          <w:szCs w:val="22"/>
        </w:rPr>
        <w:t>role</w:t>
      </w:r>
      <w:r>
        <w:rPr>
          <w:rFonts w:ascii="Calibri" w:hAnsi="Calibri"/>
          <w:color w:val="000000"/>
          <w:sz w:val="22"/>
          <w:szCs w:val="22"/>
        </w:rPr>
        <w:t xml:space="preserve"> they are playing by using the DNS to do resolutions or to register a domain name.   Therefore, any entity can be regarded as a consumer, including individuals</w:t>
      </w:r>
      <w:r w:rsidR="008F2D58">
        <w:rPr>
          <w:rFonts w:ascii="Calibri" w:hAnsi="Calibri"/>
          <w:color w:val="000000"/>
          <w:sz w:val="22"/>
          <w:szCs w:val="22"/>
        </w:rPr>
        <w:t>, businesses, governments, non-profits, etc.</w:t>
      </w:r>
      <w:r>
        <w:rPr>
          <w:rFonts w:ascii="Calibri" w:hAnsi="Calibri"/>
          <w:color w:val="000000"/>
          <w:sz w:val="22"/>
          <w:szCs w:val="22"/>
        </w:rPr>
        <w:t xml:space="preserve">   When any of these entities are also playing other roles with respect to the DNS – such as a registry operator or registrar – their interests are not relevant to this definition. </w:t>
      </w:r>
    </w:p>
    <w:p w14:paraId="58B26DE2" w14:textId="77777777" w:rsidR="004B35DE" w:rsidRDefault="004B35DE" w:rsidP="007D6351">
      <w:pPr>
        <w:widowControl w:val="0"/>
        <w:autoSpaceDE w:val="0"/>
        <w:autoSpaceDN w:val="0"/>
        <w:adjustRightInd w:val="0"/>
        <w:rPr>
          <w:rFonts w:ascii="Calibri" w:hAnsi="Calibri"/>
          <w:color w:val="000000"/>
          <w:sz w:val="22"/>
          <w:szCs w:val="22"/>
        </w:rPr>
      </w:pPr>
    </w:p>
    <w:p w14:paraId="429670EF" w14:textId="52320F52" w:rsidR="007D6351" w:rsidRPr="00E42913" w:rsidRDefault="004B4383" w:rsidP="007D6351">
      <w:pPr>
        <w:widowControl w:val="0"/>
        <w:autoSpaceDE w:val="0"/>
        <w:autoSpaceDN w:val="0"/>
        <w:adjustRightInd w:val="0"/>
        <w:rPr>
          <w:rFonts w:ascii="Calibri" w:hAnsi="Calibri" w:cs="Calibri"/>
          <w:sz w:val="22"/>
          <w:szCs w:val="22"/>
        </w:rPr>
      </w:pPr>
      <w:r>
        <w:rPr>
          <w:rFonts w:ascii="Calibri" w:hAnsi="Calibri"/>
          <w:color w:val="000000"/>
          <w:sz w:val="22"/>
          <w:szCs w:val="22"/>
        </w:rPr>
        <w:t>Including</w:t>
      </w:r>
      <w:r w:rsidR="004B35DE">
        <w:rPr>
          <w:rFonts w:ascii="Calibri" w:hAnsi="Calibri"/>
          <w:color w:val="000000"/>
          <w:sz w:val="22"/>
          <w:szCs w:val="22"/>
        </w:rPr>
        <w:t xml:space="preserve"> th</w:t>
      </w:r>
      <w:r w:rsidR="00F92288">
        <w:rPr>
          <w:rFonts w:ascii="Calibri" w:hAnsi="Calibri"/>
          <w:color w:val="000000"/>
          <w:sz w:val="22"/>
          <w:szCs w:val="22"/>
        </w:rPr>
        <w:t>e above</w:t>
      </w:r>
      <w:r w:rsidR="004B35DE">
        <w:rPr>
          <w:rFonts w:ascii="Calibri" w:hAnsi="Calibri"/>
          <w:color w:val="000000"/>
          <w:sz w:val="22"/>
          <w:szCs w:val="22"/>
        </w:rPr>
        <w:t xml:space="preserve"> definition of </w:t>
      </w:r>
      <w:r w:rsidR="004B35DE" w:rsidRPr="004B35DE">
        <w:rPr>
          <w:rFonts w:ascii="Calibri" w:hAnsi="Calibri"/>
          <w:i/>
          <w:color w:val="000000"/>
          <w:sz w:val="22"/>
          <w:szCs w:val="22"/>
        </w:rPr>
        <w:t>Consumer</w:t>
      </w:r>
      <w:r w:rsidR="004B35DE">
        <w:rPr>
          <w:rFonts w:ascii="Calibri" w:hAnsi="Calibri"/>
          <w:color w:val="000000"/>
          <w:sz w:val="22"/>
          <w:szCs w:val="22"/>
        </w:rPr>
        <w:t>, the working group recommends these definitions for</w:t>
      </w:r>
      <w:r w:rsidR="00E42913">
        <w:rPr>
          <w:rFonts w:ascii="Calibri" w:hAnsi="Calibri"/>
          <w:color w:val="000000"/>
          <w:sz w:val="22"/>
          <w:szCs w:val="22"/>
        </w:rPr>
        <w:t xml:space="preserve"> </w:t>
      </w:r>
      <w:r w:rsidR="004B35DE">
        <w:rPr>
          <w:rFonts w:ascii="Calibri" w:hAnsi="Calibri"/>
          <w:color w:val="000000"/>
          <w:sz w:val="22"/>
          <w:szCs w:val="22"/>
        </w:rPr>
        <w:t>the key terms in the AOC and Board resolution:</w:t>
      </w:r>
    </w:p>
    <w:p w14:paraId="6018564B" w14:textId="77777777" w:rsidR="004B4383" w:rsidRDefault="004B4383" w:rsidP="004B4383">
      <w:pPr>
        <w:widowControl w:val="0"/>
        <w:autoSpaceDE w:val="0"/>
        <w:autoSpaceDN w:val="0"/>
        <w:adjustRightInd w:val="0"/>
        <w:ind w:left="720"/>
        <w:rPr>
          <w:rFonts w:ascii="Calibri" w:hAnsi="Calibri"/>
          <w:b/>
          <w:color w:val="000000"/>
          <w:sz w:val="22"/>
          <w:szCs w:val="22"/>
        </w:rPr>
      </w:pPr>
    </w:p>
    <w:p w14:paraId="6582A59D" w14:textId="1DB99D4D" w:rsidR="004B4383" w:rsidRDefault="004B4383" w:rsidP="004B4383">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w:t>
      </w:r>
      <w:r w:rsidRPr="007D6351">
        <w:rPr>
          <w:rFonts w:ascii="Calibri" w:hAnsi="Calibri"/>
          <w:color w:val="000000"/>
          <w:sz w:val="22"/>
          <w:szCs w:val="22"/>
        </w:rPr>
        <w:t xml:space="preserve"> Actual and Potential Internet Users, and Registrants</w:t>
      </w:r>
      <w:r>
        <w:rPr>
          <w:rFonts w:ascii="Calibri" w:hAnsi="Calibri"/>
          <w:color w:val="000000"/>
          <w:sz w:val="22"/>
          <w:szCs w:val="22"/>
        </w:rPr>
        <w:t>.</w:t>
      </w:r>
    </w:p>
    <w:p w14:paraId="35C8D5D2" w14:textId="77777777" w:rsidR="002F121F" w:rsidRPr="00AC4FF1" w:rsidRDefault="002F121F" w:rsidP="002F121F">
      <w:pPr>
        <w:widowControl w:val="0"/>
        <w:autoSpaceDE w:val="0"/>
        <w:autoSpaceDN w:val="0"/>
        <w:adjustRightInd w:val="0"/>
        <w:rPr>
          <w:rFonts w:ascii="Calibri" w:hAnsi="Calibri" w:cs="Calibri"/>
          <w:b/>
          <w:sz w:val="22"/>
          <w:szCs w:val="22"/>
        </w:rPr>
      </w:pPr>
    </w:p>
    <w:p w14:paraId="05E441E6" w14:textId="32F688E3" w:rsidR="0070200A" w:rsidRPr="00503D46" w:rsidRDefault="0070200A" w:rsidP="0070200A">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Trust </w:t>
      </w:r>
      <w:r w:rsidR="004B4383">
        <w:rPr>
          <w:rFonts w:ascii="Calibri" w:hAnsi="Calibri" w:cs="Calibri"/>
          <w:sz w:val="22"/>
          <w:szCs w:val="22"/>
        </w:rPr>
        <w:t xml:space="preserve">is defined as </w:t>
      </w:r>
      <w:r w:rsidRPr="003611B7">
        <w:rPr>
          <w:rFonts w:ascii="Calibri" w:hAnsi="Calibri" w:cs="Calibri"/>
          <w:sz w:val="22"/>
          <w:szCs w:val="22"/>
        </w:rPr>
        <w:t>the confidence registrants and users have in the consistency of name resolution and the degree of confidence among registrants and users that a TLD regi</w:t>
      </w:r>
      <w:r w:rsidR="007D0AF0">
        <w:rPr>
          <w:rFonts w:ascii="Calibri" w:hAnsi="Calibri" w:cs="Calibri"/>
          <w:sz w:val="22"/>
          <w:szCs w:val="22"/>
        </w:rPr>
        <w:t xml:space="preserve">stry operator is fulfilling its proposed </w:t>
      </w:r>
      <w:r w:rsidRPr="003611B7">
        <w:rPr>
          <w:rFonts w:ascii="Calibri" w:hAnsi="Calibri" w:cs="Calibri"/>
          <w:sz w:val="22"/>
          <w:szCs w:val="22"/>
        </w:rPr>
        <w:t xml:space="preserve">purpose and is complying with ICANN </w:t>
      </w:r>
      <w:r w:rsidRPr="00503D46">
        <w:rPr>
          <w:rFonts w:ascii="Calibri" w:hAnsi="Calibri" w:cs="Calibri"/>
          <w:sz w:val="22"/>
          <w:szCs w:val="22"/>
        </w:rPr>
        <w:t>policies and applicable national laws.</w:t>
      </w:r>
    </w:p>
    <w:p w14:paraId="2E498683"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2EC1A5F1" w14:textId="3FAD028A" w:rsidR="007D0AF0" w:rsidRPr="003611B7" w:rsidRDefault="007D0AF0" w:rsidP="007D0AF0">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Choice </w:t>
      </w:r>
      <w:r w:rsidRPr="003611B7">
        <w:rPr>
          <w:rFonts w:ascii="Calibri" w:hAnsi="Calibri" w:cs="Calibri"/>
          <w:sz w:val="22"/>
          <w:szCs w:val="22"/>
        </w:rPr>
        <w:t xml:space="preserve">is </w:t>
      </w:r>
      <w:r w:rsidR="004B4383">
        <w:rPr>
          <w:rFonts w:ascii="Calibri" w:hAnsi="Calibri" w:cs="Calibri"/>
          <w:sz w:val="22"/>
          <w:szCs w:val="22"/>
        </w:rPr>
        <w:t>defined as</w:t>
      </w:r>
      <w:r w:rsidRPr="003611B7">
        <w:rPr>
          <w:rFonts w:ascii="Calibri" w:hAnsi="Calibri" w:cs="Calibri"/>
          <w:sz w:val="22"/>
          <w:szCs w:val="22"/>
        </w:rPr>
        <w:t xml:space="preserve"> the range of options available to registrants and users for domain scripts and languages, and for TLDs that offer cho</w:t>
      </w:r>
      <w:r>
        <w:rPr>
          <w:rFonts w:ascii="Calibri" w:hAnsi="Calibri" w:cs="Calibri"/>
          <w:sz w:val="22"/>
          <w:szCs w:val="22"/>
        </w:rPr>
        <w:t xml:space="preserve">ices as to the proposed purpose </w:t>
      </w:r>
      <w:r w:rsidRPr="003611B7">
        <w:rPr>
          <w:rFonts w:ascii="Calibri" w:hAnsi="Calibri" w:cs="Calibri"/>
          <w:sz w:val="22"/>
          <w:szCs w:val="22"/>
        </w:rPr>
        <w:t>and integrity of their domain name registrants.</w:t>
      </w:r>
    </w:p>
    <w:p w14:paraId="5607CA91" w14:textId="77777777" w:rsidR="007D0AF0" w:rsidRDefault="007D0AF0" w:rsidP="0070200A">
      <w:pPr>
        <w:widowControl w:val="0"/>
        <w:autoSpaceDE w:val="0"/>
        <w:autoSpaceDN w:val="0"/>
        <w:adjustRightInd w:val="0"/>
        <w:ind w:left="720"/>
        <w:rPr>
          <w:rFonts w:ascii="Calibri" w:hAnsi="Calibri" w:cs="Calibri"/>
          <w:b/>
          <w:sz w:val="22"/>
          <w:szCs w:val="22"/>
        </w:rPr>
      </w:pPr>
    </w:p>
    <w:p w14:paraId="55BA0862" w14:textId="3759B7FE" w:rsidR="0070200A" w:rsidRPr="003611B7" w:rsidRDefault="0070200A" w:rsidP="0070200A">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Competition</w:t>
      </w:r>
      <w:r w:rsidRPr="003611B7">
        <w:rPr>
          <w:rFonts w:ascii="Calibri" w:hAnsi="Calibri" w:cs="Calibri"/>
          <w:sz w:val="22"/>
          <w:szCs w:val="22"/>
        </w:rPr>
        <w:t xml:space="preserve"> is </w:t>
      </w:r>
      <w:r w:rsidR="004B4383">
        <w:rPr>
          <w:rFonts w:ascii="Calibri" w:hAnsi="Calibri" w:cs="Calibri"/>
          <w:sz w:val="22"/>
          <w:szCs w:val="22"/>
        </w:rPr>
        <w:t xml:space="preserve">defined as the quantity, </w:t>
      </w:r>
      <w:r w:rsidRPr="003611B7">
        <w:rPr>
          <w:rFonts w:ascii="Calibri" w:hAnsi="Calibri" w:cs="Calibri"/>
          <w:sz w:val="22"/>
          <w:szCs w:val="22"/>
        </w:rPr>
        <w:t>diversity</w:t>
      </w:r>
      <w:r w:rsidR="004B4383">
        <w:rPr>
          <w:rFonts w:ascii="Calibri" w:hAnsi="Calibri" w:cs="Calibri"/>
          <w:sz w:val="22"/>
          <w:szCs w:val="22"/>
        </w:rPr>
        <w:t xml:space="preserve">, and </w:t>
      </w:r>
      <w:r w:rsidR="00301602">
        <w:rPr>
          <w:rFonts w:ascii="Calibri" w:hAnsi="Calibri" w:cs="Calibri"/>
          <w:sz w:val="22"/>
          <w:szCs w:val="22"/>
        </w:rPr>
        <w:t xml:space="preserve">the </w:t>
      </w:r>
      <w:r w:rsidR="004B4383">
        <w:rPr>
          <w:rFonts w:ascii="Calibri" w:hAnsi="Calibri" w:cs="Calibri"/>
          <w:sz w:val="22"/>
          <w:szCs w:val="22"/>
        </w:rPr>
        <w:t xml:space="preserve">potential </w:t>
      </w:r>
      <w:r w:rsidR="00301602">
        <w:rPr>
          <w:rFonts w:ascii="Calibri" w:hAnsi="Calibri" w:cs="Calibri"/>
          <w:sz w:val="22"/>
          <w:szCs w:val="22"/>
        </w:rPr>
        <w:t xml:space="preserve">for market </w:t>
      </w:r>
      <w:r w:rsidR="004B4383">
        <w:rPr>
          <w:rFonts w:ascii="Calibri" w:hAnsi="Calibri" w:cs="Calibri"/>
          <w:sz w:val="22"/>
          <w:szCs w:val="22"/>
        </w:rPr>
        <w:t xml:space="preserve">rivalry </w:t>
      </w:r>
      <w:r w:rsidR="00301602">
        <w:rPr>
          <w:rFonts w:ascii="Calibri" w:hAnsi="Calibri" w:cs="Calibri"/>
          <w:sz w:val="22"/>
          <w:szCs w:val="22"/>
        </w:rPr>
        <w:t>of</w:t>
      </w:r>
      <w:r w:rsidR="004B4383">
        <w:rPr>
          <w:rFonts w:ascii="Calibri" w:hAnsi="Calibri" w:cs="Calibri"/>
          <w:sz w:val="22"/>
          <w:szCs w:val="22"/>
        </w:rPr>
        <w:t xml:space="preserve"> </w:t>
      </w:r>
      <w:r w:rsidRPr="003611B7">
        <w:rPr>
          <w:rFonts w:ascii="Calibri" w:hAnsi="Calibri" w:cs="Calibri"/>
          <w:sz w:val="22"/>
          <w:szCs w:val="22"/>
        </w:rPr>
        <w:t>gTLDs,</w:t>
      </w:r>
      <w:r>
        <w:rPr>
          <w:rFonts w:ascii="Calibri" w:hAnsi="Calibri" w:cs="Calibri"/>
          <w:sz w:val="22"/>
          <w:szCs w:val="22"/>
        </w:rPr>
        <w:t xml:space="preserve"> </w:t>
      </w:r>
      <w:r w:rsidRPr="003611B7">
        <w:rPr>
          <w:rFonts w:ascii="Calibri" w:hAnsi="Calibri" w:cs="Calibri"/>
          <w:sz w:val="22"/>
          <w:szCs w:val="22"/>
        </w:rPr>
        <w:t>TLD registry operators, and registrars.</w:t>
      </w:r>
    </w:p>
    <w:p w14:paraId="5CE08BAA" w14:textId="77777777" w:rsidR="0070200A" w:rsidRPr="003611B7" w:rsidRDefault="0070200A" w:rsidP="0070200A">
      <w:pPr>
        <w:widowControl w:val="0"/>
        <w:autoSpaceDE w:val="0"/>
        <w:autoSpaceDN w:val="0"/>
        <w:adjustRightInd w:val="0"/>
        <w:ind w:left="720"/>
        <w:rPr>
          <w:rFonts w:ascii="Calibri" w:hAnsi="Calibri" w:cs="Calibri"/>
          <w:sz w:val="22"/>
          <w:szCs w:val="22"/>
        </w:rPr>
      </w:pPr>
    </w:p>
    <w:p w14:paraId="3CCC4D95" w14:textId="77777777" w:rsidR="006B0EC9" w:rsidRDefault="006B0EC9">
      <w:pPr>
        <w:rPr>
          <w:rFonts w:ascii="Calibri" w:hAnsi="Calibri" w:cs="Calibri"/>
          <w:i/>
          <w:iCs/>
          <w:sz w:val="22"/>
          <w:szCs w:val="22"/>
        </w:rPr>
      </w:pPr>
      <w:r>
        <w:rPr>
          <w:rFonts w:ascii="Calibri" w:hAnsi="Calibri" w:cs="Calibri"/>
          <w:i/>
          <w:iCs/>
          <w:sz w:val="22"/>
          <w:szCs w:val="22"/>
        </w:rPr>
        <w:br w:type="page"/>
      </w:r>
    </w:p>
    <w:p w14:paraId="63596123" w14:textId="3739BB1E" w:rsidR="0044303F" w:rsidRDefault="00166DCD" w:rsidP="00ED0485">
      <w:pPr>
        <w:widowControl w:val="0"/>
        <w:autoSpaceDE w:val="0"/>
        <w:autoSpaceDN w:val="0"/>
        <w:adjustRightInd w:val="0"/>
        <w:rPr>
          <w:rFonts w:ascii="Calibri" w:hAnsi="Calibri" w:cs="Calibri"/>
          <w:i/>
          <w:iCs/>
          <w:sz w:val="22"/>
          <w:szCs w:val="22"/>
        </w:rPr>
      </w:pPr>
      <w:r>
        <w:rPr>
          <w:rFonts w:ascii="Calibri" w:hAnsi="Calibri" w:cs="Calibri"/>
          <w:i/>
          <w:iCs/>
          <w:sz w:val="22"/>
          <w:szCs w:val="22"/>
        </w:rPr>
        <w:t>Note</w:t>
      </w:r>
      <w:r w:rsidR="0044303F">
        <w:rPr>
          <w:rFonts w:ascii="Calibri" w:hAnsi="Calibri" w:cs="Calibri"/>
          <w:i/>
          <w:iCs/>
          <w:sz w:val="22"/>
          <w:szCs w:val="22"/>
        </w:rPr>
        <w:t>s</w:t>
      </w:r>
      <w:r>
        <w:rPr>
          <w:rFonts w:ascii="Calibri" w:hAnsi="Calibri" w:cs="Calibri"/>
          <w:i/>
          <w:iCs/>
          <w:sz w:val="22"/>
          <w:szCs w:val="22"/>
        </w:rPr>
        <w:t xml:space="preserve"> on </w:t>
      </w:r>
      <w:r w:rsidR="00F92288">
        <w:rPr>
          <w:rFonts w:ascii="Calibri" w:hAnsi="Calibri" w:cs="Calibri"/>
          <w:i/>
          <w:iCs/>
          <w:sz w:val="22"/>
          <w:szCs w:val="22"/>
        </w:rPr>
        <w:t xml:space="preserve">these </w:t>
      </w:r>
      <w:r>
        <w:rPr>
          <w:rFonts w:ascii="Calibri" w:hAnsi="Calibri" w:cs="Calibri"/>
          <w:i/>
          <w:iCs/>
          <w:sz w:val="22"/>
          <w:szCs w:val="22"/>
        </w:rPr>
        <w:t xml:space="preserve">definitions:  </w:t>
      </w:r>
    </w:p>
    <w:p w14:paraId="7D037AC6" w14:textId="77777777" w:rsidR="0044303F" w:rsidRDefault="0044303F" w:rsidP="00ED0485">
      <w:pPr>
        <w:widowControl w:val="0"/>
        <w:autoSpaceDE w:val="0"/>
        <w:autoSpaceDN w:val="0"/>
        <w:adjustRightInd w:val="0"/>
        <w:rPr>
          <w:rFonts w:ascii="Calibri" w:hAnsi="Calibri" w:cs="Calibri"/>
          <w:i/>
          <w:iCs/>
          <w:sz w:val="22"/>
          <w:szCs w:val="22"/>
        </w:rPr>
      </w:pPr>
    </w:p>
    <w:p w14:paraId="59BB02D6" w14:textId="77777777" w:rsidR="00A015A9" w:rsidRDefault="007C7314" w:rsidP="00ED0485">
      <w:pPr>
        <w:widowControl w:val="0"/>
        <w:autoSpaceDE w:val="0"/>
        <w:autoSpaceDN w:val="0"/>
        <w:adjustRightInd w:val="0"/>
        <w:ind w:left="720"/>
        <w:rPr>
          <w:rFonts w:ascii="Calibri" w:hAnsi="Calibri" w:cs="Calibri"/>
          <w:i/>
          <w:iCs/>
          <w:sz w:val="22"/>
          <w:szCs w:val="22"/>
        </w:rPr>
      </w:pPr>
      <w:r>
        <w:rPr>
          <w:rFonts w:ascii="Calibri" w:hAnsi="Calibri" w:cs="Calibri"/>
          <w:i/>
          <w:iCs/>
          <w:sz w:val="22"/>
          <w:szCs w:val="22"/>
        </w:rPr>
        <w:t xml:space="preserve">Note 1. The Consumer Trust definition has two aspects:  </w:t>
      </w:r>
    </w:p>
    <w:p w14:paraId="2A9ED488" w14:textId="77777777" w:rsidR="00A015A9" w:rsidRDefault="007C7314" w:rsidP="00A015A9">
      <w:pPr>
        <w:widowControl w:val="0"/>
        <w:autoSpaceDE w:val="0"/>
        <w:autoSpaceDN w:val="0"/>
        <w:adjustRightInd w:val="0"/>
        <w:ind w:left="1440"/>
        <w:rPr>
          <w:rFonts w:ascii="Calibri" w:hAnsi="Calibri" w:cs="Calibri"/>
          <w:i/>
          <w:iCs/>
          <w:sz w:val="22"/>
          <w:szCs w:val="22"/>
        </w:rPr>
      </w:pPr>
      <w:r>
        <w:rPr>
          <w:rFonts w:ascii="Calibri" w:hAnsi="Calibri" w:cs="Calibri"/>
          <w:i/>
          <w:iCs/>
          <w:sz w:val="22"/>
          <w:szCs w:val="22"/>
        </w:rPr>
        <w:t xml:space="preserve">First, Internet users need confidence in the reliability and accuracy of the resolution of domain names they reference in email addresses, apps, and web browsing.  </w:t>
      </w:r>
    </w:p>
    <w:p w14:paraId="4765C51D" w14:textId="77777777" w:rsidR="00A015A9" w:rsidRDefault="00A015A9" w:rsidP="00A015A9">
      <w:pPr>
        <w:widowControl w:val="0"/>
        <w:autoSpaceDE w:val="0"/>
        <w:autoSpaceDN w:val="0"/>
        <w:adjustRightInd w:val="0"/>
        <w:ind w:left="1440"/>
        <w:rPr>
          <w:rFonts w:ascii="Calibri" w:hAnsi="Calibri" w:cs="Calibri"/>
          <w:i/>
          <w:iCs/>
          <w:sz w:val="22"/>
          <w:szCs w:val="22"/>
        </w:rPr>
      </w:pPr>
    </w:p>
    <w:p w14:paraId="091B8EB8" w14:textId="32EAC676" w:rsidR="007C7314" w:rsidRDefault="007C7314" w:rsidP="00A015A9">
      <w:pPr>
        <w:widowControl w:val="0"/>
        <w:autoSpaceDE w:val="0"/>
        <w:autoSpaceDN w:val="0"/>
        <w:adjustRightInd w:val="0"/>
        <w:ind w:left="1440"/>
        <w:rPr>
          <w:rFonts w:ascii="Calibri" w:hAnsi="Calibri" w:cs="Calibri"/>
          <w:i/>
          <w:iCs/>
          <w:sz w:val="22"/>
          <w:szCs w:val="22"/>
        </w:rPr>
      </w:pPr>
      <w:r>
        <w:rPr>
          <w:rFonts w:ascii="Calibri" w:hAnsi="Calibri" w:cs="Calibri"/>
          <w:i/>
          <w:iCs/>
          <w:sz w:val="22"/>
          <w:szCs w:val="22"/>
        </w:rPr>
        <w:t xml:space="preserve">Second, registrants of domain names need confidence that the TLD registry they have selected will actually fulfill </w:t>
      </w:r>
      <w:r w:rsidR="00A015A9">
        <w:rPr>
          <w:rFonts w:ascii="Calibri" w:hAnsi="Calibri" w:cs="Calibri"/>
          <w:i/>
          <w:iCs/>
          <w:sz w:val="22"/>
          <w:szCs w:val="22"/>
        </w:rPr>
        <w:t xml:space="preserve">its </w:t>
      </w:r>
      <w:r>
        <w:rPr>
          <w:rFonts w:ascii="Calibri" w:hAnsi="Calibri" w:cs="Calibri"/>
          <w:i/>
          <w:iCs/>
          <w:sz w:val="22"/>
          <w:szCs w:val="22"/>
        </w:rPr>
        <w:t>proposed purpose and promises</w:t>
      </w:r>
      <w:r w:rsidR="00A015A9">
        <w:rPr>
          <w:rFonts w:ascii="Calibri" w:hAnsi="Calibri" w:cs="Calibri"/>
          <w:i/>
          <w:iCs/>
          <w:sz w:val="22"/>
          <w:szCs w:val="22"/>
        </w:rPr>
        <w:t xml:space="preserve"> that drove their selection.   For example, a bank that invests in moving its registrations to the .bank gTLD wants to be able to trust that .bank will honor its promise to allow only legitimate banks to hold domain names.   The registrant will also trust that ICANN will hold the gTLD operator to its promises</w:t>
      </w:r>
      <w:r w:rsidR="004B4383">
        <w:rPr>
          <w:rFonts w:ascii="Calibri" w:hAnsi="Calibri" w:cs="Calibri"/>
          <w:i/>
          <w:iCs/>
          <w:sz w:val="22"/>
          <w:szCs w:val="22"/>
        </w:rPr>
        <w:t>, ICANN</w:t>
      </w:r>
      <w:r w:rsidR="00A015A9">
        <w:rPr>
          <w:rFonts w:ascii="Calibri" w:hAnsi="Calibri" w:cs="Calibri"/>
          <w:i/>
          <w:iCs/>
          <w:sz w:val="22"/>
          <w:szCs w:val="22"/>
        </w:rPr>
        <w:t xml:space="preserve"> policies</w:t>
      </w:r>
      <w:r w:rsidR="004B4383">
        <w:rPr>
          <w:rFonts w:ascii="Calibri" w:hAnsi="Calibri" w:cs="Calibri"/>
          <w:i/>
          <w:iCs/>
          <w:sz w:val="22"/>
          <w:szCs w:val="22"/>
        </w:rPr>
        <w:t>,</w:t>
      </w:r>
      <w:r w:rsidR="00A015A9">
        <w:rPr>
          <w:rFonts w:ascii="Calibri" w:hAnsi="Calibri" w:cs="Calibri"/>
          <w:i/>
          <w:iCs/>
          <w:sz w:val="22"/>
          <w:szCs w:val="22"/>
        </w:rPr>
        <w:t xml:space="preserve"> and any applicable national laws.</w:t>
      </w:r>
    </w:p>
    <w:p w14:paraId="64352059" w14:textId="77777777" w:rsidR="007C7314" w:rsidRDefault="007C7314" w:rsidP="00ED0485">
      <w:pPr>
        <w:widowControl w:val="0"/>
        <w:autoSpaceDE w:val="0"/>
        <w:autoSpaceDN w:val="0"/>
        <w:adjustRightInd w:val="0"/>
        <w:ind w:left="720"/>
        <w:rPr>
          <w:rFonts w:ascii="Calibri" w:hAnsi="Calibri" w:cs="Calibri"/>
          <w:i/>
          <w:iCs/>
          <w:sz w:val="22"/>
          <w:szCs w:val="22"/>
        </w:rPr>
      </w:pPr>
    </w:p>
    <w:p w14:paraId="30C61ECA" w14:textId="73CC773A" w:rsidR="00166DCD" w:rsidRDefault="002E7E35" w:rsidP="00ED0485">
      <w:pPr>
        <w:widowControl w:val="0"/>
        <w:autoSpaceDE w:val="0"/>
        <w:autoSpaceDN w:val="0"/>
        <w:adjustRightInd w:val="0"/>
        <w:ind w:left="720"/>
        <w:rPr>
          <w:rFonts w:ascii="Calibri" w:hAnsi="Calibri" w:cs="Calibri"/>
          <w:sz w:val="22"/>
          <w:szCs w:val="22"/>
        </w:rPr>
      </w:pPr>
      <w:r>
        <w:rPr>
          <w:rFonts w:ascii="Calibri" w:hAnsi="Calibri" w:cs="Calibri"/>
          <w:i/>
          <w:iCs/>
          <w:sz w:val="22"/>
          <w:szCs w:val="22"/>
        </w:rPr>
        <w:t xml:space="preserve">Note </w:t>
      </w:r>
      <w:r w:rsidR="007C7314">
        <w:rPr>
          <w:rFonts w:ascii="Calibri" w:hAnsi="Calibri" w:cs="Calibri"/>
          <w:i/>
          <w:iCs/>
          <w:sz w:val="22"/>
          <w:szCs w:val="22"/>
        </w:rPr>
        <w:t>2</w:t>
      </w:r>
      <w:r>
        <w:rPr>
          <w:rFonts w:ascii="Calibri" w:hAnsi="Calibri" w:cs="Calibri"/>
          <w:i/>
          <w:iCs/>
          <w:sz w:val="22"/>
          <w:szCs w:val="22"/>
        </w:rPr>
        <w:t xml:space="preserve">. </w:t>
      </w:r>
      <w:r w:rsidR="00166DCD" w:rsidRPr="00166DCD">
        <w:rPr>
          <w:rFonts w:ascii="Calibri" w:hAnsi="Calibri" w:cs="Calibri"/>
          <w:i/>
          <w:iCs/>
          <w:sz w:val="22"/>
          <w:szCs w:val="22"/>
        </w:rPr>
        <w:t>Competition is closely related to the idea of consumer choice.  In fact, competition and consumer choice can be seen as two parts of the same whole, since both touch providers and consumers of service</w:t>
      </w:r>
      <w:r w:rsidR="00A015A9">
        <w:rPr>
          <w:rFonts w:ascii="Calibri" w:hAnsi="Calibri" w:cs="Calibri"/>
          <w:i/>
          <w:iCs/>
          <w:sz w:val="22"/>
          <w:szCs w:val="22"/>
        </w:rPr>
        <w:t>s</w:t>
      </w:r>
      <w:r w:rsidR="00166DCD" w:rsidRPr="00166DCD">
        <w:rPr>
          <w:rFonts w:ascii="Calibri" w:hAnsi="Calibri" w:cs="Calibri"/>
          <w:i/>
          <w:iCs/>
          <w:sz w:val="22"/>
          <w:szCs w:val="22"/>
        </w:rPr>
        <w:t xml:space="preserve">.  All stakeholders </w:t>
      </w:r>
      <w:r w:rsidR="004B4383">
        <w:rPr>
          <w:rFonts w:ascii="Calibri" w:hAnsi="Calibri" w:cs="Calibri"/>
          <w:i/>
          <w:iCs/>
          <w:sz w:val="22"/>
          <w:szCs w:val="22"/>
        </w:rPr>
        <w:t xml:space="preserve">should </w:t>
      </w:r>
      <w:r w:rsidR="00166DCD" w:rsidRPr="00166DCD">
        <w:rPr>
          <w:rFonts w:ascii="Calibri" w:hAnsi="Calibri" w:cs="Calibri"/>
          <w:i/>
          <w:iCs/>
          <w:sz w:val="22"/>
          <w:szCs w:val="22"/>
        </w:rPr>
        <w:t>have an interest in providing choice and in avoiding monopoly in order to create an open and informed market for all participants.  </w:t>
      </w:r>
    </w:p>
    <w:p w14:paraId="6C03DADF" w14:textId="77777777" w:rsidR="00503D46" w:rsidRDefault="00503D46" w:rsidP="00ED0485">
      <w:pPr>
        <w:widowControl w:val="0"/>
        <w:autoSpaceDE w:val="0"/>
        <w:autoSpaceDN w:val="0"/>
        <w:adjustRightInd w:val="0"/>
        <w:rPr>
          <w:rFonts w:ascii="Calibri" w:hAnsi="Calibri" w:cs="Calibri"/>
          <w:b/>
          <w:sz w:val="22"/>
          <w:szCs w:val="22"/>
        </w:rPr>
      </w:pPr>
    </w:p>
    <w:p w14:paraId="6B5CA57E" w14:textId="25F6D379" w:rsidR="00BE1189" w:rsidRPr="002E7E35" w:rsidRDefault="007C7314" w:rsidP="00ED0485">
      <w:pPr>
        <w:widowControl w:val="0"/>
        <w:autoSpaceDE w:val="0"/>
        <w:autoSpaceDN w:val="0"/>
        <w:adjustRightInd w:val="0"/>
        <w:ind w:left="720"/>
        <w:rPr>
          <w:rFonts w:ascii="Calibri" w:hAnsi="Calibri" w:cs="Calibri"/>
          <w:i/>
          <w:sz w:val="22"/>
          <w:szCs w:val="22"/>
        </w:rPr>
      </w:pPr>
      <w:r>
        <w:rPr>
          <w:rFonts w:ascii="Calibri" w:hAnsi="Calibri" w:cs="Calibri"/>
          <w:i/>
          <w:sz w:val="22"/>
          <w:szCs w:val="22"/>
        </w:rPr>
        <w:t>Note 3</w:t>
      </w:r>
      <w:r w:rsidR="002E7E35" w:rsidRPr="002E7E35">
        <w:rPr>
          <w:rFonts w:ascii="Calibri" w:hAnsi="Calibri" w:cs="Calibri"/>
          <w:i/>
          <w:sz w:val="22"/>
          <w:szCs w:val="22"/>
        </w:rPr>
        <w:t xml:space="preserve">.  </w:t>
      </w:r>
      <w:r w:rsidR="008C345B">
        <w:rPr>
          <w:rFonts w:ascii="Calibri" w:hAnsi="Calibri" w:cs="Calibri"/>
          <w:i/>
          <w:sz w:val="22"/>
          <w:szCs w:val="22"/>
        </w:rPr>
        <w:t>A minority of</w:t>
      </w:r>
      <w:r w:rsidR="00BE1189" w:rsidRPr="002E7E35">
        <w:rPr>
          <w:rFonts w:ascii="Calibri" w:hAnsi="Calibri" w:cs="Calibri"/>
          <w:i/>
          <w:sz w:val="22"/>
          <w:szCs w:val="22"/>
        </w:rPr>
        <w:t xml:space="preserve"> WG members </w:t>
      </w:r>
      <w:r w:rsidR="002E7E35" w:rsidRPr="002E7E35">
        <w:rPr>
          <w:rFonts w:ascii="Calibri" w:hAnsi="Calibri" w:cs="Calibri"/>
          <w:i/>
          <w:sz w:val="22"/>
          <w:szCs w:val="22"/>
        </w:rPr>
        <w:t xml:space="preserve">objected to the </w:t>
      </w:r>
      <w:r w:rsidR="00BE1189" w:rsidRPr="002E7E35">
        <w:rPr>
          <w:rFonts w:ascii="Calibri" w:hAnsi="Calibri" w:cs="Calibri"/>
          <w:i/>
          <w:sz w:val="22"/>
          <w:szCs w:val="22"/>
        </w:rPr>
        <w:t xml:space="preserve">inclusion of “national laws” in the definition of Consumer Trust.   </w:t>
      </w:r>
      <w:r w:rsidR="002E7E35" w:rsidRPr="002E7E35">
        <w:rPr>
          <w:rFonts w:ascii="Calibri" w:hAnsi="Calibri" w:cs="Calibri"/>
          <w:i/>
          <w:sz w:val="22"/>
          <w:szCs w:val="22"/>
        </w:rPr>
        <w:t xml:space="preserve">Advocates of including the term </w:t>
      </w:r>
      <w:r w:rsidR="008C345B">
        <w:rPr>
          <w:rFonts w:ascii="Calibri" w:hAnsi="Calibri" w:cs="Calibri"/>
          <w:i/>
          <w:sz w:val="22"/>
          <w:szCs w:val="22"/>
        </w:rPr>
        <w:t>argued</w:t>
      </w:r>
      <w:r w:rsidR="002E7E35" w:rsidRPr="002E7E35">
        <w:rPr>
          <w:rFonts w:ascii="Calibri" w:hAnsi="Calibri" w:cs="Calibri"/>
          <w:i/>
          <w:sz w:val="22"/>
          <w:szCs w:val="22"/>
        </w:rPr>
        <w:t xml:space="preserve"> that </w:t>
      </w:r>
      <w:r w:rsidR="00BE1189" w:rsidRPr="002E7E35">
        <w:rPr>
          <w:rFonts w:ascii="Calibri" w:hAnsi="Calibri" w:cs="Calibri"/>
          <w:i/>
          <w:sz w:val="22"/>
          <w:szCs w:val="22"/>
        </w:rPr>
        <w:t>governments and the GAC</w:t>
      </w:r>
      <w:r w:rsidR="002E7E35" w:rsidRPr="002E7E35">
        <w:rPr>
          <w:rFonts w:ascii="Calibri" w:hAnsi="Calibri" w:cs="Calibri"/>
          <w:i/>
          <w:sz w:val="22"/>
          <w:szCs w:val="22"/>
        </w:rPr>
        <w:t xml:space="preserve"> </w:t>
      </w:r>
      <w:r w:rsidR="002E7E35">
        <w:rPr>
          <w:rFonts w:ascii="Calibri" w:hAnsi="Calibri" w:cs="Calibri"/>
          <w:i/>
          <w:sz w:val="22"/>
          <w:szCs w:val="22"/>
        </w:rPr>
        <w:t>expect</w:t>
      </w:r>
      <w:r w:rsidR="002E7E35" w:rsidRPr="002E7E35">
        <w:rPr>
          <w:rFonts w:ascii="Calibri" w:hAnsi="Calibri" w:cs="Calibri"/>
          <w:i/>
          <w:sz w:val="22"/>
          <w:szCs w:val="22"/>
        </w:rPr>
        <w:t xml:space="preserve"> ICANN </w:t>
      </w:r>
      <w:r w:rsidR="002E7E35">
        <w:rPr>
          <w:rFonts w:ascii="Calibri" w:hAnsi="Calibri" w:cs="Calibri"/>
          <w:i/>
          <w:sz w:val="22"/>
          <w:szCs w:val="22"/>
        </w:rPr>
        <w:t xml:space="preserve">and its contract parties to respect applicable national laws, citing several of </w:t>
      </w:r>
      <w:r w:rsidR="00BE1189" w:rsidRPr="002E7E35">
        <w:rPr>
          <w:rFonts w:ascii="Calibri" w:hAnsi="Calibri" w:cs="Calibri"/>
          <w:i/>
          <w:sz w:val="22"/>
          <w:szCs w:val="22"/>
        </w:rPr>
        <w:t>ICANN</w:t>
      </w:r>
      <w:r w:rsidR="002E7E35">
        <w:rPr>
          <w:rFonts w:ascii="Calibri" w:hAnsi="Calibri" w:cs="Calibri"/>
          <w:i/>
          <w:sz w:val="22"/>
          <w:szCs w:val="22"/>
        </w:rPr>
        <w:t>’s foundational documents:</w:t>
      </w:r>
    </w:p>
    <w:p w14:paraId="5C45D4D9" w14:textId="77777777" w:rsidR="00BE1189" w:rsidRPr="002E7E35" w:rsidRDefault="00BE1189" w:rsidP="00ED0485">
      <w:pPr>
        <w:widowControl w:val="0"/>
        <w:autoSpaceDE w:val="0"/>
        <w:autoSpaceDN w:val="0"/>
        <w:adjustRightInd w:val="0"/>
        <w:ind w:left="720"/>
        <w:rPr>
          <w:rFonts w:ascii="Calibri" w:hAnsi="Calibri" w:cs="Calibri"/>
          <w:i/>
          <w:sz w:val="22"/>
          <w:szCs w:val="22"/>
        </w:rPr>
      </w:pPr>
    </w:p>
    <w:p w14:paraId="7E036F41"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Articles of Incorporation: “The Corporation shall operate for the benefit of the Internet community as a whole, carrying out its activities in conformity with relevant principles of international law and applicable international conventions and local law"</w:t>
      </w:r>
    </w:p>
    <w:p w14:paraId="64D01C6D"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Applicant Guidebook:  “National Law” is cited as potential basis for Government objections, GAC Early Warning, and/or GAC advice</w:t>
      </w:r>
    </w:p>
    <w:p w14:paraId="1EDF7FB4"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Affirmation of Commitments:  “9.3.1 ICANN additionally commits to enforcing its existing policy relating to WHOIS, subject to applicable laws”</w:t>
      </w:r>
    </w:p>
    <w:p w14:paraId="7F32EAC3" w14:textId="77777777" w:rsidR="00BE1189" w:rsidRPr="002E7E35" w:rsidRDefault="00BE1189" w:rsidP="00625E4B">
      <w:pPr>
        <w:widowControl w:val="0"/>
        <w:numPr>
          <w:ilvl w:val="0"/>
          <w:numId w:val="1"/>
        </w:numPr>
        <w:autoSpaceDE w:val="0"/>
        <w:autoSpaceDN w:val="0"/>
        <w:adjustRightInd w:val="0"/>
        <w:spacing w:before="120"/>
        <w:ind w:left="1440"/>
        <w:rPr>
          <w:rFonts w:ascii="Calibri" w:hAnsi="Calibri" w:cs="Calibri"/>
          <w:i/>
          <w:sz w:val="22"/>
          <w:szCs w:val="22"/>
        </w:rPr>
      </w:pPr>
      <w:r w:rsidRPr="002E7E35">
        <w:rPr>
          <w:rFonts w:ascii="Calibri" w:hAnsi="Calibri" w:cs="Calibri"/>
          <w:i/>
          <w:sz w:val="22"/>
          <w:szCs w:val="22"/>
        </w:rPr>
        <w:t>Bylaws: regarding ccTLDs: “provided that such policies do not conflict with the law applicable to the ccTLD manager”</w:t>
      </w:r>
    </w:p>
    <w:p w14:paraId="5F653AE4" w14:textId="77777777" w:rsidR="00BE1189" w:rsidRPr="002E7E35" w:rsidRDefault="00BE1189" w:rsidP="00ED0485">
      <w:pPr>
        <w:widowControl w:val="0"/>
        <w:autoSpaceDE w:val="0"/>
        <w:autoSpaceDN w:val="0"/>
        <w:adjustRightInd w:val="0"/>
        <w:ind w:left="720"/>
        <w:rPr>
          <w:rFonts w:ascii="Calibri" w:hAnsi="Calibri" w:cs="Calibri"/>
          <w:i/>
          <w:sz w:val="22"/>
          <w:szCs w:val="22"/>
        </w:rPr>
      </w:pPr>
    </w:p>
    <w:p w14:paraId="60921399" w14:textId="60CAF9FC" w:rsidR="00BE1189" w:rsidRPr="002E7E35" w:rsidRDefault="002E7E35" w:rsidP="00ED0485">
      <w:pPr>
        <w:widowControl w:val="0"/>
        <w:autoSpaceDE w:val="0"/>
        <w:autoSpaceDN w:val="0"/>
        <w:adjustRightInd w:val="0"/>
        <w:ind w:left="720"/>
        <w:rPr>
          <w:rFonts w:ascii="Calibri" w:hAnsi="Calibri" w:cs="Calibri"/>
          <w:i/>
          <w:sz w:val="22"/>
          <w:szCs w:val="22"/>
        </w:rPr>
      </w:pPr>
      <w:r w:rsidRPr="002E7E35">
        <w:rPr>
          <w:rFonts w:ascii="Calibri" w:hAnsi="Calibri" w:cs="Calibri"/>
          <w:i/>
          <w:sz w:val="22"/>
          <w:szCs w:val="22"/>
        </w:rPr>
        <w:t xml:space="preserve">In addition, </w:t>
      </w:r>
      <w:r>
        <w:rPr>
          <w:rFonts w:ascii="Calibri" w:hAnsi="Calibri" w:cs="Calibri"/>
          <w:i/>
          <w:sz w:val="22"/>
          <w:szCs w:val="22"/>
        </w:rPr>
        <w:t xml:space="preserve">a set of 2011 </w:t>
      </w:r>
      <w:r w:rsidRPr="002E7E35">
        <w:rPr>
          <w:rFonts w:ascii="Calibri" w:hAnsi="Calibri" w:cs="Calibri"/>
          <w:i/>
          <w:sz w:val="22"/>
          <w:szCs w:val="22"/>
        </w:rPr>
        <w:t>working papers from the European Commission also cited the importance of national laws, indicate the political lens through which the new gTLD program will be judged by governments.</w:t>
      </w:r>
    </w:p>
    <w:p w14:paraId="1DCA0CE0" w14:textId="77777777" w:rsidR="00BE1189" w:rsidRDefault="00BE1189" w:rsidP="00D00805">
      <w:pPr>
        <w:widowControl w:val="0"/>
        <w:autoSpaceDE w:val="0"/>
        <w:autoSpaceDN w:val="0"/>
        <w:adjustRightInd w:val="0"/>
        <w:rPr>
          <w:rFonts w:ascii="Calibri" w:hAnsi="Calibri" w:cs="Calibri"/>
          <w:b/>
          <w:sz w:val="22"/>
          <w:szCs w:val="22"/>
        </w:rPr>
      </w:pPr>
    </w:p>
    <w:p w14:paraId="05518580" w14:textId="77777777" w:rsidR="004B35DE" w:rsidRDefault="004B35DE" w:rsidP="00D00805">
      <w:pPr>
        <w:widowControl w:val="0"/>
        <w:autoSpaceDE w:val="0"/>
        <w:autoSpaceDN w:val="0"/>
        <w:adjustRightInd w:val="0"/>
        <w:rPr>
          <w:rFonts w:ascii="Calibri" w:hAnsi="Calibri" w:cs="Calibri"/>
          <w:b/>
          <w:sz w:val="22"/>
          <w:szCs w:val="22"/>
        </w:rPr>
      </w:pPr>
    </w:p>
    <w:p w14:paraId="6977E283" w14:textId="77777777" w:rsidR="006B0EC9" w:rsidRDefault="006B0EC9">
      <w:pPr>
        <w:rPr>
          <w:rFonts w:ascii="Calibri" w:hAnsi="Calibri" w:cs="Calibri"/>
          <w:b/>
          <w:sz w:val="22"/>
          <w:szCs w:val="22"/>
        </w:rPr>
      </w:pPr>
      <w:r>
        <w:rPr>
          <w:rFonts w:ascii="Calibri" w:hAnsi="Calibri" w:cs="Calibri"/>
          <w:b/>
          <w:sz w:val="22"/>
          <w:szCs w:val="22"/>
        </w:rPr>
        <w:br w:type="page"/>
      </w:r>
    </w:p>
    <w:p w14:paraId="41260E3F" w14:textId="665BC3EA" w:rsidR="003B3E2A" w:rsidRPr="00AC4FF1" w:rsidRDefault="005026D1" w:rsidP="00D00805">
      <w:pPr>
        <w:widowControl w:val="0"/>
        <w:autoSpaceDE w:val="0"/>
        <w:autoSpaceDN w:val="0"/>
        <w:adjustRightInd w:val="0"/>
        <w:rPr>
          <w:rFonts w:ascii="Calibri" w:hAnsi="Calibri" w:cs="Calibri"/>
          <w:b/>
          <w:sz w:val="22"/>
          <w:szCs w:val="22"/>
        </w:rPr>
      </w:pPr>
      <w:r>
        <w:rPr>
          <w:rFonts w:ascii="Calibri" w:hAnsi="Calibri" w:cs="Calibri"/>
          <w:b/>
          <w:sz w:val="22"/>
          <w:szCs w:val="22"/>
        </w:rPr>
        <w:t xml:space="preserve">Advice on </w:t>
      </w:r>
      <w:r w:rsidR="0070200A" w:rsidRPr="00AC4FF1">
        <w:rPr>
          <w:rFonts w:ascii="Calibri" w:hAnsi="Calibri" w:cs="Calibri"/>
          <w:b/>
          <w:sz w:val="22"/>
          <w:szCs w:val="22"/>
        </w:rPr>
        <w:t>Measures</w:t>
      </w:r>
      <w:r>
        <w:rPr>
          <w:rFonts w:ascii="Calibri" w:hAnsi="Calibri" w:cs="Calibri"/>
          <w:b/>
          <w:sz w:val="22"/>
          <w:szCs w:val="22"/>
        </w:rPr>
        <w:t xml:space="preserve"> </w:t>
      </w:r>
      <w:r w:rsidR="004B4383">
        <w:rPr>
          <w:rFonts w:ascii="Calibri" w:hAnsi="Calibri" w:cs="Calibri"/>
          <w:b/>
          <w:sz w:val="22"/>
          <w:szCs w:val="22"/>
        </w:rPr>
        <w:t xml:space="preserve">and 3-Year Targets </w:t>
      </w:r>
      <w:r>
        <w:rPr>
          <w:rFonts w:ascii="Calibri" w:hAnsi="Calibri" w:cs="Calibri"/>
          <w:b/>
          <w:sz w:val="22"/>
          <w:szCs w:val="22"/>
        </w:rPr>
        <w:t>for Defined Terms</w:t>
      </w:r>
    </w:p>
    <w:p w14:paraId="5CD93AE0" w14:textId="77777777" w:rsidR="0070200A" w:rsidRDefault="0070200A" w:rsidP="00D00805">
      <w:pPr>
        <w:widowControl w:val="0"/>
        <w:autoSpaceDE w:val="0"/>
        <w:autoSpaceDN w:val="0"/>
        <w:adjustRightInd w:val="0"/>
        <w:rPr>
          <w:rFonts w:ascii="Calibri" w:hAnsi="Calibri" w:cs="Calibri"/>
          <w:sz w:val="22"/>
          <w:szCs w:val="22"/>
        </w:rPr>
      </w:pPr>
    </w:p>
    <w:p w14:paraId="159D51ED" w14:textId="69349C98" w:rsidR="00ED0485" w:rsidRDefault="007F4A74" w:rsidP="00D00805">
      <w:pPr>
        <w:widowControl w:val="0"/>
        <w:autoSpaceDE w:val="0"/>
        <w:autoSpaceDN w:val="0"/>
        <w:adjustRightInd w:val="0"/>
        <w:rPr>
          <w:rFonts w:ascii="Calibri" w:hAnsi="Calibri" w:cs="Calibri"/>
          <w:sz w:val="22"/>
          <w:szCs w:val="22"/>
        </w:rPr>
      </w:pPr>
      <w:r>
        <w:rPr>
          <w:rFonts w:ascii="Calibri" w:hAnsi="Calibri" w:cs="Calibri"/>
          <w:sz w:val="22"/>
          <w:szCs w:val="22"/>
        </w:rPr>
        <w:t>The board resolution requests advice on measures for each of the three defined terms.   Below are the working group’s recom</w:t>
      </w:r>
      <w:r w:rsidR="00553269">
        <w:rPr>
          <w:rFonts w:ascii="Calibri" w:hAnsi="Calibri" w:cs="Calibri"/>
          <w:sz w:val="22"/>
          <w:szCs w:val="22"/>
        </w:rPr>
        <w:t>mended measures, including columns indicating ICANN staff assessment of difficulty in obtaining and reporting each measure, along with the source of data.</w:t>
      </w:r>
    </w:p>
    <w:p w14:paraId="76C11AF8" w14:textId="77777777" w:rsidR="00553269" w:rsidRDefault="00553269" w:rsidP="00D00805">
      <w:pPr>
        <w:widowControl w:val="0"/>
        <w:autoSpaceDE w:val="0"/>
        <w:autoSpaceDN w:val="0"/>
        <w:adjustRightInd w:val="0"/>
        <w:rPr>
          <w:rFonts w:ascii="Calibri" w:hAnsi="Calibri" w:cs="Calibri"/>
          <w:sz w:val="22"/>
          <w:szCs w:val="22"/>
        </w:rPr>
      </w:pPr>
    </w:p>
    <w:p w14:paraId="1F33CA43" w14:textId="796A1EEA"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 xml:space="preserve">The Board resolution </w:t>
      </w:r>
      <w:r w:rsidR="004B4383">
        <w:rPr>
          <w:rFonts w:ascii="Calibri" w:hAnsi="Calibri" w:cs="Calibri"/>
          <w:sz w:val="22"/>
          <w:szCs w:val="22"/>
        </w:rPr>
        <w:t xml:space="preserve">also </w:t>
      </w:r>
      <w:r>
        <w:rPr>
          <w:rFonts w:ascii="Calibri" w:hAnsi="Calibri" w:cs="Calibri"/>
          <w:sz w:val="22"/>
          <w:szCs w:val="22"/>
        </w:rPr>
        <w:t>requested advice on 3-year targets for these measures.   For some measures, an appropriate target would be an improvement on performance in the pre-expansion gTLD space.   For other measures, such as URS complaints, there is no equivalent data in the pre-expansion gTLD environment.</w:t>
      </w:r>
    </w:p>
    <w:p w14:paraId="20E323F0" w14:textId="77777777" w:rsidR="007516A3" w:rsidRDefault="007516A3" w:rsidP="007516A3">
      <w:pPr>
        <w:widowControl w:val="0"/>
        <w:autoSpaceDE w:val="0"/>
        <w:autoSpaceDN w:val="0"/>
        <w:adjustRightInd w:val="0"/>
        <w:rPr>
          <w:rFonts w:ascii="Calibri" w:hAnsi="Calibri" w:cs="Calibri"/>
          <w:sz w:val="22"/>
          <w:szCs w:val="22"/>
        </w:rPr>
      </w:pPr>
    </w:p>
    <w:p w14:paraId="44E67F7C" w14:textId="77777777"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The Working Group asked ICANN staff to identify baseline values for any measure that applies to the pre-expansion gTLD space, so that future targets could be stated in terms of improvements relative to present performance.</w:t>
      </w:r>
    </w:p>
    <w:p w14:paraId="59B594F5" w14:textId="77777777" w:rsidR="007516A3" w:rsidRDefault="007516A3" w:rsidP="007516A3">
      <w:pPr>
        <w:widowControl w:val="0"/>
        <w:autoSpaceDE w:val="0"/>
        <w:autoSpaceDN w:val="0"/>
        <w:adjustRightInd w:val="0"/>
        <w:rPr>
          <w:rFonts w:ascii="Calibri" w:hAnsi="Calibri" w:cs="Calibri"/>
          <w:sz w:val="22"/>
          <w:szCs w:val="22"/>
        </w:rPr>
      </w:pPr>
    </w:p>
    <w:p w14:paraId="26205DD6" w14:textId="77777777" w:rsidR="007516A3" w:rsidRDefault="007516A3" w:rsidP="007516A3">
      <w:pPr>
        <w:widowControl w:val="0"/>
        <w:autoSpaceDE w:val="0"/>
        <w:autoSpaceDN w:val="0"/>
        <w:adjustRightInd w:val="0"/>
        <w:rPr>
          <w:rFonts w:ascii="Calibri" w:hAnsi="Calibri" w:cs="Calibri"/>
          <w:sz w:val="22"/>
          <w:szCs w:val="22"/>
        </w:rPr>
      </w:pPr>
      <w:r>
        <w:rPr>
          <w:rFonts w:ascii="Calibri" w:hAnsi="Calibri" w:cs="Calibri"/>
          <w:sz w:val="22"/>
          <w:szCs w:val="22"/>
        </w:rPr>
        <w:t>For example, a 3-year target for UDRP Complaints in new gTLDs could be any of these:</w:t>
      </w:r>
    </w:p>
    <w:p w14:paraId="42BCA49F" w14:textId="77777777" w:rsidR="007516A3" w:rsidRDefault="007516A3" w:rsidP="007516A3">
      <w:pPr>
        <w:widowControl w:val="0"/>
        <w:autoSpaceDE w:val="0"/>
        <w:autoSpaceDN w:val="0"/>
        <w:adjustRightInd w:val="0"/>
        <w:rPr>
          <w:rFonts w:ascii="Calibri" w:hAnsi="Calibri" w:cs="Calibri"/>
          <w:sz w:val="22"/>
          <w:szCs w:val="22"/>
        </w:rPr>
      </w:pPr>
    </w:p>
    <w:tbl>
      <w:tblPr>
        <w:tblStyle w:val="TableGrid"/>
        <w:tblW w:w="0" w:type="auto"/>
        <w:tblInd w:w="468" w:type="dxa"/>
        <w:tblLook w:val="04A0" w:firstRow="1" w:lastRow="0" w:firstColumn="1" w:lastColumn="0" w:noHBand="0" w:noVBand="1"/>
      </w:tblPr>
      <w:tblGrid>
        <w:gridCol w:w="2700"/>
        <w:gridCol w:w="5688"/>
      </w:tblGrid>
      <w:tr w:rsidR="007516A3" w:rsidRPr="00A36343" w14:paraId="25416F53" w14:textId="77777777" w:rsidTr="00E267B5">
        <w:tc>
          <w:tcPr>
            <w:tcW w:w="2700" w:type="dxa"/>
          </w:tcPr>
          <w:p w14:paraId="5A044559" w14:textId="77777777" w:rsidR="007516A3" w:rsidRPr="00A36343" w:rsidRDefault="007516A3" w:rsidP="00E267B5">
            <w:pPr>
              <w:widowControl w:val="0"/>
              <w:autoSpaceDE w:val="0"/>
              <w:autoSpaceDN w:val="0"/>
              <w:adjustRightInd w:val="0"/>
              <w:rPr>
                <w:rFonts w:ascii="Calibri" w:hAnsi="Calibri" w:cs="Calibri"/>
                <w:sz w:val="20"/>
                <w:szCs w:val="22"/>
              </w:rPr>
            </w:pPr>
            <w:r w:rsidRPr="00A36343">
              <w:rPr>
                <w:rFonts w:ascii="Calibri" w:hAnsi="Calibri" w:cs="Calibri"/>
                <w:sz w:val="20"/>
                <w:szCs w:val="22"/>
              </w:rPr>
              <w:t>Type of Target</w:t>
            </w:r>
          </w:p>
        </w:tc>
        <w:tc>
          <w:tcPr>
            <w:tcW w:w="5688" w:type="dxa"/>
          </w:tcPr>
          <w:p w14:paraId="70E53C26" w14:textId="77777777" w:rsidR="007516A3" w:rsidRPr="00A36343" w:rsidRDefault="007516A3" w:rsidP="00E267B5">
            <w:pPr>
              <w:widowControl w:val="0"/>
              <w:autoSpaceDE w:val="0"/>
              <w:autoSpaceDN w:val="0"/>
              <w:adjustRightInd w:val="0"/>
              <w:rPr>
                <w:rFonts w:ascii="Calibri" w:hAnsi="Calibri" w:cs="Calibri"/>
                <w:sz w:val="20"/>
                <w:szCs w:val="22"/>
              </w:rPr>
            </w:pPr>
            <w:r w:rsidRPr="00A36343">
              <w:rPr>
                <w:rFonts w:ascii="Calibri" w:hAnsi="Calibri" w:cs="Calibri"/>
                <w:sz w:val="20"/>
                <w:szCs w:val="22"/>
              </w:rPr>
              <w:t>Example of target for UDRP complaints</w:t>
            </w:r>
          </w:p>
        </w:tc>
      </w:tr>
      <w:tr w:rsidR="007516A3" w:rsidRPr="00A36343" w14:paraId="166543CA" w14:textId="77777777" w:rsidTr="00E267B5">
        <w:tc>
          <w:tcPr>
            <w:tcW w:w="2700" w:type="dxa"/>
          </w:tcPr>
          <w:p w14:paraId="5A587DD2"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Annual total for all new gTLDs</w:t>
            </w:r>
          </w:p>
        </w:tc>
        <w:tc>
          <w:tcPr>
            <w:tcW w:w="5688" w:type="dxa"/>
          </w:tcPr>
          <w:p w14:paraId="0FDFC3C0"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Total UDRP complaints regarding new gTLDs should be fewer than 1000 per year.</w:t>
            </w:r>
          </w:p>
        </w:tc>
      </w:tr>
      <w:tr w:rsidR="007516A3" w:rsidRPr="00A36343" w14:paraId="21271B13" w14:textId="77777777" w:rsidTr="00E267B5">
        <w:tc>
          <w:tcPr>
            <w:tcW w:w="2700" w:type="dxa"/>
          </w:tcPr>
          <w:p w14:paraId="45E66836"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Rate of incidence for new gTLDs</w:t>
            </w:r>
            <w:r>
              <w:rPr>
                <w:rFonts w:ascii="Calibri" w:hAnsi="Calibri" w:cs="Calibri"/>
                <w:sz w:val="20"/>
                <w:szCs w:val="22"/>
              </w:rPr>
              <w:t xml:space="preserve"> (per 1000 registrations)</w:t>
            </w:r>
          </w:p>
        </w:tc>
        <w:tc>
          <w:tcPr>
            <w:tcW w:w="5688" w:type="dxa"/>
          </w:tcPr>
          <w:p w14:paraId="3338B290"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The rate of UDRP complaints in new gTLDs should be less than 1 for every 1000 registrations. </w:t>
            </w:r>
          </w:p>
        </w:tc>
      </w:tr>
      <w:tr w:rsidR="007516A3" w:rsidRPr="00A36343" w14:paraId="43946445" w14:textId="77777777" w:rsidTr="00E267B5">
        <w:tc>
          <w:tcPr>
            <w:tcW w:w="2700" w:type="dxa"/>
          </w:tcPr>
          <w:p w14:paraId="74467CCB"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Relative to prior periods</w:t>
            </w:r>
          </w:p>
        </w:tc>
        <w:tc>
          <w:tcPr>
            <w:tcW w:w="5688" w:type="dxa"/>
          </w:tcPr>
          <w:p w14:paraId="4F2E703B"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The number of URS complaints for new gTLDs in 2015 should be less than 10% of the number of URS complaints in 2014.</w:t>
            </w:r>
          </w:p>
        </w:tc>
      </w:tr>
      <w:tr w:rsidR="007516A3" w:rsidRPr="00A36343" w14:paraId="0CB05A15" w14:textId="77777777" w:rsidTr="00E267B5">
        <w:tc>
          <w:tcPr>
            <w:tcW w:w="2700" w:type="dxa"/>
          </w:tcPr>
          <w:p w14:paraId="2ED786EE"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Relative to legacy gTLDs </w:t>
            </w:r>
          </w:p>
        </w:tc>
        <w:tc>
          <w:tcPr>
            <w:tcW w:w="5688" w:type="dxa"/>
          </w:tcPr>
          <w:p w14:paraId="1D602677" w14:textId="77777777" w:rsidR="007516A3" w:rsidRPr="00A36343" w:rsidRDefault="007516A3" w:rsidP="00E267B5">
            <w:pPr>
              <w:widowControl w:val="0"/>
              <w:autoSpaceDE w:val="0"/>
              <w:autoSpaceDN w:val="0"/>
              <w:adjustRightInd w:val="0"/>
              <w:spacing w:before="60" w:after="60"/>
              <w:rPr>
                <w:rFonts w:ascii="Calibri" w:hAnsi="Calibri" w:cs="Calibri"/>
                <w:sz w:val="20"/>
                <w:szCs w:val="22"/>
              </w:rPr>
            </w:pPr>
            <w:r w:rsidRPr="00A36343">
              <w:rPr>
                <w:rFonts w:ascii="Calibri" w:hAnsi="Calibri" w:cs="Calibri"/>
                <w:sz w:val="20"/>
                <w:szCs w:val="22"/>
              </w:rPr>
              <w:t xml:space="preserve">In 2015, the rate of UDRP complaints (per 1000 registrations ) in the new gTLDs should be 50% lower than the rate in legacy gTLDs </w:t>
            </w:r>
          </w:p>
        </w:tc>
      </w:tr>
    </w:tbl>
    <w:p w14:paraId="647C899B" w14:textId="77777777" w:rsidR="007516A3" w:rsidRDefault="007516A3" w:rsidP="007516A3">
      <w:pPr>
        <w:widowControl w:val="0"/>
        <w:autoSpaceDE w:val="0"/>
        <w:autoSpaceDN w:val="0"/>
        <w:adjustRightInd w:val="0"/>
        <w:rPr>
          <w:rFonts w:ascii="Calibri" w:hAnsi="Calibri" w:cs="Calibri"/>
          <w:sz w:val="22"/>
          <w:szCs w:val="22"/>
        </w:rPr>
      </w:pPr>
    </w:p>
    <w:p w14:paraId="5A76A425" w14:textId="5AF0EB1E" w:rsidR="007F4A74" w:rsidRDefault="007516A3"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In the </w:t>
      </w:r>
      <w:r w:rsidR="004B4383">
        <w:rPr>
          <w:rFonts w:ascii="Calibri" w:hAnsi="Calibri" w:cs="Calibri"/>
          <w:sz w:val="22"/>
          <w:szCs w:val="22"/>
        </w:rPr>
        <w:t xml:space="preserve">last column of the </w:t>
      </w:r>
      <w:r>
        <w:rPr>
          <w:rFonts w:ascii="Calibri" w:hAnsi="Calibri" w:cs="Calibri"/>
          <w:sz w:val="22"/>
          <w:szCs w:val="22"/>
        </w:rPr>
        <w:t xml:space="preserve">table below, the working group recommends 3-year targets for measures where we had sufficient information to </w:t>
      </w:r>
      <w:r w:rsidR="004B4383">
        <w:rPr>
          <w:rFonts w:ascii="Calibri" w:hAnsi="Calibri" w:cs="Calibri"/>
          <w:sz w:val="22"/>
          <w:szCs w:val="22"/>
        </w:rPr>
        <w:t>suggest</w:t>
      </w:r>
      <w:r>
        <w:rPr>
          <w:rFonts w:ascii="Calibri" w:hAnsi="Calibri" w:cs="Calibri"/>
          <w:sz w:val="22"/>
          <w:szCs w:val="22"/>
        </w:rPr>
        <w:t xml:space="preserve"> a</w:t>
      </w:r>
      <w:r w:rsidR="004B4383">
        <w:rPr>
          <w:rFonts w:ascii="Calibri" w:hAnsi="Calibri" w:cs="Calibri"/>
          <w:sz w:val="22"/>
          <w:szCs w:val="22"/>
        </w:rPr>
        <w:t>pplicable</w:t>
      </w:r>
      <w:r>
        <w:rPr>
          <w:rFonts w:ascii="Calibri" w:hAnsi="Calibri" w:cs="Calibri"/>
          <w:sz w:val="22"/>
          <w:szCs w:val="22"/>
        </w:rPr>
        <w:t xml:space="preserve"> target</w:t>
      </w:r>
      <w:r w:rsidR="004B4383">
        <w:rPr>
          <w:rFonts w:ascii="Calibri" w:hAnsi="Calibri" w:cs="Calibri"/>
          <w:sz w:val="22"/>
          <w:szCs w:val="22"/>
        </w:rPr>
        <w:t>s</w:t>
      </w:r>
      <w:r>
        <w:rPr>
          <w:rFonts w:ascii="Calibri" w:hAnsi="Calibri" w:cs="Calibri"/>
          <w:sz w:val="22"/>
          <w:szCs w:val="22"/>
        </w:rPr>
        <w:t xml:space="preserve">. </w:t>
      </w:r>
    </w:p>
    <w:p w14:paraId="36323A88" w14:textId="77777777" w:rsidR="007516A3" w:rsidRDefault="007516A3" w:rsidP="00D00805">
      <w:pPr>
        <w:widowControl w:val="0"/>
        <w:autoSpaceDE w:val="0"/>
        <w:autoSpaceDN w:val="0"/>
        <w:adjustRightInd w:val="0"/>
        <w:rPr>
          <w:rFonts w:ascii="Calibri" w:hAnsi="Calibri" w:cs="Calibri"/>
          <w:sz w:val="22"/>
          <w:szCs w:val="22"/>
        </w:rPr>
      </w:pPr>
    </w:p>
    <w:p w14:paraId="4901CB8A" w14:textId="6778C85F" w:rsidR="007516A3" w:rsidRDefault="007516A3" w:rsidP="00D00805">
      <w:pPr>
        <w:widowControl w:val="0"/>
        <w:autoSpaceDE w:val="0"/>
        <w:autoSpaceDN w:val="0"/>
        <w:adjustRightInd w:val="0"/>
        <w:rPr>
          <w:rFonts w:ascii="Calibri" w:hAnsi="Calibri" w:cs="Calibri"/>
          <w:sz w:val="22"/>
          <w:szCs w:val="22"/>
        </w:rPr>
      </w:pPr>
      <w:r>
        <w:rPr>
          <w:rFonts w:ascii="Calibri" w:hAnsi="Calibri" w:cs="Calibri"/>
          <w:sz w:val="22"/>
          <w:szCs w:val="22"/>
        </w:rPr>
        <w:t xml:space="preserve">Notes about </w:t>
      </w:r>
      <w:r w:rsidR="004B4383">
        <w:rPr>
          <w:rFonts w:ascii="Calibri" w:hAnsi="Calibri" w:cs="Calibri"/>
          <w:sz w:val="22"/>
          <w:szCs w:val="22"/>
        </w:rPr>
        <w:t xml:space="preserve">terms used in </w:t>
      </w:r>
      <w:r>
        <w:rPr>
          <w:rFonts w:ascii="Calibri" w:hAnsi="Calibri" w:cs="Calibri"/>
          <w:sz w:val="22"/>
          <w:szCs w:val="22"/>
        </w:rPr>
        <w:t>the tables of measures:</w:t>
      </w:r>
    </w:p>
    <w:p w14:paraId="6B152138" w14:textId="3FA6847A" w:rsidR="004B4383"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w:t>
      </w:r>
      <w:r w:rsidR="00301602">
        <w:rPr>
          <w:rFonts w:ascii="Calibri" w:hAnsi="Calibri" w:cs="Calibri"/>
          <w:sz w:val="22"/>
          <w:szCs w:val="22"/>
        </w:rPr>
        <w:t>Obtaining</w:t>
      </w:r>
      <w:r>
        <w:rPr>
          <w:rFonts w:ascii="Calibri" w:hAnsi="Calibri" w:cs="Calibri"/>
          <w:sz w:val="22"/>
          <w:szCs w:val="22"/>
        </w:rPr>
        <w:t xml:space="preserve">” </w:t>
      </w:r>
      <w:r w:rsidR="00301602">
        <w:rPr>
          <w:rFonts w:ascii="Calibri" w:hAnsi="Calibri" w:cs="Calibri"/>
          <w:sz w:val="22"/>
          <w:szCs w:val="22"/>
        </w:rPr>
        <w:t xml:space="preserve">refers </w:t>
      </w:r>
      <w:r>
        <w:rPr>
          <w:rFonts w:ascii="Calibri" w:hAnsi="Calibri" w:cs="Calibri"/>
          <w:sz w:val="22"/>
          <w:szCs w:val="22"/>
        </w:rPr>
        <w:t xml:space="preserve">the </w:t>
      </w:r>
      <w:r w:rsidR="00301602">
        <w:rPr>
          <w:rFonts w:ascii="Calibri" w:hAnsi="Calibri" w:cs="Calibri"/>
          <w:sz w:val="22"/>
          <w:szCs w:val="22"/>
        </w:rPr>
        <w:t xml:space="preserve">availability and </w:t>
      </w:r>
      <w:r>
        <w:rPr>
          <w:rFonts w:ascii="Calibri" w:hAnsi="Calibri" w:cs="Calibri"/>
          <w:sz w:val="22"/>
          <w:szCs w:val="22"/>
        </w:rPr>
        <w:t xml:space="preserve">level of effort </w:t>
      </w:r>
      <w:r w:rsidR="00301602">
        <w:rPr>
          <w:rFonts w:ascii="Calibri" w:hAnsi="Calibri" w:cs="Calibri"/>
          <w:sz w:val="22"/>
          <w:szCs w:val="22"/>
        </w:rPr>
        <w:t>to gather</w:t>
      </w:r>
      <w:r>
        <w:rPr>
          <w:rFonts w:ascii="Calibri" w:hAnsi="Calibri" w:cs="Calibri"/>
          <w:sz w:val="22"/>
          <w:szCs w:val="22"/>
        </w:rPr>
        <w:t xml:space="preserve"> raw data needed for each measure in the table.</w:t>
      </w:r>
    </w:p>
    <w:p w14:paraId="05ED055D" w14:textId="1440045A" w:rsidR="006100B5"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w:t>
      </w:r>
      <w:r w:rsidR="00347843">
        <w:rPr>
          <w:rFonts w:ascii="Calibri" w:hAnsi="Calibri" w:cs="Calibri"/>
          <w:sz w:val="22"/>
          <w:szCs w:val="22"/>
        </w:rPr>
        <w:t>Reporting</w:t>
      </w:r>
      <w:r>
        <w:rPr>
          <w:rFonts w:ascii="Calibri" w:hAnsi="Calibri" w:cs="Calibri"/>
          <w:sz w:val="22"/>
          <w:szCs w:val="22"/>
        </w:rPr>
        <w:t>”</w:t>
      </w:r>
      <w:r w:rsidRPr="006100B5">
        <w:rPr>
          <w:rFonts w:ascii="Calibri" w:hAnsi="Calibri" w:cs="Calibri"/>
          <w:sz w:val="22"/>
          <w:szCs w:val="22"/>
        </w:rPr>
        <w:t xml:space="preserve"> </w:t>
      </w:r>
      <w:r w:rsidR="00347843">
        <w:rPr>
          <w:rFonts w:ascii="Calibri" w:hAnsi="Calibri" w:cs="Calibri"/>
          <w:sz w:val="22"/>
          <w:szCs w:val="22"/>
        </w:rPr>
        <w:t xml:space="preserve">refers to </w:t>
      </w:r>
      <w:r>
        <w:rPr>
          <w:rFonts w:ascii="Calibri" w:hAnsi="Calibri" w:cs="Calibri"/>
          <w:sz w:val="22"/>
          <w:szCs w:val="22"/>
        </w:rPr>
        <w:t>any challenges in compiling and publicly disclosing each measure in the table.</w:t>
      </w:r>
    </w:p>
    <w:p w14:paraId="7730E034" w14:textId="0A770D54" w:rsidR="004B4383" w:rsidRDefault="006100B5" w:rsidP="006100B5">
      <w:pPr>
        <w:widowControl w:val="0"/>
        <w:autoSpaceDE w:val="0"/>
        <w:autoSpaceDN w:val="0"/>
        <w:adjustRightInd w:val="0"/>
        <w:spacing w:before="120"/>
        <w:ind w:left="720"/>
        <w:rPr>
          <w:rFonts w:ascii="Calibri" w:hAnsi="Calibri" w:cs="Calibri"/>
          <w:sz w:val="22"/>
          <w:szCs w:val="22"/>
        </w:rPr>
      </w:pPr>
      <w:r>
        <w:rPr>
          <w:rFonts w:ascii="Calibri" w:hAnsi="Calibri" w:cs="Calibri"/>
          <w:sz w:val="22"/>
          <w:szCs w:val="22"/>
        </w:rPr>
        <w:t xml:space="preserve"> “R</w:t>
      </w:r>
      <w:r w:rsidR="004B4383">
        <w:rPr>
          <w:rFonts w:ascii="Calibri" w:hAnsi="Calibri" w:cs="Calibri"/>
          <w:sz w:val="22"/>
          <w:szCs w:val="22"/>
        </w:rPr>
        <w:t xml:space="preserve">elative incidence” of a particular measure would divide the raw data by the total number of registrations in each gTLD zone evaluated.  This is intended to put small or new </w:t>
      </w:r>
      <w:r>
        <w:rPr>
          <w:rFonts w:ascii="Calibri" w:hAnsi="Calibri" w:cs="Calibri"/>
          <w:sz w:val="22"/>
          <w:szCs w:val="22"/>
        </w:rPr>
        <w:t>gTLDs</w:t>
      </w:r>
      <w:r w:rsidR="004B4383">
        <w:rPr>
          <w:rFonts w:ascii="Calibri" w:hAnsi="Calibri" w:cs="Calibri"/>
          <w:sz w:val="22"/>
          <w:szCs w:val="22"/>
        </w:rPr>
        <w:t xml:space="preserve"> on a comparable basis with experience in larger </w:t>
      </w:r>
      <w:r>
        <w:rPr>
          <w:rFonts w:ascii="Calibri" w:hAnsi="Calibri" w:cs="Calibri"/>
          <w:sz w:val="22"/>
          <w:szCs w:val="22"/>
        </w:rPr>
        <w:t>or</w:t>
      </w:r>
      <w:r w:rsidR="004B4383">
        <w:rPr>
          <w:rFonts w:ascii="Calibri" w:hAnsi="Calibri" w:cs="Calibri"/>
          <w:sz w:val="22"/>
          <w:szCs w:val="22"/>
        </w:rPr>
        <w:t xml:space="preserve"> more established </w:t>
      </w:r>
      <w:r>
        <w:rPr>
          <w:rFonts w:ascii="Calibri" w:hAnsi="Calibri" w:cs="Calibri"/>
          <w:sz w:val="22"/>
          <w:szCs w:val="22"/>
        </w:rPr>
        <w:t>gTLDs</w:t>
      </w:r>
      <w:r w:rsidR="004B4383">
        <w:rPr>
          <w:rFonts w:ascii="Calibri" w:hAnsi="Calibri" w:cs="Calibri"/>
          <w:sz w:val="22"/>
          <w:szCs w:val="22"/>
        </w:rPr>
        <w:t xml:space="preserve">.  </w:t>
      </w:r>
    </w:p>
    <w:p w14:paraId="3A48E95D" w14:textId="77777777" w:rsidR="007516A3" w:rsidRDefault="007516A3" w:rsidP="00D00805">
      <w:pPr>
        <w:widowControl w:val="0"/>
        <w:autoSpaceDE w:val="0"/>
        <w:autoSpaceDN w:val="0"/>
        <w:adjustRightInd w:val="0"/>
        <w:rPr>
          <w:rFonts w:ascii="Calibri" w:hAnsi="Calibri" w:cs="Calibri"/>
          <w:sz w:val="22"/>
          <w:szCs w:val="22"/>
        </w:rPr>
      </w:pPr>
    </w:p>
    <w:p w14:paraId="677A291D" w14:textId="77777777" w:rsidR="00DB3F97" w:rsidRDefault="00DB3F97">
      <w:pPr>
        <w:rPr>
          <w:rFonts w:ascii="Calibri" w:hAnsi="Calibri" w:cs="Calibri"/>
          <w:b/>
          <w:sz w:val="22"/>
          <w:szCs w:val="22"/>
        </w:rPr>
      </w:pPr>
      <w:r>
        <w:rPr>
          <w:rFonts w:ascii="Calibri" w:hAnsi="Calibri" w:cs="Calibri"/>
          <w:b/>
          <w:sz w:val="22"/>
          <w:szCs w:val="22"/>
        </w:rPr>
        <w:br w:type="page"/>
      </w:r>
    </w:p>
    <w:p w14:paraId="27F631BA" w14:textId="7C3A6679" w:rsidR="00553269" w:rsidRDefault="00553269" w:rsidP="00ED0485">
      <w:pPr>
        <w:widowControl w:val="0"/>
        <w:autoSpaceDE w:val="0"/>
        <w:autoSpaceDN w:val="0"/>
        <w:adjustRightInd w:val="0"/>
        <w:rPr>
          <w:rFonts w:ascii="Calibri" w:hAnsi="Calibri" w:cs="Calibri"/>
          <w:b/>
          <w:sz w:val="22"/>
          <w:szCs w:val="22"/>
        </w:rPr>
      </w:pPr>
      <w:r>
        <w:rPr>
          <w:rFonts w:ascii="Calibri" w:hAnsi="Calibri" w:cs="Calibri"/>
          <w:b/>
          <w:sz w:val="22"/>
          <w:szCs w:val="22"/>
        </w:rPr>
        <w:t xml:space="preserve">Measures of </w:t>
      </w:r>
      <w:r w:rsidR="00ED0485" w:rsidRPr="00663C6B">
        <w:rPr>
          <w:rFonts w:ascii="Calibri" w:hAnsi="Calibri" w:cs="Calibri"/>
          <w:b/>
          <w:sz w:val="22"/>
          <w:szCs w:val="22"/>
        </w:rPr>
        <w:t>Consumer Trust </w:t>
      </w:r>
    </w:p>
    <w:p w14:paraId="33C6539D" w14:textId="77777777" w:rsidR="00553269" w:rsidRDefault="00553269" w:rsidP="00ED0485">
      <w:pPr>
        <w:widowControl w:val="0"/>
        <w:autoSpaceDE w:val="0"/>
        <w:autoSpaceDN w:val="0"/>
        <w:adjustRightInd w:val="0"/>
        <w:rPr>
          <w:rFonts w:ascii="Calibri" w:hAnsi="Calibri" w:cs="Calibri"/>
          <w:b/>
          <w:sz w:val="22"/>
          <w:szCs w:val="22"/>
        </w:rPr>
      </w:pPr>
    </w:p>
    <w:p w14:paraId="3E197D87" w14:textId="03C5414A" w:rsidR="00553269" w:rsidRDefault="00553269" w:rsidP="00ED0485">
      <w:pPr>
        <w:widowControl w:val="0"/>
        <w:autoSpaceDE w:val="0"/>
        <w:autoSpaceDN w:val="0"/>
        <w:adjustRightInd w:val="0"/>
        <w:rPr>
          <w:rFonts w:ascii="Calibri" w:hAnsi="Calibri" w:cs="Calibri"/>
          <w:sz w:val="22"/>
          <w:szCs w:val="22"/>
        </w:rPr>
      </w:pPr>
      <w:r w:rsidRPr="00553269">
        <w:rPr>
          <w:rFonts w:ascii="Calibri" w:hAnsi="Calibri" w:cs="Calibri"/>
          <w:sz w:val="22"/>
          <w:szCs w:val="22"/>
        </w:rPr>
        <w:t>For reference, the definition</w:t>
      </w:r>
      <w:r w:rsidR="00EB40C9">
        <w:rPr>
          <w:rFonts w:ascii="Calibri" w:hAnsi="Calibri" w:cs="Calibri"/>
          <w:sz w:val="22"/>
          <w:szCs w:val="22"/>
        </w:rPr>
        <w:t>s</w:t>
      </w:r>
      <w:r w:rsidRPr="00553269">
        <w:rPr>
          <w:rFonts w:ascii="Calibri" w:hAnsi="Calibri" w:cs="Calibri"/>
          <w:sz w:val="22"/>
          <w:szCs w:val="22"/>
        </w:rPr>
        <w:t xml:space="preserve"> of Consumer </w:t>
      </w:r>
      <w:r w:rsidR="00EB40C9">
        <w:rPr>
          <w:rFonts w:ascii="Calibri" w:hAnsi="Calibri" w:cs="Calibri"/>
          <w:sz w:val="22"/>
          <w:szCs w:val="22"/>
        </w:rPr>
        <w:t xml:space="preserve">and Consumer </w:t>
      </w:r>
      <w:r w:rsidRPr="00553269">
        <w:rPr>
          <w:rFonts w:ascii="Calibri" w:hAnsi="Calibri" w:cs="Calibri"/>
          <w:sz w:val="22"/>
          <w:szCs w:val="22"/>
        </w:rPr>
        <w:t xml:space="preserve">Trust </w:t>
      </w:r>
      <w:r w:rsidR="00EB40C9">
        <w:rPr>
          <w:rFonts w:ascii="Calibri" w:hAnsi="Calibri" w:cs="Calibri"/>
          <w:sz w:val="22"/>
          <w:szCs w:val="22"/>
        </w:rPr>
        <w:t>are</w:t>
      </w:r>
      <w:r w:rsidRPr="00553269">
        <w:rPr>
          <w:rFonts w:ascii="Calibri" w:hAnsi="Calibri" w:cs="Calibri"/>
          <w:sz w:val="22"/>
          <w:szCs w:val="22"/>
        </w:rPr>
        <w:t xml:space="preserve"> repeated here:</w:t>
      </w:r>
    </w:p>
    <w:p w14:paraId="1BE7513F" w14:textId="77777777" w:rsidR="00553269" w:rsidRPr="00553269" w:rsidRDefault="00553269" w:rsidP="00ED0485">
      <w:pPr>
        <w:widowControl w:val="0"/>
        <w:autoSpaceDE w:val="0"/>
        <w:autoSpaceDN w:val="0"/>
        <w:adjustRightInd w:val="0"/>
        <w:rPr>
          <w:rFonts w:ascii="Calibri" w:hAnsi="Calibri" w:cs="Calibri"/>
          <w:sz w:val="22"/>
          <w:szCs w:val="22"/>
        </w:rPr>
      </w:pPr>
    </w:p>
    <w:p w14:paraId="416655FA" w14:textId="77777777" w:rsidR="00EB40C9" w:rsidRDefault="00EB40C9" w:rsidP="00EB40C9">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w:t>
      </w:r>
      <w:r w:rsidRPr="007D6351">
        <w:rPr>
          <w:rFonts w:ascii="Calibri" w:hAnsi="Calibri"/>
          <w:color w:val="000000"/>
          <w:sz w:val="22"/>
          <w:szCs w:val="22"/>
        </w:rPr>
        <w:t xml:space="preserve"> Actual and Potential Internet Users, and Registrants</w:t>
      </w:r>
      <w:r>
        <w:rPr>
          <w:rFonts w:ascii="Calibri" w:hAnsi="Calibri"/>
          <w:color w:val="000000"/>
          <w:sz w:val="22"/>
          <w:szCs w:val="22"/>
        </w:rPr>
        <w:t>.</w:t>
      </w:r>
    </w:p>
    <w:p w14:paraId="0DFD241A" w14:textId="77777777" w:rsidR="00EB40C9" w:rsidRPr="00AC4FF1" w:rsidRDefault="00EB40C9" w:rsidP="00EB40C9">
      <w:pPr>
        <w:widowControl w:val="0"/>
        <w:autoSpaceDE w:val="0"/>
        <w:autoSpaceDN w:val="0"/>
        <w:adjustRightInd w:val="0"/>
        <w:rPr>
          <w:rFonts w:ascii="Calibri" w:hAnsi="Calibri" w:cs="Calibri"/>
          <w:b/>
          <w:sz w:val="22"/>
          <w:szCs w:val="22"/>
        </w:rPr>
      </w:pPr>
    </w:p>
    <w:p w14:paraId="435EA979" w14:textId="77777777" w:rsidR="00EB40C9" w:rsidRPr="00503D46"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Trust </w:t>
      </w:r>
      <w:r>
        <w:rPr>
          <w:rFonts w:ascii="Calibri" w:hAnsi="Calibri" w:cs="Calibri"/>
          <w:sz w:val="22"/>
          <w:szCs w:val="22"/>
        </w:rPr>
        <w:t xml:space="preserve">is defined as </w:t>
      </w:r>
      <w:r w:rsidRPr="003611B7">
        <w:rPr>
          <w:rFonts w:ascii="Calibri" w:hAnsi="Calibri" w:cs="Calibri"/>
          <w:sz w:val="22"/>
          <w:szCs w:val="22"/>
        </w:rPr>
        <w:t>the confidence registrants and users have in the consistency of name resolution and the degree of confidence among registrants and users that a TLD regi</w:t>
      </w:r>
      <w:r>
        <w:rPr>
          <w:rFonts w:ascii="Calibri" w:hAnsi="Calibri" w:cs="Calibri"/>
          <w:sz w:val="22"/>
          <w:szCs w:val="22"/>
        </w:rPr>
        <w:t xml:space="preserve">stry operator is fulfilling its proposed </w:t>
      </w:r>
      <w:r w:rsidRPr="003611B7">
        <w:rPr>
          <w:rFonts w:ascii="Calibri" w:hAnsi="Calibri" w:cs="Calibri"/>
          <w:sz w:val="22"/>
          <w:szCs w:val="22"/>
        </w:rPr>
        <w:t xml:space="preserve">purpose and is complying with ICANN </w:t>
      </w:r>
      <w:r w:rsidRPr="00503D46">
        <w:rPr>
          <w:rFonts w:ascii="Calibri" w:hAnsi="Calibri" w:cs="Calibri"/>
          <w:sz w:val="22"/>
          <w:szCs w:val="22"/>
        </w:rPr>
        <w:t>policies and applicable national laws.</w:t>
      </w:r>
    </w:p>
    <w:p w14:paraId="3C7F72BB" w14:textId="77777777" w:rsidR="0084344C" w:rsidRDefault="0084344C" w:rsidP="00ED0485">
      <w:pPr>
        <w:widowControl w:val="0"/>
        <w:autoSpaceDE w:val="0"/>
        <w:autoSpaceDN w:val="0"/>
        <w:adjustRightInd w:val="0"/>
        <w:ind w:left="72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AB5398" w:rsidRPr="0084344C" w14:paraId="3995D147" w14:textId="77777777" w:rsidTr="000F60A7">
        <w:trPr>
          <w:trHeight w:val="690"/>
          <w:tblHeader/>
        </w:trPr>
        <w:tc>
          <w:tcPr>
            <w:tcW w:w="3785" w:type="dxa"/>
            <w:shd w:val="clear" w:color="auto" w:fill="auto"/>
            <w:noWrap/>
            <w:vAlign w:val="center"/>
            <w:hideMark/>
          </w:tcPr>
          <w:p w14:paraId="3A130EFD" w14:textId="77777777" w:rsidR="00AB5398" w:rsidRPr="0084344C" w:rsidRDefault="00AB5398" w:rsidP="005F63A9">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Consumer Trust</w:t>
            </w:r>
          </w:p>
        </w:tc>
        <w:tc>
          <w:tcPr>
            <w:tcW w:w="1080" w:type="dxa"/>
            <w:shd w:val="clear" w:color="auto" w:fill="auto"/>
            <w:noWrap/>
            <w:vAlign w:val="center"/>
            <w:hideMark/>
          </w:tcPr>
          <w:p w14:paraId="45929861" w14:textId="77777777" w:rsidR="00AB5398" w:rsidRPr="00694981" w:rsidRDefault="00AB5398"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79FF65AC" w14:textId="1DCD699D" w:rsidR="00AB5398"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23EC9310" w14:textId="36C3361A" w:rsidR="00AB5398"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45D28DC6" w14:textId="77777777" w:rsidR="00AB5398" w:rsidRPr="0084344C" w:rsidRDefault="00AB5398"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0F60A7" w:rsidRPr="00AD5C36" w14:paraId="6265E574" w14:textId="77777777" w:rsidTr="000F60A7">
        <w:tc>
          <w:tcPr>
            <w:tcW w:w="9185" w:type="dxa"/>
            <w:gridSpan w:val="4"/>
            <w:shd w:val="clear" w:color="auto" w:fill="auto"/>
            <w:noWrap/>
            <w:vAlign w:val="center"/>
          </w:tcPr>
          <w:p w14:paraId="2520478E" w14:textId="5F9378AB" w:rsidR="000F60A7" w:rsidRDefault="000F60A7" w:rsidP="005F63A9">
            <w:pPr>
              <w:spacing w:before="60" w:after="60"/>
              <w:rPr>
                <w:rFonts w:ascii="Calibri" w:eastAsia="Times New Roman" w:hAnsi="Calibri" w:cs="Times New Roman"/>
                <w:color w:val="000000"/>
                <w:sz w:val="20"/>
                <w:szCs w:val="22"/>
              </w:rPr>
            </w:pPr>
            <w:r w:rsidRPr="00B34398">
              <w:rPr>
                <w:rFonts w:ascii="Calibri" w:eastAsia="Times New Roman" w:hAnsi="Calibri" w:cs="Times New Roman"/>
                <w:i/>
                <w:color w:val="000000"/>
                <w:sz w:val="20"/>
                <w:szCs w:val="22"/>
              </w:rPr>
              <w:t xml:space="preserve">Measures related to </w:t>
            </w:r>
            <w:r>
              <w:rPr>
                <w:rFonts w:ascii="Calibri" w:eastAsia="Times New Roman" w:hAnsi="Calibri" w:cs="Times New Roman"/>
                <w:i/>
                <w:color w:val="000000"/>
                <w:sz w:val="20"/>
                <w:szCs w:val="22"/>
              </w:rPr>
              <w:t xml:space="preserve">confidence in </w:t>
            </w:r>
            <w:r w:rsidRPr="00B34398">
              <w:rPr>
                <w:rFonts w:ascii="Calibri" w:eastAsia="Times New Roman" w:hAnsi="Calibri" w:cs="Times New Roman"/>
                <w:i/>
                <w:color w:val="000000"/>
                <w:sz w:val="20"/>
                <w:szCs w:val="22"/>
              </w:rPr>
              <w:t>registrations and resolutions</w:t>
            </w:r>
            <w:r>
              <w:rPr>
                <w:rFonts w:ascii="Calibri" w:eastAsia="Times New Roman" w:hAnsi="Calibri" w:cs="Times New Roman"/>
                <w:i/>
                <w:color w:val="000000"/>
                <w:sz w:val="20"/>
                <w:szCs w:val="22"/>
              </w:rPr>
              <w:t>:</w:t>
            </w:r>
          </w:p>
        </w:tc>
      </w:tr>
      <w:tr w:rsidR="000F60A7" w:rsidRPr="00AD5C36" w14:paraId="1B931847" w14:textId="77777777" w:rsidTr="000F60A7">
        <w:trPr>
          <w:trHeight w:val="690"/>
        </w:trPr>
        <w:tc>
          <w:tcPr>
            <w:tcW w:w="3785" w:type="dxa"/>
            <w:shd w:val="clear" w:color="auto" w:fill="auto"/>
            <w:noWrap/>
            <w:vAlign w:val="center"/>
            <w:hideMark/>
          </w:tcPr>
          <w:p w14:paraId="1A243F89"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DNS Service Availability</w:t>
            </w:r>
            <w:r>
              <w:rPr>
                <w:rFonts w:ascii="Calibri" w:eastAsia="Times New Roman" w:hAnsi="Calibri" w:cs="Times New Roman"/>
                <w:color w:val="000000"/>
                <w:sz w:val="20"/>
                <w:szCs w:val="22"/>
              </w:rPr>
              <w:t xml:space="preserve"> (present SLA is 100%)</w:t>
            </w:r>
          </w:p>
        </w:tc>
        <w:tc>
          <w:tcPr>
            <w:tcW w:w="1080" w:type="dxa"/>
            <w:shd w:val="clear" w:color="auto" w:fill="auto"/>
            <w:noWrap/>
            <w:vAlign w:val="center"/>
            <w:hideMark/>
          </w:tcPr>
          <w:p w14:paraId="4FD11FB6"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60E2E38D"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24BA5672" w14:textId="799EEC79"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100%</w:t>
            </w:r>
          </w:p>
        </w:tc>
      </w:tr>
      <w:tr w:rsidR="000F60A7" w:rsidRPr="00AD5C36" w14:paraId="255668A0" w14:textId="77777777" w:rsidTr="000F60A7">
        <w:trPr>
          <w:trHeight w:val="690"/>
        </w:trPr>
        <w:tc>
          <w:tcPr>
            <w:tcW w:w="3785" w:type="dxa"/>
            <w:shd w:val="clear" w:color="auto" w:fill="auto"/>
            <w:noWrap/>
            <w:vAlign w:val="center"/>
            <w:hideMark/>
          </w:tcPr>
          <w:p w14:paraId="75170C7E"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Availability</w:t>
            </w:r>
            <w:r>
              <w:rPr>
                <w:rFonts w:ascii="Calibri" w:eastAsia="Times New Roman" w:hAnsi="Calibri" w:cs="Times New Roman"/>
                <w:color w:val="000000"/>
                <w:sz w:val="20"/>
                <w:szCs w:val="22"/>
              </w:rPr>
              <w:t xml:space="preserve"> for </w:t>
            </w:r>
            <w:r w:rsidRPr="008571FE">
              <w:rPr>
                <w:rFonts w:ascii="Calibri" w:eastAsia="Times New Roman" w:hAnsi="Calibri" w:cs="Times New Roman"/>
                <w:color w:val="000000"/>
                <w:sz w:val="20"/>
                <w:szCs w:val="22"/>
              </w:rPr>
              <w:t>Registration Data Directory Services</w:t>
            </w:r>
            <w:r>
              <w:rPr>
                <w:rFonts w:ascii="Calibri" w:eastAsia="Times New Roman" w:hAnsi="Calibri" w:cs="Times New Roman"/>
                <w:color w:val="000000"/>
                <w:sz w:val="20"/>
                <w:szCs w:val="22"/>
              </w:rPr>
              <w:t xml:space="preserve"> (RDDS).   (present SLA is 98%)</w:t>
            </w:r>
          </w:p>
        </w:tc>
        <w:tc>
          <w:tcPr>
            <w:tcW w:w="1080" w:type="dxa"/>
            <w:shd w:val="clear" w:color="auto" w:fill="auto"/>
            <w:noWrap/>
            <w:vAlign w:val="center"/>
            <w:hideMark/>
          </w:tcPr>
          <w:p w14:paraId="7B68B850"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7760E810"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7B73D244" w14:textId="7B409354"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98%</w:t>
            </w:r>
          </w:p>
        </w:tc>
      </w:tr>
      <w:tr w:rsidR="000F60A7" w:rsidRPr="00AD5C36" w14:paraId="4EE14687" w14:textId="77777777" w:rsidTr="000F60A7">
        <w:trPr>
          <w:trHeight w:val="690"/>
        </w:trPr>
        <w:tc>
          <w:tcPr>
            <w:tcW w:w="3785" w:type="dxa"/>
            <w:shd w:val="clear" w:color="auto" w:fill="auto"/>
            <w:noWrap/>
            <w:vAlign w:val="center"/>
            <w:hideMark/>
          </w:tcPr>
          <w:p w14:paraId="7EF88794" w14:textId="77777777" w:rsidR="000F60A7" w:rsidRPr="000812DC" w:rsidRDefault="000F60A7" w:rsidP="005F63A9">
            <w:pPr>
              <w:spacing w:before="60" w:after="60"/>
              <w:rPr>
                <w:rFonts w:ascii="Calibri" w:eastAsia="Times New Roman" w:hAnsi="Calibri" w:cs="Times New Roman"/>
                <w:bCs/>
                <w:color w:val="000000"/>
                <w:sz w:val="20"/>
                <w:szCs w:val="22"/>
              </w:rPr>
            </w:pPr>
            <w:r w:rsidRPr="00AD5C36">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of</w:t>
            </w:r>
            <w:r w:rsidRPr="00AD5C36">
              <w:rPr>
                <w:rFonts w:ascii="Calibri" w:eastAsia="Times New Roman" w:hAnsi="Calibri" w:cs="Times New Roman"/>
                <w:color w:val="000000"/>
                <w:sz w:val="20"/>
                <w:szCs w:val="22"/>
              </w:rPr>
              <w:t xml:space="preserve"> Service Availability</w:t>
            </w:r>
            <w:r>
              <w:rPr>
                <w:rFonts w:ascii="Calibri" w:eastAsia="Times New Roman" w:hAnsi="Calibri" w:cs="Times New Roman"/>
                <w:color w:val="000000"/>
                <w:sz w:val="20"/>
                <w:szCs w:val="22"/>
              </w:rPr>
              <w:t xml:space="preserve"> </w:t>
            </w:r>
            <w:r w:rsidRPr="008571FE">
              <w:rPr>
                <w:rFonts w:ascii="Calibri" w:eastAsia="Times New Roman" w:hAnsi="Calibri" w:cs="Times New Roman"/>
                <w:color w:val="000000"/>
                <w:sz w:val="20"/>
                <w:szCs w:val="22"/>
              </w:rPr>
              <w:t xml:space="preserve">for </w:t>
            </w:r>
            <w:r w:rsidRPr="008571FE">
              <w:rPr>
                <w:rFonts w:ascii="Calibri" w:eastAsia="Times New Roman" w:hAnsi="Calibri" w:cs="Times New Roman"/>
                <w:bCs/>
                <w:color w:val="000000"/>
                <w:sz w:val="20"/>
                <w:szCs w:val="22"/>
              </w:rPr>
              <w:t>Extensible Provisioning Protocol</w:t>
            </w:r>
            <w:r>
              <w:rPr>
                <w:rFonts w:ascii="Calibri" w:eastAsia="Times New Roman" w:hAnsi="Calibri" w:cs="Times New Roman"/>
                <w:bCs/>
                <w:color w:val="000000"/>
                <w:sz w:val="20"/>
                <w:szCs w:val="22"/>
              </w:rPr>
              <w:t xml:space="preserve"> (EPP).  (present SLA is 98%)</w:t>
            </w:r>
          </w:p>
        </w:tc>
        <w:tc>
          <w:tcPr>
            <w:tcW w:w="1080" w:type="dxa"/>
            <w:shd w:val="clear" w:color="auto" w:fill="auto"/>
            <w:noWrap/>
            <w:vAlign w:val="center"/>
            <w:hideMark/>
          </w:tcPr>
          <w:p w14:paraId="2A66C804"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131CCFC3"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441403C4" w14:textId="5BB3930A"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98%</w:t>
            </w:r>
          </w:p>
        </w:tc>
      </w:tr>
      <w:tr w:rsidR="000F60A7" w:rsidRPr="00AD5C36" w14:paraId="3B4875C7" w14:textId="77777777" w:rsidTr="000F60A7">
        <w:trPr>
          <w:trHeight w:val="690"/>
        </w:trPr>
        <w:tc>
          <w:tcPr>
            <w:tcW w:w="3785" w:type="dxa"/>
            <w:shd w:val="clear" w:color="auto" w:fill="auto"/>
            <w:noWrap/>
            <w:vAlign w:val="center"/>
            <w:hideMark/>
          </w:tcPr>
          <w:p w14:paraId="335B7818"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Survey</w:t>
            </w:r>
            <w:r>
              <w:rPr>
                <w:rFonts w:ascii="Calibri" w:eastAsia="Times New Roman" w:hAnsi="Calibri" w:cs="Times New Roman"/>
                <w:color w:val="000000"/>
                <w:sz w:val="20"/>
                <w:szCs w:val="22"/>
              </w:rPr>
              <w:t xml:space="preserve"> of perceived consumer trust in DNS, relative to experiences before the gTLD expansion.  Survey could measure experiences with malware and spam; c</w:t>
            </w:r>
            <w:r w:rsidRPr="009F24F1">
              <w:rPr>
                <w:rFonts w:ascii="Calibri" w:eastAsia="Times New Roman" w:hAnsi="Calibri" w:cs="Times New Roman"/>
                <w:color w:val="000000"/>
                <w:sz w:val="20"/>
                <w:szCs w:val="22"/>
              </w:rPr>
              <w:t>onfusion</w:t>
            </w:r>
            <w:r>
              <w:rPr>
                <w:rFonts w:ascii="Calibri" w:eastAsia="Times New Roman" w:hAnsi="Calibri" w:cs="Times New Roman"/>
                <w:color w:val="000000"/>
                <w:sz w:val="20"/>
                <w:szCs w:val="22"/>
              </w:rPr>
              <w:t xml:space="preserve"> about new gTLDs; </w:t>
            </w:r>
            <w:r w:rsidRPr="009F24F1">
              <w:rPr>
                <w:rFonts w:ascii="Calibri" w:eastAsia="Times New Roman" w:hAnsi="Calibri" w:cs="Times New Roman"/>
                <w:color w:val="000000"/>
                <w:sz w:val="20"/>
                <w:szCs w:val="22"/>
              </w:rPr>
              <w:t xml:space="preserve"> </w:t>
            </w:r>
          </w:p>
        </w:tc>
        <w:tc>
          <w:tcPr>
            <w:tcW w:w="1080" w:type="dxa"/>
            <w:shd w:val="clear" w:color="auto" w:fill="auto"/>
            <w:noWrap/>
            <w:vAlign w:val="center"/>
            <w:hideMark/>
          </w:tcPr>
          <w:p w14:paraId="72903CD0"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Survey Vendor</w:t>
            </w:r>
          </w:p>
        </w:tc>
        <w:tc>
          <w:tcPr>
            <w:tcW w:w="2790" w:type="dxa"/>
            <w:vAlign w:val="center"/>
          </w:tcPr>
          <w:p w14:paraId="68E46292" w14:textId="1D290278"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May be difficult to gain consensus on survey questions.  Survey will cost approx. $100K.</w:t>
            </w:r>
          </w:p>
        </w:tc>
        <w:tc>
          <w:tcPr>
            <w:tcW w:w="1530" w:type="dxa"/>
            <w:shd w:val="clear" w:color="auto" w:fill="auto"/>
            <w:vAlign w:val="center"/>
          </w:tcPr>
          <w:p w14:paraId="2279F213" w14:textId="6438AE0E"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Should show improvement on all survey measures</w:t>
            </w:r>
          </w:p>
        </w:tc>
      </w:tr>
      <w:tr w:rsidR="000F60A7" w:rsidRPr="00AD5C36" w14:paraId="49D4667B" w14:textId="77777777" w:rsidTr="000F60A7">
        <w:trPr>
          <w:trHeight w:val="690"/>
        </w:trPr>
        <w:tc>
          <w:tcPr>
            <w:tcW w:w="3785" w:type="dxa"/>
            <w:shd w:val="clear" w:color="auto" w:fill="auto"/>
            <w:noWrap/>
            <w:vAlign w:val="center"/>
          </w:tcPr>
          <w:p w14:paraId="65DB39F1"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 xml:space="preserve">% Uptime </w:t>
            </w:r>
            <w:r>
              <w:rPr>
                <w:rFonts w:ascii="Calibri" w:eastAsia="Times New Roman" w:hAnsi="Calibri" w:cs="Times New Roman"/>
                <w:color w:val="000000"/>
                <w:sz w:val="20"/>
                <w:szCs w:val="22"/>
              </w:rPr>
              <w:t xml:space="preserve">for </w:t>
            </w:r>
            <w:r w:rsidRPr="00AD5C36">
              <w:rPr>
                <w:rFonts w:ascii="Calibri" w:eastAsia="Times New Roman" w:hAnsi="Calibri" w:cs="Times New Roman"/>
                <w:color w:val="000000"/>
                <w:sz w:val="20"/>
                <w:szCs w:val="22"/>
              </w:rPr>
              <w:t>Registrar</w:t>
            </w:r>
            <w:r>
              <w:rPr>
                <w:rFonts w:ascii="Calibri" w:eastAsia="Times New Roman" w:hAnsi="Calibri" w:cs="Times New Roman"/>
                <w:color w:val="000000"/>
                <w:sz w:val="20"/>
                <w:szCs w:val="22"/>
              </w:rPr>
              <w:t xml:space="preserve"> services such as WHOIS, contact info, and complaints, assuming that SLAs are established for these measures in the new RAA</w:t>
            </w:r>
          </w:p>
        </w:tc>
        <w:tc>
          <w:tcPr>
            <w:tcW w:w="1080" w:type="dxa"/>
            <w:shd w:val="clear" w:color="auto" w:fill="auto"/>
            <w:noWrap/>
            <w:vAlign w:val="center"/>
          </w:tcPr>
          <w:p w14:paraId="0DB73FF1" w14:textId="77777777" w:rsidR="000F60A7"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Registrar</w:t>
            </w:r>
          </w:p>
        </w:tc>
        <w:tc>
          <w:tcPr>
            <w:tcW w:w="2790" w:type="dxa"/>
            <w:vAlign w:val="center"/>
          </w:tcPr>
          <w:p w14:paraId="3809BFC2" w14:textId="4C60E3C0"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Doubtful that Registrars will compile and disclose uptime stats unless required by RAA</w:t>
            </w:r>
          </w:p>
        </w:tc>
        <w:tc>
          <w:tcPr>
            <w:tcW w:w="1530" w:type="dxa"/>
            <w:shd w:val="clear" w:color="auto" w:fill="auto"/>
            <w:vAlign w:val="center"/>
          </w:tcPr>
          <w:p w14:paraId="4A1CB18E" w14:textId="1CA66F55"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SLA in RAA</w:t>
            </w:r>
          </w:p>
        </w:tc>
      </w:tr>
      <w:tr w:rsidR="005F63A9" w:rsidRPr="00AD5C36" w14:paraId="3654843C" w14:textId="77777777" w:rsidTr="005F63A9">
        <w:tc>
          <w:tcPr>
            <w:tcW w:w="9185" w:type="dxa"/>
            <w:gridSpan w:val="4"/>
            <w:shd w:val="clear" w:color="auto" w:fill="auto"/>
            <w:noWrap/>
            <w:vAlign w:val="center"/>
          </w:tcPr>
          <w:p w14:paraId="1BA2243A" w14:textId="4446AA55" w:rsidR="005F63A9" w:rsidRDefault="005F63A9" w:rsidP="005F63A9">
            <w:pPr>
              <w:spacing w:before="60" w:after="60"/>
              <w:rPr>
                <w:rFonts w:ascii="Calibri" w:eastAsia="Times New Roman" w:hAnsi="Calibri" w:cs="Times New Roman"/>
                <w:color w:val="000000"/>
                <w:sz w:val="20"/>
                <w:szCs w:val="22"/>
              </w:rPr>
            </w:pPr>
            <w:r w:rsidRPr="00B34398">
              <w:rPr>
                <w:rFonts w:ascii="Calibri" w:eastAsia="Times New Roman" w:hAnsi="Calibri" w:cs="Times New Roman"/>
                <w:i/>
                <w:color w:val="000000"/>
                <w:sz w:val="20"/>
                <w:szCs w:val="22"/>
              </w:rPr>
              <w:t xml:space="preserve">Measures related to </w:t>
            </w:r>
            <w:r>
              <w:rPr>
                <w:rFonts w:ascii="Calibri" w:eastAsia="Times New Roman" w:hAnsi="Calibri" w:cs="Times New Roman"/>
                <w:i/>
                <w:color w:val="000000"/>
                <w:sz w:val="20"/>
                <w:szCs w:val="22"/>
              </w:rPr>
              <w:t>confidence that TLD operators are fulfilling promises and complying with ICANN policies and applicable national laws:</w:t>
            </w:r>
          </w:p>
        </w:tc>
      </w:tr>
      <w:tr w:rsidR="000F60A7" w:rsidRPr="00AD5C36" w14:paraId="6C9172E2" w14:textId="77777777" w:rsidTr="000F60A7">
        <w:trPr>
          <w:trHeight w:val="690"/>
        </w:trPr>
        <w:tc>
          <w:tcPr>
            <w:tcW w:w="3785" w:type="dxa"/>
            <w:shd w:val="clear" w:color="auto" w:fill="auto"/>
            <w:noWrap/>
            <w:vAlign w:val="center"/>
            <w:hideMark/>
          </w:tcPr>
          <w:p w14:paraId="7FD6564F"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Relative incidence of</w:t>
            </w:r>
            <w:r w:rsidRPr="00AD5C36">
              <w:rPr>
                <w:rFonts w:ascii="Calibri" w:eastAsia="Times New Roman" w:hAnsi="Calibri" w:cs="Times New Roman"/>
                <w:color w:val="000000"/>
                <w:sz w:val="20"/>
                <w:szCs w:val="22"/>
              </w:rPr>
              <w:t xml:space="preserve"> notices</w:t>
            </w:r>
            <w:r>
              <w:rPr>
                <w:rFonts w:ascii="Calibri" w:eastAsia="Times New Roman" w:hAnsi="Calibri" w:cs="Times New Roman"/>
                <w:color w:val="000000"/>
                <w:sz w:val="20"/>
                <w:szCs w:val="22"/>
              </w:rPr>
              <w:t xml:space="preserve"> issued to</w:t>
            </w:r>
            <w:r w:rsidRPr="00AD5C36">
              <w:rPr>
                <w:rFonts w:ascii="Calibri" w:eastAsia="Times New Roman" w:hAnsi="Calibri" w:cs="Times New Roman"/>
                <w:color w:val="000000"/>
                <w:sz w:val="20"/>
                <w:szCs w:val="22"/>
              </w:rPr>
              <w:t xml:space="preserve"> Registry </w:t>
            </w:r>
            <w:r>
              <w:rPr>
                <w:rFonts w:ascii="Calibri" w:eastAsia="Times New Roman" w:hAnsi="Calibri" w:cs="Times New Roman"/>
                <w:color w:val="000000"/>
                <w:sz w:val="20"/>
                <w:szCs w:val="22"/>
              </w:rPr>
              <w:t>operators, for contract or policy compliance matters</w:t>
            </w:r>
          </w:p>
        </w:tc>
        <w:tc>
          <w:tcPr>
            <w:tcW w:w="1080" w:type="dxa"/>
            <w:shd w:val="clear" w:color="auto" w:fill="auto"/>
            <w:noWrap/>
            <w:vAlign w:val="center"/>
            <w:hideMark/>
          </w:tcPr>
          <w:p w14:paraId="30E96A7C"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309E0748"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05A6D6F7" w14:textId="38AF1AA5"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34E91D01" w14:textId="77777777" w:rsidTr="000F60A7">
        <w:trPr>
          <w:trHeight w:val="690"/>
        </w:trPr>
        <w:tc>
          <w:tcPr>
            <w:tcW w:w="3785" w:type="dxa"/>
            <w:shd w:val="clear" w:color="auto" w:fill="auto"/>
            <w:noWrap/>
            <w:vAlign w:val="center"/>
            <w:hideMark/>
          </w:tcPr>
          <w:p w14:paraId="22F127F0"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Relative incidence of </w:t>
            </w:r>
            <w:r w:rsidRPr="00AD5C36">
              <w:rPr>
                <w:rFonts w:ascii="Calibri" w:eastAsia="Times New Roman" w:hAnsi="Calibri" w:cs="Times New Roman"/>
                <w:color w:val="000000"/>
                <w:sz w:val="20"/>
                <w:szCs w:val="22"/>
              </w:rPr>
              <w:t>bre</w:t>
            </w:r>
            <w:r>
              <w:rPr>
                <w:rFonts w:ascii="Calibri" w:eastAsia="Times New Roman" w:hAnsi="Calibri" w:cs="Times New Roman"/>
                <w:color w:val="000000"/>
                <w:sz w:val="20"/>
                <w:szCs w:val="22"/>
              </w:rPr>
              <w:t xml:space="preserve">ach notices issued to </w:t>
            </w:r>
            <w:r w:rsidRPr="00AD5C36">
              <w:rPr>
                <w:rFonts w:ascii="Calibri" w:eastAsia="Times New Roman" w:hAnsi="Calibri" w:cs="Times New Roman"/>
                <w:color w:val="000000"/>
                <w:sz w:val="20"/>
                <w:szCs w:val="22"/>
              </w:rPr>
              <w:t>Registrar</w:t>
            </w:r>
            <w:r>
              <w:rPr>
                <w:rFonts w:ascii="Calibri" w:eastAsia="Times New Roman" w:hAnsi="Calibri" w:cs="Times New Roman"/>
                <w:color w:val="000000"/>
                <w:sz w:val="20"/>
                <w:szCs w:val="22"/>
              </w:rPr>
              <w:t>s, for contract or policy compliance matters</w:t>
            </w:r>
          </w:p>
        </w:tc>
        <w:tc>
          <w:tcPr>
            <w:tcW w:w="1080" w:type="dxa"/>
            <w:shd w:val="clear" w:color="auto" w:fill="auto"/>
            <w:noWrap/>
            <w:vAlign w:val="center"/>
            <w:hideMark/>
          </w:tcPr>
          <w:p w14:paraId="2329A76C"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ICANN</w:t>
            </w:r>
          </w:p>
        </w:tc>
        <w:tc>
          <w:tcPr>
            <w:tcW w:w="2790" w:type="dxa"/>
            <w:vAlign w:val="center"/>
          </w:tcPr>
          <w:p w14:paraId="01E404B9"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1008992D" w14:textId="398A18BE"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2F09A0C6" w14:textId="77777777" w:rsidTr="000F60A7">
        <w:trPr>
          <w:trHeight w:val="690"/>
        </w:trPr>
        <w:tc>
          <w:tcPr>
            <w:tcW w:w="3785" w:type="dxa"/>
            <w:shd w:val="clear" w:color="auto" w:fill="auto"/>
            <w:noWrap/>
            <w:vAlign w:val="center"/>
            <w:hideMark/>
          </w:tcPr>
          <w:p w14:paraId="6E0A780B" w14:textId="7034B7A3"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&amp; relative incidence of </w:t>
            </w:r>
            <w:r w:rsidRPr="00AD5C36">
              <w:rPr>
                <w:rFonts w:ascii="Calibri" w:eastAsia="Times New Roman" w:hAnsi="Calibri" w:cs="Times New Roman"/>
                <w:color w:val="000000"/>
                <w:sz w:val="20"/>
                <w:szCs w:val="22"/>
              </w:rPr>
              <w:t xml:space="preserve">UDRP </w:t>
            </w:r>
            <w:r w:rsidRPr="008571FE">
              <w:rPr>
                <w:rFonts w:ascii="Calibri" w:eastAsia="Times New Roman" w:hAnsi="Calibri" w:cs="Times New Roman"/>
                <w:i/>
                <w:color w:val="000000"/>
                <w:sz w:val="20"/>
                <w:szCs w:val="22"/>
              </w:rPr>
              <w:t>Complaints</w:t>
            </w:r>
            <w:r>
              <w:rPr>
                <w:rFonts w:ascii="Calibri" w:eastAsia="Times New Roman" w:hAnsi="Calibri" w:cs="Times New Roman"/>
                <w:color w:val="000000"/>
                <w:sz w:val="20"/>
                <w:szCs w:val="22"/>
              </w:rPr>
              <w:t>, before and after expansion</w:t>
            </w:r>
          </w:p>
        </w:tc>
        <w:tc>
          <w:tcPr>
            <w:tcW w:w="1080" w:type="dxa"/>
            <w:shd w:val="clear" w:color="auto" w:fill="auto"/>
            <w:noWrap/>
            <w:vAlign w:val="center"/>
            <w:hideMark/>
          </w:tcPr>
          <w:p w14:paraId="4A2DAB0D"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473B525C" w14:textId="1E380352"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w:t>
            </w:r>
          </w:p>
        </w:tc>
        <w:tc>
          <w:tcPr>
            <w:tcW w:w="1530" w:type="dxa"/>
            <w:shd w:val="clear" w:color="auto" w:fill="auto"/>
            <w:vAlign w:val="center"/>
          </w:tcPr>
          <w:p w14:paraId="5508008A" w14:textId="2395DC90"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366D12B0" w14:textId="77777777" w:rsidTr="000F60A7">
        <w:trPr>
          <w:trHeight w:val="690"/>
        </w:trPr>
        <w:tc>
          <w:tcPr>
            <w:tcW w:w="3785" w:type="dxa"/>
            <w:shd w:val="clear" w:color="auto" w:fill="auto"/>
            <w:noWrap/>
            <w:vAlign w:val="center"/>
            <w:hideMark/>
          </w:tcPr>
          <w:p w14:paraId="1F69A253" w14:textId="78F3BAC1"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&amp; relative incidence of </w:t>
            </w:r>
            <w:r w:rsidRPr="00AD5C36">
              <w:rPr>
                <w:rFonts w:ascii="Calibri" w:eastAsia="Times New Roman" w:hAnsi="Calibri" w:cs="Times New Roman"/>
                <w:color w:val="000000"/>
                <w:sz w:val="20"/>
                <w:szCs w:val="22"/>
              </w:rPr>
              <w:t xml:space="preserve">UDRP </w:t>
            </w:r>
            <w:r>
              <w:rPr>
                <w:rFonts w:ascii="Calibri" w:eastAsia="Times New Roman" w:hAnsi="Calibri" w:cs="Times New Roman"/>
                <w:i/>
                <w:color w:val="000000"/>
                <w:sz w:val="20"/>
                <w:szCs w:val="22"/>
              </w:rPr>
              <w:t>D</w:t>
            </w:r>
            <w:r w:rsidRPr="008571FE">
              <w:rPr>
                <w:rFonts w:ascii="Calibri" w:eastAsia="Times New Roman" w:hAnsi="Calibri" w:cs="Times New Roman"/>
                <w:i/>
                <w:color w:val="000000"/>
                <w:sz w:val="20"/>
                <w:szCs w:val="22"/>
              </w:rPr>
              <w:t>ecisions</w:t>
            </w:r>
            <w:r>
              <w:rPr>
                <w:rFonts w:ascii="Calibri" w:eastAsia="Times New Roman" w:hAnsi="Calibri" w:cs="Times New Roman"/>
                <w:i/>
                <w:color w:val="000000"/>
                <w:sz w:val="20"/>
                <w:szCs w:val="22"/>
              </w:rPr>
              <w:t xml:space="preserve"> against registrant</w:t>
            </w:r>
            <w:r>
              <w:rPr>
                <w:rFonts w:ascii="Calibri" w:eastAsia="Times New Roman" w:hAnsi="Calibri" w:cs="Times New Roman"/>
                <w:color w:val="000000"/>
                <w:sz w:val="20"/>
                <w:szCs w:val="22"/>
              </w:rPr>
              <w:t>, before and after expansion</w:t>
            </w:r>
          </w:p>
        </w:tc>
        <w:tc>
          <w:tcPr>
            <w:tcW w:w="1080" w:type="dxa"/>
            <w:shd w:val="clear" w:color="auto" w:fill="auto"/>
            <w:noWrap/>
            <w:vAlign w:val="center"/>
            <w:hideMark/>
          </w:tcPr>
          <w:p w14:paraId="4267F71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51ED942A" w14:textId="6EEE232B"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w:t>
            </w:r>
          </w:p>
        </w:tc>
        <w:tc>
          <w:tcPr>
            <w:tcW w:w="1530" w:type="dxa"/>
            <w:shd w:val="clear" w:color="auto" w:fill="auto"/>
            <w:vAlign w:val="center"/>
          </w:tcPr>
          <w:p w14:paraId="2980348F" w14:textId="49D3804B"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462444FE" w14:textId="77777777" w:rsidTr="000F60A7">
        <w:trPr>
          <w:trHeight w:val="690"/>
        </w:trPr>
        <w:tc>
          <w:tcPr>
            <w:tcW w:w="3785" w:type="dxa"/>
            <w:shd w:val="clear" w:color="auto" w:fill="auto"/>
            <w:noWrap/>
            <w:vAlign w:val="center"/>
            <w:hideMark/>
          </w:tcPr>
          <w:p w14:paraId="1172C162"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Decisions against Registry Operator arising from R</w:t>
            </w:r>
            <w:r w:rsidRPr="00AD5C36">
              <w:rPr>
                <w:rFonts w:ascii="Calibri" w:eastAsia="Times New Roman" w:hAnsi="Calibri" w:cs="Times New Roman"/>
                <w:color w:val="000000"/>
                <w:sz w:val="20"/>
                <w:szCs w:val="22"/>
              </w:rPr>
              <w:t xml:space="preserve">egistry </w:t>
            </w:r>
            <w:r>
              <w:rPr>
                <w:rFonts w:ascii="Calibri" w:eastAsia="Times New Roman" w:hAnsi="Calibri" w:cs="Times New Roman"/>
                <w:color w:val="000000"/>
                <w:sz w:val="20"/>
                <w:szCs w:val="22"/>
              </w:rPr>
              <w:t xml:space="preserve">Restrictions Dispute Resolutions Procedure (RRDRP) </w:t>
            </w:r>
          </w:p>
        </w:tc>
        <w:tc>
          <w:tcPr>
            <w:tcW w:w="1080" w:type="dxa"/>
            <w:shd w:val="clear" w:color="auto" w:fill="auto"/>
            <w:noWrap/>
            <w:vAlign w:val="center"/>
            <w:hideMark/>
          </w:tcPr>
          <w:p w14:paraId="1DD98013"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RRDRP </w:t>
            </w:r>
            <w:r w:rsidRPr="00AD5C36">
              <w:rPr>
                <w:rFonts w:ascii="Calibri" w:eastAsia="Times New Roman" w:hAnsi="Calibri" w:cs="Times New Roman"/>
                <w:color w:val="000000"/>
                <w:sz w:val="20"/>
                <w:szCs w:val="22"/>
              </w:rPr>
              <w:t>Providers</w:t>
            </w:r>
          </w:p>
        </w:tc>
        <w:tc>
          <w:tcPr>
            <w:tcW w:w="2790" w:type="dxa"/>
            <w:vAlign w:val="center"/>
          </w:tcPr>
          <w:p w14:paraId="6C9B4969"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3C13294D" w14:textId="757FD621"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Any adverse decisions</w:t>
            </w:r>
          </w:p>
        </w:tc>
      </w:tr>
      <w:tr w:rsidR="000F60A7" w:rsidRPr="00AD5C36" w14:paraId="160D7D17" w14:textId="77777777" w:rsidTr="000F60A7">
        <w:trPr>
          <w:trHeight w:val="690"/>
        </w:trPr>
        <w:tc>
          <w:tcPr>
            <w:tcW w:w="3785" w:type="dxa"/>
            <w:shd w:val="clear" w:color="auto" w:fill="auto"/>
            <w:noWrap/>
            <w:vAlign w:val="center"/>
            <w:hideMark/>
          </w:tcPr>
          <w:p w14:paraId="78778BD4"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&amp; relative incidence of </w:t>
            </w:r>
            <w:r w:rsidRPr="00AD5C36">
              <w:rPr>
                <w:rFonts w:ascii="Calibri" w:eastAsia="Times New Roman" w:hAnsi="Calibri" w:cs="Times New Roman"/>
                <w:color w:val="000000"/>
                <w:sz w:val="20"/>
                <w:szCs w:val="22"/>
              </w:rPr>
              <w:t>U</w:t>
            </w:r>
            <w:r>
              <w:rPr>
                <w:rFonts w:ascii="Calibri" w:eastAsia="Times New Roman" w:hAnsi="Calibri" w:cs="Times New Roman"/>
                <w:color w:val="000000"/>
                <w:sz w:val="20"/>
                <w:szCs w:val="22"/>
              </w:rPr>
              <w:t xml:space="preserve">RS </w:t>
            </w:r>
            <w:r w:rsidRPr="008571FE">
              <w:rPr>
                <w:rFonts w:ascii="Calibri" w:eastAsia="Times New Roman" w:hAnsi="Calibri" w:cs="Times New Roman"/>
                <w:i/>
                <w:color w:val="000000"/>
                <w:sz w:val="20"/>
                <w:szCs w:val="22"/>
              </w:rPr>
              <w:t>Complaints</w:t>
            </w:r>
          </w:p>
        </w:tc>
        <w:tc>
          <w:tcPr>
            <w:tcW w:w="1080" w:type="dxa"/>
            <w:shd w:val="clear" w:color="auto" w:fill="auto"/>
            <w:noWrap/>
            <w:vAlign w:val="center"/>
            <w:hideMark/>
          </w:tcPr>
          <w:p w14:paraId="2D3A486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1655B259" w14:textId="3175CDAB"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 Cannot compare with legacy gTLDs.</w:t>
            </w:r>
          </w:p>
        </w:tc>
        <w:tc>
          <w:tcPr>
            <w:tcW w:w="1530" w:type="dxa"/>
            <w:shd w:val="clear" w:color="auto" w:fill="auto"/>
            <w:vAlign w:val="center"/>
          </w:tcPr>
          <w:p w14:paraId="2FF99D1F" w14:textId="2BE7A342"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12521C15" w14:textId="77777777" w:rsidTr="000F60A7">
        <w:trPr>
          <w:trHeight w:val="690"/>
        </w:trPr>
        <w:tc>
          <w:tcPr>
            <w:tcW w:w="3785" w:type="dxa"/>
            <w:shd w:val="clear" w:color="auto" w:fill="auto"/>
            <w:noWrap/>
            <w:vAlign w:val="center"/>
            <w:hideMark/>
          </w:tcPr>
          <w:p w14:paraId="1E849221" w14:textId="444695F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&amp; relative incidence of </w:t>
            </w:r>
            <w:r w:rsidRPr="00AD5C36">
              <w:rPr>
                <w:rFonts w:ascii="Calibri" w:eastAsia="Times New Roman" w:hAnsi="Calibri" w:cs="Times New Roman"/>
                <w:color w:val="000000"/>
                <w:sz w:val="20"/>
                <w:szCs w:val="22"/>
              </w:rPr>
              <w:t>U</w:t>
            </w:r>
            <w:r>
              <w:rPr>
                <w:rFonts w:ascii="Calibri" w:eastAsia="Times New Roman" w:hAnsi="Calibri" w:cs="Times New Roman"/>
                <w:color w:val="000000"/>
                <w:sz w:val="20"/>
                <w:szCs w:val="22"/>
              </w:rPr>
              <w:t xml:space="preserve">RS </w:t>
            </w:r>
            <w:r w:rsidRPr="008571FE">
              <w:rPr>
                <w:rFonts w:ascii="Calibri" w:eastAsia="Times New Roman" w:hAnsi="Calibri" w:cs="Times New Roman"/>
                <w:i/>
                <w:color w:val="000000"/>
                <w:sz w:val="20"/>
                <w:szCs w:val="22"/>
              </w:rPr>
              <w:t>Decisions</w:t>
            </w:r>
            <w:r>
              <w:rPr>
                <w:rFonts w:ascii="Calibri" w:eastAsia="Times New Roman" w:hAnsi="Calibri" w:cs="Times New Roman"/>
                <w:i/>
                <w:color w:val="000000"/>
                <w:sz w:val="20"/>
                <w:szCs w:val="22"/>
              </w:rPr>
              <w:t xml:space="preserve"> against registrant</w:t>
            </w:r>
          </w:p>
        </w:tc>
        <w:tc>
          <w:tcPr>
            <w:tcW w:w="1080" w:type="dxa"/>
            <w:shd w:val="clear" w:color="auto" w:fill="auto"/>
            <w:noWrap/>
            <w:vAlign w:val="center"/>
            <w:hideMark/>
          </w:tcPr>
          <w:p w14:paraId="450736AF"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RPM Providers</w:t>
            </w:r>
          </w:p>
        </w:tc>
        <w:tc>
          <w:tcPr>
            <w:tcW w:w="2790" w:type="dxa"/>
            <w:vAlign w:val="center"/>
          </w:tcPr>
          <w:p w14:paraId="6B53CD42" w14:textId="054664CE"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obtaining data. Cannot compare with legacy gTLDs.</w:t>
            </w:r>
          </w:p>
        </w:tc>
        <w:tc>
          <w:tcPr>
            <w:tcW w:w="1530" w:type="dxa"/>
            <w:shd w:val="clear" w:color="auto" w:fill="auto"/>
            <w:vAlign w:val="center"/>
          </w:tcPr>
          <w:p w14:paraId="40C9A1D4" w14:textId="29A87995"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1A7EF119" w14:textId="77777777" w:rsidTr="000F60A7">
        <w:trPr>
          <w:trHeight w:val="690"/>
        </w:trPr>
        <w:tc>
          <w:tcPr>
            <w:tcW w:w="3785" w:type="dxa"/>
            <w:shd w:val="clear" w:color="auto" w:fill="auto"/>
            <w:noWrap/>
            <w:vAlign w:val="center"/>
            <w:hideMark/>
          </w:tcPr>
          <w:p w14:paraId="730C11D7"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Pr="00AD5C36">
              <w:rPr>
                <w:rFonts w:ascii="Calibri" w:eastAsia="Times New Roman" w:hAnsi="Calibri" w:cs="Times New Roman"/>
                <w:color w:val="000000"/>
                <w:sz w:val="20"/>
                <w:szCs w:val="22"/>
              </w:rPr>
              <w:t>Compliance Concerns w</w:t>
            </w:r>
            <w:r>
              <w:rPr>
                <w:rFonts w:ascii="Calibri" w:eastAsia="Times New Roman" w:hAnsi="Calibri" w:cs="Times New Roman"/>
                <w:color w:val="000000"/>
                <w:sz w:val="20"/>
                <w:szCs w:val="22"/>
              </w:rPr>
              <w:t>/r/t</w:t>
            </w:r>
            <w:r w:rsidRPr="00AD5C36">
              <w:rPr>
                <w:rFonts w:ascii="Calibri" w:eastAsia="Times New Roman" w:hAnsi="Calibri" w:cs="Times New Roman"/>
                <w:color w:val="000000"/>
                <w:sz w:val="20"/>
                <w:szCs w:val="22"/>
              </w:rPr>
              <w:t xml:space="preserve"> Applicable National Law</w:t>
            </w:r>
            <w:r>
              <w:rPr>
                <w:rFonts w:ascii="Calibri" w:eastAsia="Times New Roman" w:hAnsi="Calibri" w:cs="Times New Roman"/>
                <w:color w:val="000000"/>
                <w:sz w:val="20"/>
                <w:szCs w:val="22"/>
              </w:rPr>
              <w:t>s</w:t>
            </w:r>
            <w:r w:rsidRPr="00AD5C36">
              <w:rPr>
                <w:rFonts w:ascii="Calibri" w:eastAsia="Times New Roman" w:hAnsi="Calibri" w:cs="Times New Roman"/>
                <w:color w:val="000000"/>
                <w:sz w:val="20"/>
                <w:szCs w:val="22"/>
              </w:rPr>
              <w:t xml:space="preserve"> </w:t>
            </w:r>
          </w:p>
        </w:tc>
        <w:tc>
          <w:tcPr>
            <w:tcW w:w="1080" w:type="dxa"/>
            <w:shd w:val="clear" w:color="auto" w:fill="auto"/>
            <w:noWrap/>
            <w:vAlign w:val="center"/>
            <w:hideMark/>
          </w:tcPr>
          <w:p w14:paraId="2354AF9A"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LE</w:t>
            </w:r>
            <w:r>
              <w:rPr>
                <w:rFonts w:ascii="Calibri" w:eastAsia="Times New Roman" w:hAnsi="Calibri" w:cs="Times New Roman"/>
                <w:color w:val="000000"/>
                <w:sz w:val="20"/>
                <w:szCs w:val="22"/>
              </w:rPr>
              <w:t>A</w:t>
            </w:r>
            <w:r w:rsidRPr="00AD5C36">
              <w:rPr>
                <w:rFonts w:ascii="Calibri" w:eastAsia="Times New Roman" w:hAnsi="Calibri" w:cs="Times New Roman"/>
                <w:color w:val="000000"/>
                <w:sz w:val="20"/>
                <w:szCs w:val="22"/>
              </w:rPr>
              <w:t>/GAC</w:t>
            </w:r>
          </w:p>
        </w:tc>
        <w:tc>
          <w:tcPr>
            <w:tcW w:w="2790" w:type="dxa"/>
            <w:vAlign w:val="center"/>
          </w:tcPr>
          <w:p w14:paraId="6D140E75" w14:textId="6DFE4E2A"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because law enforcement and governments may not report this data </w:t>
            </w:r>
          </w:p>
        </w:tc>
        <w:tc>
          <w:tcPr>
            <w:tcW w:w="1530" w:type="dxa"/>
            <w:shd w:val="clear" w:color="auto" w:fill="auto"/>
            <w:vAlign w:val="center"/>
          </w:tcPr>
          <w:p w14:paraId="02E15B79" w14:textId="0A5DB723"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Declining incidence from Year 2 to 3</w:t>
            </w:r>
          </w:p>
        </w:tc>
      </w:tr>
      <w:tr w:rsidR="000F60A7" w:rsidRPr="00AD5C36" w14:paraId="3111A779" w14:textId="77777777" w:rsidTr="000F60A7">
        <w:trPr>
          <w:trHeight w:val="690"/>
        </w:trPr>
        <w:tc>
          <w:tcPr>
            <w:tcW w:w="3785" w:type="dxa"/>
            <w:shd w:val="clear" w:color="auto" w:fill="auto"/>
            <w:noWrap/>
            <w:vAlign w:val="center"/>
            <w:hideMark/>
          </w:tcPr>
          <w:p w14:paraId="12F41225" w14:textId="77777777" w:rsidR="000F60A7" w:rsidRPr="00AD5C36" w:rsidRDefault="000F60A7" w:rsidP="005F63A9">
            <w:pPr>
              <w:spacing w:before="60" w:after="60"/>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and relative incidence of </w:t>
            </w:r>
            <w:r w:rsidRPr="00AD5C36">
              <w:rPr>
                <w:rFonts w:ascii="Calibri" w:eastAsia="Times New Roman" w:hAnsi="Calibri" w:cs="Times New Roman"/>
                <w:color w:val="000000"/>
                <w:sz w:val="20"/>
                <w:szCs w:val="22"/>
              </w:rPr>
              <w:t>Domain Takedowns</w:t>
            </w:r>
          </w:p>
        </w:tc>
        <w:tc>
          <w:tcPr>
            <w:tcW w:w="1080" w:type="dxa"/>
            <w:shd w:val="clear" w:color="auto" w:fill="auto"/>
            <w:noWrap/>
            <w:vAlign w:val="center"/>
            <w:hideMark/>
          </w:tcPr>
          <w:p w14:paraId="1BD4A01E" w14:textId="77777777" w:rsidR="000F60A7" w:rsidRPr="00AD5C36" w:rsidRDefault="000F60A7" w:rsidP="005F63A9">
            <w:pPr>
              <w:spacing w:before="60" w:after="60"/>
              <w:jc w:val="center"/>
              <w:rPr>
                <w:rFonts w:ascii="Calibri" w:eastAsia="Times New Roman" w:hAnsi="Calibri" w:cs="Times New Roman"/>
                <w:color w:val="000000"/>
                <w:sz w:val="20"/>
                <w:szCs w:val="22"/>
              </w:rPr>
            </w:pPr>
            <w:r w:rsidRPr="00AD5C36">
              <w:rPr>
                <w:rFonts w:ascii="Calibri" w:eastAsia="Times New Roman" w:hAnsi="Calibri" w:cs="Times New Roman"/>
                <w:color w:val="000000"/>
                <w:sz w:val="20"/>
                <w:szCs w:val="22"/>
              </w:rPr>
              <w:t>Registry</w:t>
            </w:r>
          </w:p>
        </w:tc>
        <w:tc>
          <w:tcPr>
            <w:tcW w:w="2790" w:type="dxa"/>
            <w:vAlign w:val="center"/>
          </w:tcPr>
          <w:p w14:paraId="60651004" w14:textId="6B1BA418"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 and report</w:t>
            </w:r>
          </w:p>
        </w:tc>
        <w:tc>
          <w:tcPr>
            <w:tcW w:w="1530" w:type="dxa"/>
            <w:shd w:val="clear" w:color="auto" w:fill="auto"/>
            <w:vAlign w:val="center"/>
          </w:tcPr>
          <w:p w14:paraId="470F4D34" w14:textId="357B908C"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9F24F1" w14:paraId="3D63FF0D" w14:textId="77777777" w:rsidTr="000F60A7">
        <w:trPr>
          <w:trHeight w:val="690"/>
        </w:trPr>
        <w:tc>
          <w:tcPr>
            <w:tcW w:w="3785" w:type="dxa"/>
            <w:shd w:val="clear" w:color="auto" w:fill="auto"/>
            <w:noWrap/>
            <w:vAlign w:val="center"/>
            <w:hideMark/>
          </w:tcPr>
          <w:p w14:paraId="0D528FCC" w14:textId="77777777" w:rsidR="000F60A7" w:rsidRPr="009F24F1" w:rsidRDefault="000F60A7" w:rsidP="005F63A9">
            <w:pPr>
              <w:spacing w:before="60" w:after="60"/>
              <w:rPr>
                <w:rFonts w:ascii="Calibri" w:eastAsia="Times New Roman" w:hAnsi="Calibri" w:cs="Times New Roman"/>
                <w:color w:val="000000"/>
                <w:sz w:val="20"/>
                <w:szCs w:val="22"/>
              </w:rPr>
            </w:pPr>
            <w:r w:rsidRPr="009F24F1">
              <w:rPr>
                <w:rFonts w:ascii="Calibri" w:eastAsia="Times New Roman" w:hAnsi="Calibri" w:cs="Times New Roman"/>
                <w:color w:val="000000"/>
                <w:sz w:val="20"/>
                <w:szCs w:val="22"/>
              </w:rPr>
              <w:t>Quantity of spam received by a "honeypot" email address in each new gTLD</w:t>
            </w:r>
          </w:p>
        </w:tc>
        <w:tc>
          <w:tcPr>
            <w:tcW w:w="1080" w:type="dxa"/>
            <w:shd w:val="clear" w:color="auto" w:fill="auto"/>
            <w:noWrap/>
            <w:vAlign w:val="center"/>
            <w:hideMark/>
          </w:tcPr>
          <w:p w14:paraId="40B9AF56" w14:textId="77777777" w:rsidR="000F60A7" w:rsidRPr="009F24F1"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SpamHaus</w:t>
            </w:r>
          </w:p>
        </w:tc>
        <w:tc>
          <w:tcPr>
            <w:tcW w:w="2790" w:type="dxa"/>
            <w:vAlign w:val="center"/>
          </w:tcPr>
          <w:p w14:paraId="2DF95A98"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2E8848F7" w14:textId="20245C65" w:rsidR="000F60A7" w:rsidRPr="009F24F1"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57EAE611" w14:textId="77777777" w:rsidTr="000F60A7">
        <w:trPr>
          <w:trHeight w:val="690"/>
        </w:trPr>
        <w:tc>
          <w:tcPr>
            <w:tcW w:w="3785" w:type="dxa"/>
            <w:shd w:val="clear" w:color="auto" w:fill="auto"/>
            <w:noWrap/>
            <w:vAlign w:val="center"/>
            <w:hideMark/>
          </w:tcPr>
          <w:p w14:paraId="403C6EF6"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and relative incidence of </w:t>
            </w:r>
            <w:r w:rsidRPr="00AB2B4B">
              <w:rPr>
                <w:rFonts w:ascii="Calibri" w:eastAsia="Times New Roman" w:hAnsi="Calibri" w:cs="Times New Roman"/>
                <w:color w:val="000000"/>
                <w:sz w:val="20"/>
                <w:szCs w:val="22"/>
              </w:rPr>
              <w:t>fraudulent transactions caused by phishing sites</w:t>
            </w:r>
            <w:r>
              <w:rPr>
                <w:rFonts w:ascii="Calibri" w:eastAsia="Times New Roman" w:hAnsi="Calibri" w:cs="Times New Roman"/>
                <w:color w:val="000000"/>
                <w:sz w:val="20"/>
                <w:szCs w:val="22"/>
              </w:rPr>
              <w:t xml:space="preserve"> in new gTLDs</w:t>
            </w:r>
          </w:p>
        </w:tc>
        <w:tc>
          <w:tcPr>
            <w:tcW w:w="1080" w:type="dxa"/>
            <w:shd w:val="clear" w:color="auto" w:fill="auto"/>
            <w:noWrap/>
            <w:vAlign w:val="center"/>
          </w:tcPr>
          <w:p w14:paraId="67D167CA"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APWG</w:t>
            </w:r>
          </w:p>
        </w:tc>
        <w:tc>
          <w:tcPr>
            <w:tcW w:w="2790" w:type="dxa"/>
            <w:vAlign w:val="center"/>
          </w:tcPr>
          <w:p w14:paraId="172317FF"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6787984E" w14:textId="52155322"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08B918A1" w14:textId="77777777" w:rsidTr="000F60A7">
        <w:trPr>
          <w:trHeight w:val="690"/>
        </w:trPr>
        <w:tc>
          <w:tcPr>
            <w:tcW w:w="3785" w:type="dxa"/>
            <w:shd w:val="clear" w:color="auto" w:fill="auto"/>
            <w:noWrap/>
            <w:vAlign w:val="center"/>
            <w:hideMark/>
          </w:tcPr>
          <w:p w14:paraId="6988EC12"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Quantity and relative incidence of </w:t>
            </w:r>
            <w:r w:rsidRPr="00AB2B4B">
              <w:rPr>
                <w:rFonts w:ascii="Calibri" w:eastAsia="Times New Roman" w:hAnsi="Calibri" w:cs="Times New Roman"/>
                <w:color w:val="000000"/>
                <w:sz w:val="20"/>
                <w:szCs w:val="22"/>
              </w:rPr>
              <w:t>detected phishing sites using new gTLD</w:t>
            </w:r>
            <w:r>
              <w:rPr>
                <w:rFonts w:ascii="Calibri" w:eastAsia="Times New Roman" w:hAnsi="Calibri" w:cs="Times New Roman"/>
                <w:color w:val="000000"/>
                <w:sz w:val="20"/>
                <w:szCs w:val="22"/>
              </w:rPr>
              <w:t>s</w:t>
            </w:r>
          </w:p>
        </w:tc>
        <w:tc>
          <w:tcPr>
            <w:tcW w:w="1080" w:type="dxa"/>
            <w:shd w:val="clear" w:color="auto" w:fill="auto"/>
            <w:noWrap/>
            <w:vAlign w:val="center"/>
          </w:tcPr>
          <w:p w14:paraId="562FEA2F"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APWG</w:t>
            </w:r>
          </w:p>
        </w:tc>
        <w:tc>
          <w:tcPr>
            <w:tcW w:w="2790" w:type="dxa"/>
            <w:vAlign w:val="center"/>
          </w:tcPr>
          <w:p w14:paraId="4624E319"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0737F4DB" w14:textId="385C408B"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2A2BF84D" w14:textId="77777777" w:rsidTr="000F60A7">
        <w:trPr>
          <w:trHeight w:val="690"/>
        </w:trPr>
        <w:tc>
          <w:tcPr>
            <w:tcW w:w="3785" w:type="dxa"/>
            <w:shd w:val="clear" w:color="auto" w:fill="auto"/>
            <w:noWrap/>
            <w:vAlign w:val="center"/>
            <w:hideMark/>
          </w:tcPr>
          <w:p w14:paraId="3FF28C44" w14:textId="77777777"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Quantity and relative incidence of complaints regarding i</w:t>
            </w:r>
            <w:r w:rsidRPr="009F24F1">
              <w:rPr>
                <w:rFonts w:ascii="Calibri" w:eastAsia="Times New Roman" w:hAnsi="Calibri" w:cs="Times New Roman"/>
                <w:color w:val="000000"/>
                <w:sz w:val="20"/>
                <w:szCs w:val="22"/>
              </w:rPr>
              <w:t>naccurate, invalid, or suspect WHOIS records in new gTLD</w:t>
            </w:r>
          </w:p>
        </w:tc>
        <w:tc>
          <w:tcPr>
            <w:tcW w:w="1080" w:type="dxa"/>
            <w:shd w:val="clear" w:color="auto" w:fill="auto"/>
            <w:noWrap/>
            <w:vAlign w:val="center"/>
          </w:tcPr>
          <w:p w14:paraId="1109303D"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0FB120CD" w14:textId="77777777" w:rsidR="000F60A7" w:rsidRDefault="000F60A7"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288C51D4" w14:textId="1028FE51"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r w:rsidR="000F60A7" w:rsidRPr="00AD5C36" w14:paraId="44613865" w14:textId="77777777" w:rsidTr="000F60A7">
        <w:trPr>
          <w:trHeight w:val="690"/>
        </w:trPr>
        <w:tc>
          <w:tcPr>
            <w:tcW w:w="3785" w:type="dxa"/>
            <w:shd w:val="clear" w:color="auto" w:fill="auto"/>
            <w:noWrap/>
            <w:vAlign w:val="center"/>
            <w:hideMark/>
          </w:tcPr>
          <w:p w14:paraId="73E163FB" w14:textId="5E7B8815" w:rsidR="000F60A7" w:rsidRPr="00AD5C36"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Relative incidence of errors in</w:t>
            </w:r>
            <w:r w:rsidRPr="009F24F1">
              <w:rPr>
                <w:rFonts w:ascii="Calibri" w:eastAsia="Times New Roman" w:hAnsi="Calibri" w:cs="Times New Roman"/>
                <w:color w:val="000000"/>
                <w:sz w:val="20"/>
                <w:szCs w:val="22"/>
              </w:rPr>
              <w:t xml:space="preserve"> new gTLD zones (such as commas instead of dots, </w:t>
            </w:r>
            <w:r w:rsidR="005F63A9">
              <w:rPr>
                <w:rFonts w:ascii="Calibri" w:eastAsia="Times New Roman" w:hAnsi="Calibri" w:cs="Times New Roman"/>
                <w:color w:val="000000"/>
                <w:sz w:val="20"/>
                <w:szCs w:val="22"/>
              </w:rPr>
              <w:t>bad</w:t>
            </w:r>
            <w:r w:rsidRPr="009F24F1">
              <w:rPr>
                <w:rFonts w:ascii="Calibri" w:eastAsia="Times New Roman" w:hAnsi="Calibri" w:cs="Times New Roman"/>
                <w:color w:val="000000"/>
                <w:sz w:val="20"/>
                <w:szCs w:val="22"/>
              </w:rPr>
              <w:t xml:space="preserve"> IP addresses, malformed domains, etc.</w:t>
            </w:r>
            <w:r>
              <w:rPr>
                <w:rFonts w:ascii="Calibri" w:eastAsia="Times New Roman" w:hAnsi="Calibri" w:cs="Times New Roman"/>
                <w:color w:val="000000"/>
                <w:sz w:val="20"/>
                <w:szCs w:val="22"/>
              </w:rPr>
              <w:t>)</w:t>
            </w:r>
          </w:p>
        </w:tc>
        <w:tc>
          <w:tcPr>
            <w:tcW w:w="1080" w:type="dxa"/>
            <w:shd w:val="clear" w:color="auto" w:fill="auto"/>
            <w:noWrap/>
            <w:vAlign w:val="center"/>
          </w:tcPr>
          <w:p w14:paraId="75F3862E" w14:textId="77777777" w:rsidR="000F60A7" w:rsidRPr="00AD5C36"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63E14B8F" w14:textId="43CB88B1" w:rsidR="000F60A7" w:rsidRDefault="000F60A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 and report</w:t>
            </w:r>
          </w:p>
        </w:tc>
        <w:tc>
          <w:tcPr>
            <w:tcW w:w="1530" w:type="dxa"/>
            <w:shd w:val="clear" w:color="auto" w:fill="auto"/>
            <w:vAlign w:val="center"/>
          </w:tcPr>
          <w:p w14:paraId="1A6F8C2C" w14:textId="194414DE" w:rsidR="000F60A7" w:rsidRDefault="000F60A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Lower than incidence in legacy gTLDs</w:t>
            </w:r>
          </w:p>
        </w:tc>
      </w:tr>
    </w:tbl>
    <w:p w14:paraId="5C0965A7" w14:textId="77777777" w:rsidR="00ED0485" w:rsidRDefault="00ED0485" w:rsidP="00ED0485">
      <w:pPr>
        <w:widowControl w:val="0"/>
        <w:autoSpaceDE w:val="0"/>
        <w:autoSpaceDN w:val="0"/>
        <w:adjustRightInd w:val="0"/>
        <w:rPr>
          <w:rFonts w:ascii="Calibri" w:hAnsi="Calibri" w:cs="Calibri"/>
          <w:sz w:val="22"/>
          <w:szCs w:val="22"/>
        </w:rPr>
      </w:pPr>
    </w:p>
    <w:p w14:paraId="1D2E4299" w14:textId="77777777" w:rsidR="0059570B" w:rsidRDefault="0059570B">
      <w:pPr>
        <w:rPr>
          <w:rFonts w:ascii="Calibri" w:hAnsi="Calibri" w:cs="Calibri"/>
          <w:sz w:val="22"/>
          <w:szCs w:val="22"/>
        </w:rPr>
      </w:pPr>
      <w:r>
        <w:rPr>
          <w:rFonts w:ascii="Calibri" w:hAnsi="Calibri" w:cs="Calibri"/>
          <w:sz w:val="22"/>
          <w:szCs w:val="22"/>
        </w:rPr>
        <w:br w:type="page"/>
      </w:r>
    </w:p>
    <w:p w14:paraId="124B11F1" w14:textId="1F410A20" w:rsidR="00553269" w:rsidRDefault="00553269" w:rsidP="0059570B">
      <w:pPr>
        <w:rPr>
          <w:rFonts w:ascii="Calibri" w:hAnsi="Calibri" w:cs="Calibri"/>
          <w:sz w:val="22"/>
          <w:szCs w:val="22"/>
        </w:rPr>
      </w:pPr>
      <w:r>
        <w:rPr>
          <w:rFonts w:ascii="Calibri" w:hAnsi="Calibri" w:cs="Calibri"/>
          <w:b/>
          <w:sz w:val="22"/>
          <w:szCs w:val="22"/>
        </w:rPr>
        <w:t xml:space="preserve">Measures of </w:t>
      </w:r>
      <w:r w:rsidRPr="00663C6B">
        <w:rPr>
          <w:rFonts w:ascii="Calibri" w:hAnsi="Calibri" w:cs="Calibri"/>
          <w:b/>
          <w:sz w:val="22"/>
          <w:szCs w:val="22"/>
        </w:rPr>
        <w:t>Consumer Choice </w:t>
      </w:r>
      <w:r w:rsidRPr="00553269">
        <w:rPr>
          <w:rFonts w:ascii="Calibri" w:hAnsi="Calibri" w:cs="Calibri"/>
          <w:sz w:val="22"/>
          <w:szCs w:val="22"/>
        </w:rPr>
        <w:t xml:space="preserve"> </w:t>
      </w:r>
    </w:p>
    <w:p w14:paraId="30F9FEFA" w14:textId="77777777" w:rsidR="00553269" w:rsidRDefault="00553269" w:rsidP="00553269">
      <w:pPr>
        <w:widowControl w:val="0"/>
        <w:autoSpaceDE w:val="0"/>
        <w:autoSpaceDN w:val="0"/>
        <w:adjustRightInd w:val="0"/>
        <w:rPr>
          <w:rFonts w:ascii="Calibri" w:hAnsi="Calibri" w:cs="Calibri"/>
          <w:sz w:val="22"/>
          <w:szCs w:val="22"/>
        </w:rPr>
      </w:pPr>
    </w:p>
    <w:p w14:paraId="350D1589" w14:textId="1476ABDB" w:rsidR="00EB40C9" w:rsidRDefault="00EB40C9" w:rsidP="00EB40C9">
      <w:pPr>
        <w:widowControl w:val="0"/>
        <w:autoSpaceDE w:val="0"/>
        <w:autoSpaceDN w:val="0"/>
        <w:adjustRightInd w:val="0"/>
        <w:rPr>
          <w:rFonts w:ascii="Calibri" w:hAnsi="Calibri" w:cs="Calibri"/>
          <w:sz w:val="22"/>
          <w:szCs w:val="22"/>
        </w:rPr>
      </w:pPr>
      <w:r w:rsidRPr="00553269">
        <w:rPr>
          <w:rFonts w:ascii="Calibri" w:hAnsi="Calibri" w:cs="Calibri"/>
          <w:sz w:val="22"/>
          <w:szCs w:val="22"/>
        </w:rPr>
        <w:t>For reference, the definition</w:t>
      </w:r>
      <w:r>
        <w:rPr>
          <w:rFonts w:ascii="Calibri" w:hAnsi="Calibri" w:cs="Calibri"/>
          <w:sz w:val="22"/>
          <w:szCs w:val="22"/>
        </w:rPr>
        <w:t>s</w:t>
      </w:r>
      <w:r w:rsidRPr="00553269">
        <w:rPr>
          <w:rFonts w:ascii="Calibri" w:hAnsi="Calibri" w:cs="Calibri"/>
          <w:sz w:val="22"/>
          <w:szCs w:val="22"/>
        </w:rPr>
        <w:t xml:space="preserve"> of Consumer </w:t>
      </w:r>
      <w:r>
        <w:rPr>
          <w:rFonts w:ascii="Calibri" w:hAnsi="Calibri" w:cs="Calibri"/>
          <w:sz w:val="22"/>
          <w:szCs w:val="22"/>
        </w:rPr>
        <w:t>and Consumer Choice</w:t>
      </w:r>
      <w:r w:rsidRPr="00553269">
        <w:rPr>
          <w:rFonts w:ascii="Calibri" w:hAnsi="Calibri" w:cs="Calibri"/>
          <w:sz w:val="22"/>
          <w:szCs w:val="22"/>
        </w:rPr>
        <w:t xml:space="preserve"> </w:t>
      </w:r>
      <w:r>
        <w:rPr>
          <w:rFonts w:ascii="Calibri" w:hAnsi="Calibri" w:cs="Calibri"/>
          <w:sz w:val="22"/>
          <w:szCs w:val="22"/>
        </w:rPr>
        <w:t>are</w:t>
      </w:r>
      <w:r w:rsidRPr="00553269">
        <w:rPr>
          <w:rFonts w:ascii="Calibri" w:hAnsi="Calibri" w:cs="Calibri"/>
          <w:sz w:val="22"/>
          <w:szCs w:val="22"/>
        </w:rPr>
        <w:t xml:space="preserve"> repeated here:</w:t>
      </w:r>
    </w:p>
    <w:p w14:paraId="51FFF7F8" w14:textId="77777777" w:rsidR="00EB40C9" w:rsidRPr="00553269" w:rsidRDefault="00EB40C9" w:rsidP="00EB40C9">
      <w:pPr>
        <w:widowControl w:val="0"/>
        <w:autoSpaceDE w:val="0"/>
        <w:autoSpaceDN w:val="0"/>
        <w:adjustRightInd w:val="0"/>
        <w:rPr>
          <w:rFonts w:ascii="Calibri" w:hAnsi="Calibri" w:cs="Calibri"/>
          <w:sz w:val="22"/>
          <w:szCs w:val="22"/>
        </w:rPr>
      </w:pPr>
    </w:p>
    <w:p w14:paraId="63D8BEB5" w14:textId="77777777" w:rsidR="00EB40C9" w:rsidRDefault="00EB40C9" w:rsidP="00EB40C9">
      <w:pPr>
        <w:widowControl w:val="0"/>
        <w:autoSpaceDE w:val="0"/>
        <w:autoSpaceDN w:val="0"/>
        <w:adjustRightInd w:val="0"/>
        <w:ind w:left="720"/>
        <w:rPr>
          <w:rFonts w:ascii="Calibri" w:hAnsi="Calibri"/>
          <w:color w:val="000000"/>
          <w:sz w:val="22"/>
          <w:szCs w:val="22"/>
        </w:rPr>
      </w:pPr>
      <w:r w:rsidRPr="007D6351">
        <w:rPr>
          <w:rFonts w:ascii="Calibri" w:hAnsi="Calibri"/>
          <w:b/>
          <w:color w:val="000000"/>
          <w:sz w:val="22"/>
          <w:szCs w:val="22"/>
        </w:rPr>
        <w:t>Consumer</w:t>
      </w:r>
      <w:r>
        <w:rPr>
          <w:rFonts w:ascii="Calibri" w:hAnsi="Calibri"/>
          <w:color w:val="000000"/>
          <w:sz w:val="22"/>
          <w:szCs w:val="22"/>
        </w:rPr>
        <w:t xml:space="preserve"> is defined as</w:t>
      </w:r>
      <w:r w:rsidRPr="007D6351">
        <w:rPr>
          <w:rFonts w:ascii="Calibri" w:hAnsi="Calibri"/>
          <w:color w:val="000000"/>
          <w:sz w:val="22"/>
          <w:szCs w:val="22"/>
        </w:rPr>
        <w:t xml:space="preserve"> Actual and Potential Internet Users, and Registrants</w:t>
      </w:r>
      <w:r>
        <w:rPr>
          <w:rFonts w:ascii="Calibri" w:hAnsi="Calibri"/>
          <w:color w:val="000000"/>
          <w:sz w:val="22"/>
          <w:szCs w:val="22"/>
        </w:rPr>
        <w:t>.</w:t>
      </w:r>
    </w:p>
    <w:p w14:paraId="19079E50" w14:textId="77777777" w:rsidR="00AE2198" w:rsidRDefault="00AE2198" w:rsidP="00553269">
      <w:pPr>
        <w:widowControl w:val="0"/>
        <w:autoSpaceDE w:val="0"/>
        <w:autoSpaceDN w:val="0"/>
        <w:adjustRightInd w:val="0"/>
        <w:ind w:left="720"/>
        <w:rPr>
          <w:rFonts w:ascii="Calibri" w:hAnsi="Calibri" w:cs="Calibri"/>
          <w:b/>
          <w:sz w:val="22"/>
          <w:szCs w:val="22"/>
        </w:rPr>
      </w:pPr>
    </w:p>
    <w:p w14:paraId="0297D2B7" w14:textId="77777777" w:rsidR="00EB40C9" w:rsidRPr="003611B7"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Consumer Choice </w:t>
      </w:r>
      <w:r w:rsidRPr="003611B7">
        <w:rPr>
          <w:rFonts w:ascii="Calibri" w:hAnsi="Calibri" w:cs="Calibri"/>
          <w:sz w:val="22"/>
          <w:szCs w:val="22"/>
        </w:rPr>
        <w:t xml:space="preserve">is </w:t>
      </w:r>
      <w:r>
        <w:rPr>
          <w:rFonts w:ascii="Calibri" w:hAnsi="Calibri" w:cs="Calibri"/>
          <w:sz w:val="22"/>
          <w:szCs w:val="22"/>
        </w:rPr>
        <w:t>defined as</w:t>
      </w:r>
      <w:r w:rsidRPr="003611B7">
        <w:rPr>
          <w:rFonts w:ascii="Calibri" w:hAnsi="Calibri" w:cs="Calibri"/>
          <w:sz w:val="22"/>
          <w:szCs w:val="22"/>
        </w:rPr>
        <w:t xml:space="preserve"> the range of options available to registrants and users for domain scripts and languages, and for TLDs that offer cho</w:t>
      </w:r>
      <w:r>
        <w:rPr>
          <w:rFonts w:ascii="Calibri" w:hAnsi="Calibri" w:cs="Calibri"/>
          <w:sz w:val="22"/>
          <w:szCs w:val="22"/>
        </w:rPr>
        <w:t xml:space="preserve">ices as to the proposed purpose </w:t>
      </w:r>
      <w:r w:rsidRPr="003611B7">
        <w:rPr>
          <w:rFonts w:ascii="Calibri" w:hAnsi="Calibri" w:cs="Calibri"/>
          <w:sz w:val="22"/>
          <w:szCs w:val="22"/>
        </w:rPr>
        <w:t>and integrity of their domain name registrants.</w:t>
      </w:r>
    </w:p>
    <w:p w14:paraId="4FF262BF" w14:textId="77777777" w:rsidR="0084344C" w:rsidRDefault="0084344C" w:rsidP="007D0AF0">
      <w:pPr>
        <w:widowControl w:val="0"/>
        <w:autoSpaceDE w:val="0"/>
        <w:autoSpaceDN w:val="0"/>
        <w:adjustRightInd w:val="0"/>
        <w:ind w:left="72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5F63A9" w:rsidRPr="0084344C" w14:paraId="6EF31F82" w14:textId="77777777" w:rsidTr="005F63A9">
        <w:trPr>
          <w:trHeight w:val="690"/>
          <w:tblHeader/>
        </w:trPr>
        <w:tc>
          <w:tcPr>
            <w:tcW w:w="3785" w:type="dxa"/>
            <w:shd w:val="clear" w:color="auto" w:fill="auto"/>
            <w:noWrap/>
            <w:vAlign w:val="center"/>
            <w:hideMark/>
          </w:tcPr>
          <w:p w14:paraId="4757F395" w14:textId="49A986C2" w:rsidR="005F63A9" w:rsidRPr="0084344C" w:rsidRDefault="005F63A9" w:rsidP="005F63A9">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Consumer Choice</w:t>
            </w:r>
          </w:p>
        </w:tc>
        <w:tc>
          <w:tcPr>
            <w:tcW w:w="1080" w:type="dxa"/>
            <w:shd w:val="clear" w:color="auto" w:fill="auto"/>
            <w:noWrap/>
            <w:vAlign w:val="center"/>
            <w:hideMark/>
          </w:tcPr>
          <w:p w14:paraId="1428787E" w14:textId="77777777" w:rsidR="005F63A9" w:rsidRPr="00694981" w:rsidRDefault="005F63A9"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6FA339AF" w14:textId="6C5979CF"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63E8EC74" w14:textId="77777777"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79C3FDF9" w14:textId="77777777" w:rsidR="005F63A9" w:rsidRPr="0084344C"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5F63A9" w:rsidRPr="00AD5C36" w14:paraId="72FB231C" w14:textId="77777777" w:rsidTr="005F63A9">
        <w:trPr>
          <w:trHeight w:val="690"/>
        </w:trPr>
        <w:tc>
          <w:tcPr>
            <w:tcW w:w="3785" w:type="dxa"/>
            <w:shd w:val="clear" w:color="auto" w:fill="auto"/>
            <w:noWrap/>
            <w:vAlign w:val="center"/>
            <w:hideMark/>
          </w:tcPr>
          <w:p w14:paraId="55CAC0CA" w14:textId="62E050A0" w:rsidR="005F63A9" w:rsidRPr="00AD5C36" w:rsidRDefault="005F63A9"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 xml:space="preserve">Transparency </w:t>
            </w:r>
            <w:r>
              <w:rPr>
                <w:rFonts w:ascii="Calibri" w:eastAsia="Times New Roman" w:hAnsi="Calibri" w:cs="Times New Roman"/>
                <w:color w:val="000000"/>
                <w:sz w:val="20"/>
                <w:szCs w:val="22"/>
              </w:rPr>
              <w:t xml:space="preserve">and clarity </w:t>
            </w:r>
            <w:r w:rsidRPr="0084344C">
              <w:rPr>
                <w:rFonts w:ascii="Calibri" w:eastAsia="Times New Roman" w:hAnsi="Calibri" w:cs="Times New Roman"/>
                <w:color w:val="000000"/>
                <w:sz w:val="20"/>
                <w:szCs w:val="22"/>
              </w:rPr>
              <w:t xml:space="preserve">of </w:t>
            </w:r>
            <w:r>
              <w:rPr>
                <w:rFonts w:ascii="Calibri" w:eastAsia="Times New Roman" w:hAnsi="Calibri" w:cs="Times New Roman"/>
                <w:color w:val="000000"/>
                <w:sz w:val="20"/>
                <w:szCs w:val="22"/>
              </w:rPr>
              <w:t>gTLD registry benefits and restrictions, so that r</w:t>
            </w:r>
            <w:r w:rsidRPr="0084344C">
              <w:rPr>
                <w:rFonts w:ascii="Calibri" w:eastAsia="Times New Roman" w:hAnsi="Calibri" w:cs="Times New Roman"/>
                <w:color w:val="000000"/>
                <w:sz w:val="20"/>
                <w:szCs w:val="22"/>
              </w:rPr>
              <w:t>egistrant</w:t>
            </w:r>
            <w:r>
              <w:rPr>
                <w:rFonts w:ascii="Calibri" w:eastAsia="Times New Roman" w:hAnsi="Calibri" w:cs="Times New Roman"/>
                <w:color w:val="000000"/>
                <w:sz w:val="20"/>
                <w:szCs w:val="22"/>
              </w:rPr>
              <w:t>s and users</w:t>
            </w:r>
            <w:r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can make meaningful distinctions and informed choices</w:t>
            </w:r>
          </w:p>
        </w:tc>
        <w:tc>
          <w:tcPr>
            <w:tcW w:w="1080" w:type="dxa"/>
            <w:shd w:val="clear" w:color="auto" w:fill="auto"/>
            <w:noWrap/>
            <w:vAlign w:val="center"/>
            <w:hideMark/>
          </w:tcPr>
          <w:p w14:paraId="5E52DCD7" w14:textId="744767CC" w:rsidR="005F63A9"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Registry proposal and marketing info</w:t>
            </w:r>
          </w:p>
        </w:tc>
        <w:tc>
          <w:tcPr>
            <w:tcW w:w="2790" w:type="dxa"/>
            <w:vAlign w:val="center"/>
          </w:tcPr>
          <w:p w14:paraId="2BEF15C6" w14:textId="4526BEAA" w:rsidR="005F63A9" w:rsidRDefault="005F63A9"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Difficult</w:t>
            </w:r>
            <w:r w:rsidR="00FD30ED">
              <w:rPr>
                <w:rFonts w:ascii="Calibri" w:eastAsia="Times New Roman" w:hAnsi="Calibri" w:cs="Times New Roman"/>
                <w:color w:val="000000"/>
                <w:sz w:val="20"/>
                <w:szCs w:val="22"/>
              </w:rPr>
              <w:t xml:space="preserve"> to define and measure</w:t>
            </w:r>
          </w:p>
        </w:tc>
        <w:tc>
          <w:tcPr>
            <w:tcW w:w="1530" w:type="dxa"/>
            <w:shd w:val="clear" w:color="auto" w:fill="auto"/>
            <w:vAlign w:val="center"/>
          </w:tcPr>
          <w:p w14:paraId="0E231577" w14:textId="2A58395C" w:rsidR="005F63A9" w:rsidRPr="00AD5C36" w:rsidRDefault="005F63A9" w:rsidP="005F63A9">
            <w:pPr>
              <w:spacing w:before="60" w:after="60"/>
              <w:jc w:val="center"/>
              <w:rPr>
                <w:rFonts w:ascii="Calibri" w:eastAsia="Times New Roman" w:hAnsi="Calibri" w:cs="Times New Roman"/>
                <w:color w:val="000000"/>
                <w:sz w:val="20"/>
                <w:szCs w:val="22"/>
              </w:rPr>
            </w:pPr>
          </w:p>
        </w:tc>
      </w:tr>
      <w:tr w:rsidR="005F63A9" w:rsidRPr="00AD5C36" w14:paraId="33C26556" w14:textId="77777777" w:rsidTr="005F63A9">
        <w:trPr>
          <w:trHeight w:val="690"/>
        </w:trPr>
        <w:tc>
          <w:tcPr>
            <w:tcW w:w="3785" w:type="dxa"/>
            <w:shd w:val="clear" w:color="auto" w:fill="auto"/>
            <w:noWrap/>
            <w:vAlign w:val="center"/>
          </w:tcPr>
          <w:p w14:paraId="3755E5C4" w14:textId="7B5375ED" w:rsidR="005F63A9" w:rsidRPr="0084344C" w:rsidRDefault="005F63A9"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and relative incidence of </w:t>
            </w:r>
            <w:r w:rsidRPr="0084344C">
              <w:rPr>
                <w:rFonts w:ascii="Calibri" w:eastAsia="Times New Roman" w:hAnsi="Calibri" w:cs="Times New Roman"/>
                <w:color w:val="000000"/>
                <w:sz w:val="20"/>
                <w:szCs w:val="22"/>
              </w:rPr>
              <w:t>New Registrants vs. Existing Registrants</w:t>
            </w:r>
          </w:p>
        </w:tc>
        <w:tc>
          <w:tcPr>
            <w:tcW w:w="1080" w:type="dxa"/>
            <w:shd w:val="clear" w:color="auto" w:fill="auto"/>
            <w:noWrap/>
            <w:vAlign w:val="center"/>
          </w:tcPr>
          <w:p w14:paraId="755C63F8" w14:textId="5C199F4C" w:rsidR="005F63A9" w:rsidRPr="00AD5C36" w:rsidRDefault="00FD30ED" w:rsidP="00FD30ED">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and WHOIS data</w:t>
            </w:r>
          </w:p>
        </w:tc>
        <w:tc>
          <w:tcPr>
            <w:tcW w:w="2790" w:type="dxa"/>
            <w:vAlign w:val="center"/>
          </w:tcPr>
          <w:p w14:paraId="74742424" w14:textId="30E8793C" w:rsidR="005F63A9" w:rsidRDefault="00FD30ED" w:rsidP="00FD30ED">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Need</w:t>
            </w:r>
            <w:r w:rsidR="005F63A9">
              <w:rPr>
                <w:rFonts w:ascii="Calibri" w:eastAsia="Times New Roman" w:hAnsi="Calibri" w:cs="Times New Roman"/>
                <w:color w:val="000000"/>
                <w:sz w:val="20"/>
                <w:szCs w:val="22"/>
              </w:rPr>
              <w:t xml:space="preserve"> to determine whether a new gTLD registrant </w:t>
            </w:r>
            <w:r>
              <w:rPr>
                <w:rFonts w:ascii="Calibri" w:eastAsia="Times New Roman" w:hAnsi="Calibri" w:cs="Times New Roman"/>
                <w:color w:val="000000"/>
                <w:sz w:val="20"/>
                <w:szCs w:val="22"/>
              </w:rPr>
              <w:t xml:space="preserve">already </w:t>
            </w:r>
            <w:r w:rsidR="005F63A9">
              <w:rPr>
                <w:rFonts w:ascii="Calibri" w:eastAsia="Times New Roman" w:hAnsi="Calibri" w:cs="Times New Roman"/>
                <w:color w:val="000000"/>
                <w:sz w:val="20"/>
                <w:szCs w:val="22"/>
              </w:rPr>
              <w:t xml:space="preserve">had </w:t>
            </w:r>
            <w:r>
              <w:rPr>
                <w:rFonts w:ascii="Calibri" w:eastAsia="Times New Roman" w:hAnsi="Calibri" w:cs="Times New Roman"/>
                <w:color w:val="000000"/>
                <w:sz w:val="20"/>
                <w:szCs w:val="22"/>
              </w:rPr>
              <w:t xml:space="preserve">domains </w:t>
            </w:r>
            <w:r w:rsidR="005F63A9">
              <w:rPr>
                <w:rFonts w:ascii="Calibri" w:eastAsia="Times New Roman" w:hAnsi="Calibri" w:cs="Times New Roman"/>
                <w:color w:val="000000"/>
                <w:sz w:val="20"/>
                <w:szCs w:val="22"/>
              </w:rPr>
              <w:t xml:space="preserve">in </w:t>
            </w:r>
            <w:r>
              <w:rPr>
                <w:rFonts w:ascii="Calibri" w:eastAsia="Times New Roman" w:hAnsi="Calibri" w:cs="Times New Roman"/>
                <w:color w:val="000000"/>
                <w:sz w:val="20"/>
                <w:szCs w:val="22"/>
              </w:rPr>
              <w:t xml:space="preserve">legacy </w:t>
            </w:r>
            <w:r w:rsidR="005F63A9">
              <w:rPr>
                <w:rFonts w:ascii="Calibri" w:eastAsia="Times New Roman" w:hAnsi="Calibri" w:cs="Times New Roman"/>
                <w:color w:val="000000"/>
                <w:sz w:val="20"/>
                <w:szCs w:val="22"/>
              </w:rPr>
              <w:t>gTLD</w:t>
            </w:r>
            <w:r>
              <w:rPr>
                <w:rFonts w:ascii="Calibri" w:eastAsia="Times New Roman" w:hAnsi="Calibri" w:cs="Times New Roman"/>
                <w:color w:val="000000"/>
                <w:sz w:val="20"/>
                <w:szCs w:val="22"/>
              </w:rPr>
              <w:t>s.</w:t>
            </w:r>
          </w:p>
        </w:tc>
        <w:tc>
          <w:tcPr>
            <w:tcW w:w="1530" w:type="dxa"/>
            <w:shd w:val="clear" w:color="auto" w:fill="auto"/>
            <w:vAlign w:val="center"/>
          </w:tcPr>
          <w:p w14:paraId="269B6D72" w14:textId="30C716D0" w:rsidR="005F63A9" w:rsidRPr="00AD5C36" w:rsidRDefault="005F63A9"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&lt;  X%</w:t>
            </w:r>
          </w:p>
        </w:tc>
      </w:tr>
      <w:tr w:rsidR="00FD30ED" w:rsidRPr="00AD5C36" w14:paraId="21F52884" w14:textId="77777777" w:rsidTr="005F63A9">
        <w:trPr>
          <w:trHeight w:val="690"/>
        </w:trPr>
        <w:tc>
          <w:tcPr>
            <w:tcW w:w="3785" w:type="dxa"/>
            <w:shd w:val="clear" w:color="auto" w:fill="auto"/>
            <w:noWrap/>
            <w:vAlign w:val="center"/>
          </w:tcPr>
          <w:p w14:paraId="1B2F8FF3" w14:textId="33246693" w:rsidR="00FD30ED" w:rsidRPr="0084344C" w:rsidRDefault="00FD30ED"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 Defensive Registrations</w:t>
            </w:r>
            <w:r>
              <w:rPr>
                <w:rFonts w:ascii="Calibri" w:eastAsia="Times New Roman" w:hAnsi="Calibri" w:cs="Times New Roman"/>
                <w:color w:val="000000"/>
                <w:sz w:val="20"/>
                <w:szCs w:val="22"/>
              </w:rPr>
              <w:t xml:space="preserve"> in new gTLDs, where “defensive” registrations are those where the new registration points to an existing website in a legacy gTLD.</w:t>
            </w:r>
          </w:p>
        </w:tc>
        <w:tc>
          <w:tcPr>
            <w:tcW w:w="1080" w:type="dxa"/>
            <w:shd w:val="clear" w:color="auto" w:fill="auto"/>
            <w:noWrap/>
            <w:vAlign w:val="center"/>
          </w:tcPr>
          <w:p w14:paraId="0AB222E4" w14:textId="07D80EB3" w:rsidR="00FD30ED"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and WHOIS data</w:t>
            </w:r>
          </w:p>
        </w:tc>
        <w:tc>
          <w:tcPr>
            <w:tcW w:w="2790" w:type="dxa"/>
            <w:vAlign w:val="center"/>
          </w:tcPr>
          <w:p w14:paraId="6EF12E7C" w14:textId="37DA4A19" w:rsidR="00FD30ED" w:rsidRDefault="00FD30ED" w:rsidP="00FD30ED">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difficulty: Need to determine whether a new gTLD registrant already had the same domain in legacy gTLDs.</w:t>
            </w:r>
          </w:p>
        </w:tc>
        <w:tc>
          <w:tcPr>
            <w:tcW w:w="1530" w:type="dxa"/>
            <w:shd w:val="clear" w:color="auto" w:fill="auto"/>
            <w:vAlign w:val="center"/>
          </w:tcPr>
          <w:p w14:paraId="35914AF3" w14:textId="2785F0A8" w:rsidR="00FD30ED"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&lt;  X%</w:t>
            </w:r>
          </w:p>
        </w:tc>
      </w:tr>
      <w:tr w:rsidR="00FD30ED" w:rsidRPr="00AD5C36" w14:paraId="687AA3C8" w14:textId="77777777" w:rsidTr="005F63A9">
        <w:trPr>
          <w:trHeight w:val="690"/>
        </w:trPr>
        <w:tc>
          <w:tcPr>
            <w:tcW w:w="3785" w:type="dxa"/>
            <w:shd w:val="clear" w:color="auto" w:fill="auto"/>
            <w:noWrap/>
            <w:vAlign w:val="center"/>
          </w:tcPr>
          <w:p w14:paraId="55201A6E" w14:textId="55BC866F" w:rsidR="00FD30ED" w:rsidRPr="0084344C" w:rsidRDefault="00FD30ED"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Registrant Choice among registrars &amp; registries subject to differing national laws</w:t>
            </w:r>
          </w:p>
        </w:tc>
        <w:tc>
          <w:tcPr>
            <w:tcW w:w="1080" w:type="dxa"/>
            <w:shd w:val="clear" w:color="auto" w:fill="auto"/>
            <w:noWrap/>
            <w:vAlign w:val="center"/>
          </w:tcPr>
          <w:p w14:paraId="4BA2DCEE" w14:textId="77777777" w:rsidR="00FD30ED" w:rsidRPr="00AD5C36" w:rsidRDefault="00FD30ED" w:rsidP="005F63A9">
            <w:pPr>
              <w:spacing w:before="60" w:after="60"/>
              <w:jc w:val="center"/>
              <w:rPr>
                <w:rFonts w:ascii="Calibri" w:eastAsia="Times New Roman" w:hAnsi="Calibri" w:cs="Times New Roman"/>
                <w:color w:val="000000"/>
                <w:sz w:val="20"/>
                <w:szCs w:val="22"/>
              </w:rPr>
            </w:pPr>
          </w:p>
        </w:tc>
        <w:tc>
          <w:tcPr>
            <w:tcW w:w="2790" w:type="dxa"/>
            <w:vAlign w:val="center"/>
          </w:tcPr>
          <w:p w14:paraId="420270AD" w14:textId="69E22179" w:rsidR="00FD30ED" w:rsidRDefault="00FD30ED"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 need to assess diversity of national laws where Rr/Ry is based</w:t>
            </w:r>
          </w:p>
        </w:tc>
        <w:tc>
          <w:tcPr>
            <w:tcW w:w="1530" w:type="dxa"/>
            <w:shd w:val="clear" w:color="auto" w:fill="auto"/>
            <w:vAlign w:val="center"/>
          </w:tcPr>
          <w:p w14:paraId="72A96AFF" w14:textId="1D75FD4B" w:rsidR="00FD30ED"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 of choices presented by new gTLDs</w:t>
            </w:r>
          </w:p>
        </w:tc>
      </w:tr>
      <w:tr w:rsidR="00FD30ED" w:rsidRPr="00AD5C36" w14:paraId="04DB3614" w14:textId="77777777" w:rsidTr="005F63A9">
        <w:trPr>
          <w:trHeight w:val="690"/>
        </w:trPr>
        <w:tc>
          <w:tcPr>
            <w:tcW w:w="3785" w:type="dxa"/>
            <w:shd w:val="clear" w:color="auto" w:fill="auto"/>
            <w:noWrap/>
            <w:vAlign w:val="center"/>
          </w:tcPr>
          <w:p w14:paraId="43EA2645" w14:textId="51634510" w:rsidR="00FD30ED" w:rsidRPr="0084344C" w:rsidRDefault="00FD30ED"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 xml:space="preserve">Statistical Measure of </w:t>
            </w:r>
            <w:r>
              <w:rPr>
                <w:rFonts w:ascii="Calibri" w:eastAsia="Times New Roman" w:hAnsi="Calibri" w:cs="Times New Roman"/>
                <w:color w:val="000000"/>
                <w:sz w:val="20"/>
                <w:szCs w:val="22"/>
              </w:rPr>
              <w:t xml:space="preserve">Geographic </w:t>
            </w:r>
            <w:r w:rsidRPr="0084344C">
              <w:rPr>
                <w:rFonts w:ascii="Calibri" w:eastAsia="Times New Roman" w:hAnsi="Calibri" w:cs="Times New Roman"/>
                <w:color w:val="000000"/>
                <w:sz w:val="20"/>
                <w:szCs w:val="22"/>
              </w:rPr>
              <w:t>Diversity</w:t>
            </w:r>
            <w:r>
              <w:rPr>
                <w:rFonts w:ascii="Calibri" w:eastAsia="Times New Roman" w:hAnsi="Calibri" w:cs="Times New Roman"/>
                <w:color w:val="000000"/>
                <w:sz w:val="20"/>
                <w:szCs w:val="22"/>
              </w:rPr>
              <w:t xml:space="preserve"> of registrants in new gTLDs</w:t>
            </w:r>
          </w:p>
        </w:tc>
        <w:tc>
          <w:tcPr>
            <w:tcW w:w="1080" w:type="dxa"/>
            <w:shd w:val="clear" w:color="auto" w:fill="auto"/>
            <w:noWrap/>
            <w:vAlign w:val="center"/>
          </w:tcPr>
          <w:p w14:paraId="08CAED27" w14:textId="571475FB" w:rsidR="00FD30ED"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Zone and WHOIS data</w:t>
            </w:r>
          </w:p>
        </w:tc>
        <w:tc>
          <w:tcPr>
            <w:tcW w:w="2790" w:type="dxa"/>
            <w:vAlign w:val="center"/>
          </w:tcPr>
          <w:p w14:paraId="6BF89A9A" w14:textId="78F66645" w:rsidR="00FD30ED" w:rsidRDefault="00FD30ED"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Doubtful: Need a measure of geographic diversity</w:t>
            </w:r>
          </w:p>
        </w:tc>
        <w:tc>
          <w:tcPr>
            <w:tcW w:w="1530" w:type="dxa"/>
            <w:shd w:val="clear" w:color="auto" w:fill="auto"/>
            <w:vAlign w:val="center"/>
          </w:tcPr>
          <w:p w14:paraId="3B4FF0F2" w14:textId="5282F0F3" w:rsidR="00FD30ED" w:rsidRPr="00AD5C36" w:rsidRDefault="00FD30ED"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Diversity should be greater than in legacy gTLDs</w:t>
            </w:r>
          </w:p>
        </w:tc>
      </w:tr>
    </w:tbl>
    <w:p w14:paraId="29BA06D9" w14:textId="77777777" w:rsidR="005F63A9" w:rsidRDefault="005F63A9" w:rsidP="007D0AF0">
      <w:pPr>
        <w:widowControl w:val="0"/>
        <w:autoSpaceDE w:val="0"/>
        <w:autoSpaceDN w:val="0"/>
        <w:adjustRightInd w:val="0"/>
        <w:ind w:left="720"/>
        <w:rPr>
          <w:rFonts w:ascii="Calibri" w:hAnsi="Calibri" w:cs="Calibri"/>
          <w:sz w:val="22"/>
          <w:szCs w:val="22"/>
        </w:rPr>
      </w:pPr>
    </w:p>
    <w:p w14:paraId="60A57A76" w14:textId="77777777" w:rsidR="005F63A9" w:rsidRDefault="005F63A9" w:rsidP="007D0AF0">
      <w:pPr>
        <w:widowControl w:val="0"/>
        <w:autoSpaceDE w:val="0"/>
        <w:autoSpaceDN w:val="0"/>
        <w:adjustRightInd w:val="0"/>
        <w:ind w:left="720"/>
        <w:rPr>
          <w:rFonts w:ascii="Calibri" w:hAnsi="Calibri" w:cs="Calibri"/>
          <w:sz w:val="22"/>
          <w:szCs w:val="22"/>
        </w:rPr>
      </w:pPr>
    </w:p>
    <w:p w14:paraId="6563D10E" w14:textId="77777777" w:rsidR="007D0AF0" w:rsidRDefault="007D0AF0" w:rsidP="00ED0485">
      <w:pPr>
        <w:widowControl w:val="0"/>
        <w:autoSpaceDE w:val="0"/>
        <w:autoSpaceDN w:val="0"/>
        <w:adjustRightInd w:val="0"/>
        <w:rPr>
          <w:rFonts w:ascii="Calibri" w:hAnsi="Calibri" w:cs="Calibri"/>
          <w:b/>
          <w:sz w:val="22"/>
          <w:szCs w:val="22"/>
        </w:rPr>
      </w:pPr>
    </w:p>
    <w:p w14:paraId="79A4D0C1" w14:textId="77777777" w:rsidR="00553269" w:rsidRDefault="00553269">
      <w:pPr>
        <w:rPr>
          <w:rFonts w:ascii="Calibri" w:hAnsi="Calibri" w:cs="Calibri"/>
          <w:b/>
          <w:sz w:val="22"/>
          <w:szCs w:val="22"/>
        </w:rPr>
      </w:pPr>
      <w:r>
        <w:rPr>
          <w:rFonts w:ascii="Calibri" w:hAnsi="Calibri" w:cs="Calibri"/>
          <w:b/>
          <w:sz w:val="22"/>
          <w:szCs w:val="22"/>
        </w:rPr>
        <w:br w:type="page"/>
      </w:r>
    </w:p>
    <w:p w14:paraId="3E31A4C7" w14:textId="2D879C1B" w:rsidR="00553269" w:rsidRDefault="00553269" w:rsidP="00553269">
      <w:pPr>
        <w:widowControl w:val="0"/>
        <w:autoSpaceDE w:val="0"/>
        <w:autoSpaceDN w:val="0"/>
        <w:adjustRightInd w:val="0"/>
        <w:rPr>
          <w:rFonts w:ascii="Calibri" w:hAnsi="Calibri" w:cs="Calibri"/>
          <w:sz w:val="22"/>
          <w:szCs w:val="22"/>
        </w:rPr>
      </w:pPr>
      <w:r>
        <w:rPr>
          <w:rFonts w:ascii="Calibri" w:hAnsi="Calibri" w:cs="Calibri"/>
          <w:b/>
          <w:sz w:val="22"/>
          <w:szCs w:val="22"/>
        </w:rPr>
        <w:t xml:space="preserve">Measures of </w:t>
      </w:r>
      <w:r w:rsidRPr="00663C6B">
        <w:rPr>
          <w:rFonts w:ascii="Calibri" w:hAnsi="Calibri" w:cs="Calibri"/>
          <w:b/>
          <w:sz w:val="22"/>
          <w:szCs w:val="22"/>
        </w:rPr>
        <w:t>Competition</w:t>
      </w:r>
      <w:r w:rsidRPr="003611B7">
        <w:rPr>
          <w:rFonts w:ascii="Calibri" w:hAnsi="Calibri" w:cs="Calibri"/>
          <w:sz w:val="22"/>
          <w:szCs w:val="22"/>
        </w:rPr>
        <w:t xml:space="preserve"> </w:t>
      </w:r>
    </w:p>
    <w:p w14:paraId="247EBD2A" w14:textId="77777777" w:rsidR="00553269" w:rsidRDefault="00553269" w:rsidP="00553269">
      <w:pPr>
        <w:widowControl w:val="0"/>
        <w:autoSpaceDE w:val="0"/>
        <w:autoSpaceDN w:val="0"/>
        <w:adjustRightInd w:val="0"/>
        <w:rPr>
          <w:rFonts w:ascii="Calibri" w:hAnsi="Calibri" w:cs="Calibri"/>
          <w:sz w:val="22"/>
          <w:szCs w:val="22"/>
        </w:rPr>
      </w:pPr>
    </w:p>
    <w:p w14:paraId="42E96E28" w14:textId="2BF2D6A8" w:rsidR="00553269" w:rsidRDefault="00553269" w:rsidP="00553269">
      <w:pPr>
        <w:widowControl w:val="0"/>
        <w:autoSpaceDE w:val="0"/>
        <w:autoSpaceDN w:val="0"/>
        <w:adjustRightInd w:val="0"/>
        <w:rPr>
          <w:rFonts w:ascii="Calibri" w:hAnsi="Calibri" w:cs="Calibri"/>
          <w:sz w:val="22"/>
          <w:szCs w:val="22"/>
        </w:rPr>
      </w:pPr>
      <w:r w:rsidRPr="00553269">
        <w:rPr>
          <w:rFonts w:ascii="Calibri" w:hAnsi="Calibri" w:cs="Calibri"/>
          <w:sz w:val="22"/>
          <w:szCs w:val="22"/>
        </w:rPr>
        <w:t xml:space="preserve">For reference, the definition of </w:t>
      </w:r>
      <w:r>
        <w:rPr>
          <w:rFonts w:ascii="Calibri" w:hAnsi="Calibri" w:cs="Calibri"/>
          <w:sz w:val="22"/>
          <w:szCs w:val="22"/>
        </w:rPr>
        <w:t>Competition i</w:t>
      </w:r>
      <w:r w:rsidRPr="00553269">
        <w:rPr>
          <w:rFonts w:ascii="Calibri" w:hAnsi="Calibri" w:cs="Calibri"/>
          <w:sz w:val="22"/>
          <w:szCs w:val="22"/>
        </w:rPr>
        <w:t>s repeated here:</w:t>
      </w:r>
    </w:p>
    <w:p w14:paraId="1033B9B1" w14:textId="77777777" w:rsidR="00553269" w:rsidRDefault="00553269" w:rsidP="00ED0485">
      <w:pPr>
        <w:widowControl w:val="0"/>
        <w:autoSpaceDE w:val="0"/>
        <w:autoSpaceDN w:val="0"/>
        <w:adjustRightInd w:val="0"/>
        <w:rPr>
          <w:rFonts w:ascii="Calibri" w:hAnsi="Calibri" w:cs="Calibri"/>
          <w:b/>
          <w:sz w:val="22"/>
          <w:szCs w:val="22"/>
        </w:rPr>
      </w:pPr>
    </w:p>
    <w:p w14:paraId="3C0C9D20" w14:textId="707160B9" w:rsidR="00EB40C9" w:rsidRPr="003611B7" w:rsidRDefault="00EB40C9" w:rsidP="00EB40C9">
      <w:pPr>
        <w:widowControl w:val="0"/>
        <w:autoSpaceDE w:val="0"/>
        <w:autoSpaceDN w:val="0"/>
        <w:adjustRightInd w:val="0"/>
        <w:ind w:left="720"/>
        <w:rPr>
          <w:rFonts w:ascii="Calibri" w:hAnsi="Calibri" w:cs="Calibri"/>
          <w:sz w:val="22"/>
          <w:szCs w:val="22"/>
        </w:rPr>
      </w:pPr>
      <w:r w:rsidRPr="00663C6B">
        <w:rPr>
          <w:rFonts w:ascii="Calibri" w:hAnsi="Calibri" w:cs="Calibri"/>
          <w:b/>
          <w:sz w:val="22"/>
          <w:szCs w:val="22"/>
        </w:rPr>
        <w:t>Competition</w:t>
      </w:r>
      <w:r w:rsidRPr="003611B7">
        <w:rPr>
          <w:rFonts w:ascii="Calibri" w:hAnsi="Calibri" w:cs="Calibri"/>
          <w:sz w:val="22"/>
          <w:szCs w:val="22"/>
        </w:rPr>
        <w:t xml:space="preserve"> is </w:t>
      </w:r>
      <w:r>
        <w:rPr>
          <w:rFonts w:ascii="Calibri" w:hAnsi="Calibri" w:cs="Calibri"/>
          <w:sz w:val="22"/>
          <w:szCs w:val="22"/>
        </w:rPr>
        <w:t xml:space="preserve">defined as the quantity, </w:t>
      </w:r>
      <w:r w:rsidRPr="003611B7">
        <w:rPr>
          <w:rFonts w:ascii="Calibri" w:hAnsi="Calibri" w:cs="Calibri"/>
          <w:sz w:val="22"/>
          <w:szCs w:val="22"/>
        </w:rPr>
        <w:t>diversity</w:t>
      </w:r>
      <w:r w:rsidR="00301602">
        <w:rPr>
          <w:rFonts w:ascii="Calibri" w:hAnsi="Calibri" w:cs="Calibri"/>
          <w:sz w:val="22"/>
          <w:szCs w:val="22"/>
        </w:rPr>
        <w:t xml:space="preserve">, </w:t>
      </w:r>
      <w:r>
        <w:rPr>
          <w:rFonts w:ascii="Calibri" w:hAnsi="Calibri" w:cs="Calibri"/>
          <w:sz w:val="22"/>
          <w:szCs w:val="22"/>
        </w:rPr>
        <w:t xml:space="preserve">and </w:t>
      </w:r>
      <w:r w:rsidR="00301602">
        <w:rPr>
          <w:rFonts w:ascii="Calibri" w:hAnsi="Calibri" w:cs="Calibri"/>
          <w:sz w:val="22"/>
          <w:szCs w:val="22"/>
        </w:rPr>
        <w:t xml:space="preserve">the </w:t>
      </w:r>
      <w:r>
        <w:rPr>
          <w:rFonts w:ascii="Calibri" w:hAnsi="Calibri" w:cs="Calibri"/>
          <w:sz w:val="22"/>
          <w:szCs w:val="22"/>
        </w:rPr>
        <w:t xml:space="preserve">potential </w:t>
      </w:r>
      <w:r w:rsidR="00301602">
        <w:rPr>
          <w:rFonts w:ascii="Calibri" w:hAnsi="Calibri" w:cs="Calibri"/>
          <w:sz w:val="22"/>
          <w:szCs w:val="22"/>
        </w:rPr>
        <w:t xml:space="preserve">for market rivalry of </w:t>
      </w:r>
      <w:r w:rsidRPr="003611B7">
        <w:rPr>
          <w:rFonts w:ascii="Calibri" w:hAnsi="Calibri" w:cs="Calibri"/>
          <w:sz w:val="22"/>
          <w:szCs w:val="22"/>
        </w:rPr>
        <w:t>gTLDs,</w:t>
      </w:r>
      <w:r>
        <w:rPr>
          <w:rFonts w:ascii="Calibri" w:hAnsi="Calibri" w:cs="Calibri"/>
          <w:sz w:val="22"/>
          <w:szCs w:val="22"/>
        </w:rPr>
        <w:t xml:space="preserve"> </w:t>
      </w:r>
      <w:r w:rsidRPr="003611B7">
        <w:rPr>
          <w:rFonts w:ascii="Calibri" w:hAnsi="Calibri" w:cs="Calibri"/>
          <w:sz w:val="22"/>
          <w:szCs w:val="22"/>
        </w:rPr>
        <w:t>TLD registry operators, and registrars.</w:t>
      </w:r>
    </w:p>
    <w:p w14:paraId="4A455564" w14:textId="77777777" w:rsidR="0084344C" w:rsidRDefault="0084344C" w:rsidP="00553269">
      <w:pPr>
        <w:widowControl w:val="0"/>
        <w:autoSpaceDE w:val="0"/>
        <w:autoSpaceDN w:val="0"/>
        <w:adjustRightInd w:val="0"/>
        <w:rPr>
          <w:rFonts w:ascii="Calibri" w:hAnsi="Calibri" w:cs="Calibri"/>
          <w:sz w:val="22"/>
          <w:szCs w:val="22"/>
        </w:rPr>
      </w:pPr>
    </w:p>
    <w:p w14:paraId="0419667C" w14:textId="77777777" w:rsidR="005F63A9" w:rsidRDefault="005F63A9" w:rsidP="00553269">
      <w:pPr>
        <w:widowControl w:val="0"/>
        <w:autoSpaceDE w:val="0"/>
        <w:autoSpaceDN w:val="0"/>
        <w:adjustRightInd w:val="0"/>
        <w:rPr>
          <w:rFonts w:ascii="Calibri" w:hAnsi="Calibri" w:cs="Calibri"/>
          <w:sz w:val="22"/>
          <w:szCs w:val="22"/>
        </w:rPr>
      </w:pPr>
    </w:p>
    <w:tbl>
      <w:tblPr>
        <w:tblW w:w="91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5"/>
        <w:gridCol w:w="1080"/>
        <w:gridCol w:w="2790"/>
        <w:gridCol w:w="1530"/>
      </w:tblGrid>
      <w:tr w:rsidR="005F63A9" w:rsidRPr="0084344C" w14:paraId="3C7DFF2B" w14:textId="77777777" w:rsidTr="005F63A9">
        <w:trPr>
          <w:trHeight w:val="690"/>
          <w:tblHeader/>
        </w:trPr>
        <w:tc>
          <w:tcPr>
            <w:tcW w:w="3785" w:type="dxa"/>
            <w:shd w:val="clear" w:color="auto" w:fill="auto"/>
            <w:noWrap/>
            <w:vAlign w:val="center"/>
            <w:hideMark/>
          </w:tcPr>
          <w:p w14:paraId="09A5C97F" w14:textId="000F835A" w:rsidR="005F63A9" w:rsidRPr="0084344C" w:rsidRDefault="005F63A9" w:rsidP="00DB3F97">
            <w:pPr>
              <w:spacing w:before="60" w:after="60"/>
              <w:rPr>
                <w:rFonts w:ascii="Calibri" w:eastAsia="Times New Roman" w:hAnsi="Calibri" w:cs="Times New Roman"/>
                <w:b/>
                <w:color w:val="000000"/>
                <w:sz w:val="20"/>
                <w:szCs w:val="22"/>
              </w:rPr>
            </w:pPr>
            <w:r w:rsidRPr="0084344C">
              <w:rPr>
                <w:rFonts w:ascii="Calibri" w:eastAsia="Times New Roman" w:hAnsi="Calibri" w:cs="Times New Roman"/>
                <w:b/>
                <w:color w:val="000000"/>
                <w:sz w:val="20"/>
                <w:szCs w:val="22"/>
              </w:rPr>
              <w:t>Measure</w:t>
            </w:r>
            <w:r>
              <w:rPr>
                <w:rFonts w:ascii="Calibri" w:eastAsia="Times New Roman" w:hAnsi="Calibri" w:cs="Times New Roman"/>
                <w:b/>
                <w:color w:val="000000"/>
                <w:sz w:val="20"/>
                <w:szCs w:val="22"/>
              </w:rPr>
              <w:t xml:space="preserve"> of </w:t>
            </w:r>
            <w:r w:rsidR="00DB3F97">
              <w:rPr>
                <w:rFonts w:ascii="Calibri" w:eastAsia="Times New Roman" w:hAnsi="Calibri" w:cs="Times New Roman"/>
                <w:b/>
                <w:color w:val="000000"/>
                <w:sz w:val="20"/>
                <w:szCs w:val="22"/>
              </w:rPr>
              <w:t>Competition</w:t>
            </w:r>
          </w:p>
        </w:tc>
        <w:tc>
          <w:tcPr>
            <w:tcW w:w="1080" w:type="dxa"/>
            <w:shd w:val="clear" w:color="auto" w:fill="auto"/>
            <w:noWrap/>
            <w:vAlign w:val="center"/>
            <w:hideMark/>
          </w:tcPr>
          <w:p w14:paraId="382FC4BC" w14:textId="77777777" w:rsidR="005F63A9" w:rsidRPr="00694981" w:rsidRDefault="005F63A9" w:rsidP="005F63A9">
            <w:pPr>
              <w:spacing w:before="60" w:after="60"/>
              <w:jc w:val="center"/>
              <w:rPr>
                <w:rFonts w:ascii="Calibri" w:eastAsia="Times New Roman" w:hAnsi="Calibri" w:cs="Times New Roman"/>
                <w:b/>
                <w:color w:val="000000"/>
                <w:sz w:val="20"/>
                <w:szCs w:val="22"/>
              </w:rPr>
            </w:pPr>
            <w:r w:rsidRPr="00694981">
              <w:rPr>
                <w:rFonts w:ascii="Calibri" w:eastAsia="Times New Roman" w:hAnsi="Calibri" w:cs="Times New Roman"/>
                <w:b/>
                <w:color w:val="000000"/>
                <w:sz w:val="20"/>
                <w:szCs w:val="22"/>
              </w:rPr>
              <w:t>Source</w:t>
            </w:r>
          </w:p>
        </w:tc>
        <w:tc>
          <w:tcPr>
            <w:tcW w:w="2790" w:type="dxa"/>
            <w:vAlign w:val="center"/>
          </w:tcPr>
          <w:p w14:paraId="1B9B3199" w14:textId="3FA2E8DE"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Anticipated Difficulties in Obtaining and</w:t>
            </w:r>
            <w:r w:rsidR="00535897">
              <w:rPr>
                <w:rFonts w:ascii="Calibri" w:eastAsia="Times New Roman" w:hAnsi="Calibri" w:cs="Times New Roman"/>
                <w:b/>
                <w:color w:val="000000"/>
                <w:sz w:val="20"/>
                <w:szCs w:val="22"/>
              </w:rPr>
              <w:t>/or</w:t>
            </w:r>
            <w:bookmarkStart w:id="0" w:name="_GoBack"/>
            <w:bookmarkEnd w:id="0"/>
            <w:r>
              <w:rPr>
                <w:rFonts w:ascii="Calibri" w:eastAsia="Times New Roman" w:hAnsi="Calibri" w:cs="Times New Roman"/>
                <w:b/>
                <w:color w:val="000000"/>
                <w:sz w:val="20"/>
                <w:szCs w:val="22"/>
              </w:rPr>
              <w:t xml:space="preserve"> Reporting </w:t>
            </w:r>
          </w:p>
        </w:tc>
        <w:tc>
          <w:tcPr>
            <w:tcW w:w="1530" w:type="dxa"/>
            <w:shd w:val="clear" w:color="auto" w:fill="auto"/>
            <w:vAlign w:val="center"/>
          </w:tcPr>
          <w:p w14:paraId="2BCA7122" w14:textId="77777777" w:rsidR="005F63A9"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3-year</w:t>
            </w:r>
          </w:p>
          <w:p w14:paraId="1062E1D2" w14:textId="77777777" w:rsidR="005F63A9" w:rsidRPr="0084344C" w:rsidRDefault="005F63A9" w:rsidP="005F63A9">
            <w:pPr>
              <w:spacing w:before="60" w:after="60"/>
              <w:jc w:val="center"/>
              <w:rPr>
                <w:rFonts w:ascii="Calibri" w:eastAsia="Times New Roman" w:hAnsi="Calibri" w:cs="Times New Roman"/>
                <w:b/>
                <w:color w:val="000000"/>
                <w:sz w:val="20"/>
                <w:szCs w:val="22"/>
              </w:rPr>
            </w:pPr>
            <w:r>
              <w:rPr>
                <w:rFonts w:ascii="Calibri" w:eastAsia="Times New Roman" w:hAnsi="Calibri" w:cs="Times New Roman"/>
                <w:b/>
                <w:color w:val="000000"/>
                <w:sz w:val="20"/>
                <w:szCs w:val="22"/>
              </w:rPr>
              <w:t>Target</w:t>
            </w:r>
          </w:p>
        </w:tc>
      </w:tr>
      <w:tr w:rsidR="00056270" w:rsidRPr="00AD5C36" w14:paraId="3989A398" w14:textId="77777777" w:rsidTr="005F63A9">
        <w:trPr>
          <w:trHeight w:val="690"/>
        </w:trPr>
        <w:tc>
          <w:tcPr>
            <w:tcW w:w="3785" w:type="dxa"/>
            <w:shd w:val="clear" w:color="auto" w:fill="auto"/>
            <w:noWrap/>
            <w:vAlign w:val="center"/>
            <w:hideMark/>
          </w:tcPr>
          <w:p w14:paraId="19C8F2FE" w14:textId="421CB5FF"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uanti</w:t>
            </w:r>
            <w:r w:rsidRPr="0084344C">
              <w:rPr>
                <w:rFonts w:ascii="Calibri" w:eastAsia="Times New Roman" w:hAnsi="Calibri" w:cs="Times New Roman"/>
                <w:color w:val="000000"/>
                <w:sz w:val="20"/>
                <w:szCs w:val="22"/>
              </w:rPr>
              <w:t xml:space="preserve">ty </w:t>
            </w:r>
            <w:r>
              <w:rPr>
                <w:rFonts w:ascii="Calibri" w:eastAsia="Times New Roman" w:hAnsi="Calibri" w:cs="Times New Roman"/>
                <w:color w:val="000000"/>
                <w:sz w:val="20"/>
                <w:szCs w:val="22"/>
              </w:rPr>
              <w:t xml:space="preserve">of </w:t>
            </w:r>
            <w:r w:rsidRPr="0084344C">
              <w:rPr>
                <w:rFonts w:ascii="Calibri" w:eastAsia="Times New Roman" w:hAnsi="Calibri" w:cs="Times New Roman"/>
                <w:color w:val="000000"/>
                <w:sz w:val="20"/>
                <w:szCs w:val="22"/>
              </w:rPr>
              <w:t xml:space="preserve">gTLDs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4D1EAEF3" w14:textId="627ECC14"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2D2A6E5B"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4FD856E0" w14:textId="42578B04"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of Y %</w:t>
            </w:r>
          </w:p>
        </w:tc>
      </w:tr>
      <w:tr w:rsidR="00056270" w:rsidRPr="00AD5C36" w14:paraId="5B0B3AB8" w14:textId="77777777" w:rsidTr="005F63A9">
        <w:trPr>
          <w:trHeight w:val="690"/>
        </w:trPr>
        <w:tc>
          <w:tcPr>
            <w:tcW w:w="3785" w:type="dxa"/>
            <w:shd w:val="clear" w:color="auto" w:fill="auto"/>
            <w:noWrap/>
            <w:vAlign w:val="center"/>
            <w:hideMark/>
          </w:tcPr>
          <w:p w14:paraId="7055DE59" w14:textId="0BEF18C0"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uanti</w:t>
            </w:r>
            <w:r w:rsidRPr="0084344C">
              <w:rPr>
                <w:rFonts w:ascii="Calibri" w:eastAsia="Times New Roman" w:hAnsi="Calibri" w:cs="Times New Roman"/>
                <w:color w:val="000000"/>
                <w:sz w:val="20"/>
                <w:szCs w:val="22"/>
              </w:rPr>
              <w:t xml:space="preserve">ty </w:t>
            </w:r>
            <w:r>
              <w:rPr>
                <w:rFonts w:ascii="Calibri" w:eastAsia="Times New Roman" w:hAnsi="Calibri" w:cs="Times New Roman"/>
                <w:color w:val="000000"/>
                <w:sz w:val="20"/>
                <w:szCs w:val="22"/>
              </w:rPr>
              <w:t xml:space="preserve">of unique </w:t>
            </w:r>
            <w:r w:rsidRPr="0084344C">
              <w:rPr>
                <w:rFonts w:ascii="Calibri" w:eastAsia="Times New Roman" w:hAnsi="Calibri" w:cs="Times New Roman"/>
                <w:color w:val="000000"/>
                <w:sz w:val="20"/>
                <w:szCs w:val="22"/>
              </w:rPr>
              <w:t xml:space="preserve">Registry Operators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293FFE42" w14:textId="2B4E667A"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170A029F"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76133CAA" w14:textId="0E58EDF3"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of Y %</w:t>
            </w:r>
          </w:p>
        </w:tc>
      </w:tr>
      <w:tr w:rsidR="00056270" w:rsidRPr="00AD5C36" w14:paraId="0C160527" w14:textId="77777777" w:rsidTr="005F63A9">
        <w:trPr>
          <w:trHeight w:val="690"/>
        </w:trPr>
        <w:tc>
          <w:tcPr>
            <w:tcW w:w="3785" w:type="dxa"/>
            <w:shd w:val="clear" w:color="auto" w:fill="auto"/>
            <w:noWrap/>
            <w:vAlign w:val="center"/>
            <w:hideMark/>
          </w:tcPr>
          <w:p w14:paraId="58D89383" w14:textId="4C6087EE"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Pr="0084344C">
              <w:rPr>
                <w:rFonts w:ascii="Calibri" w:eastAsia="Times New Roman" w:hAnsi="Calibri" w:cs="Times New Roman"/>
                <w:color w:val="000000"/>
                <w:sz w:val="20"/>
                <w:szCs w:val="22"/>
              </w:rPr>
              <w:t xml:space="preserve">Registry Service Providers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079FED4C" w14:textId="2E4B9F69"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 and Ry Operators</w:t>
            </w:r>
          </w:p>
        </w:tc>
        <w:tc>
          <w:tcPr>
            <w:tcW w:w="2790" w:type="dxa"/>
            <w:vAlign w:val="center"/>
          </w:tcPr>
          <w:p w14:paraId="1D5F34E2" w14:textId="2BE127E6" w:rsidR="00056270" w:rsidRDefault="00056270"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Moderately difficult to obtain</w:t>
            </w:r>
          </w:p>
        </w:tc>
        <w:tc>
          <w:tcPr>
            <w:tcW w:w="1530" w:type="dxa"/>
            <w:shd w:val="clear" w:color="auto" w:fill="auto"/>
            <w:vAlign w:val="center"/>
          </w:tcPr>
          <w:p w14:paraId="687C8563" w14:textId="6D359D4B"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of Y %</w:t>
            </w:r>
          </w:p>
        </w:tc>
      </w:tr>
      <w:tr w:rsidR="00056270" w:rsidRPr="00AD5C36" w14:paraId="77812449" w14:textId="77777777" w:rsidTr="005F63A9">
        <w:trPr>
          <w:trHeight w:val="690"/>
        </w:trPr>
        <w:tc>
          <w:tcPr>
            <w:tcW w:w="3785" w:type="dxa"/>
            <w:shd w:val="clear" w:color="auto" w:fill="auto"/>
            <w:noWrap/>
            <w:vAlign w:val="center"/>
            <w:hideMark/>
          </w:tcPr>
          <w:p w14:paraId="43D06902" w14:textId="651B3589" w:rsidR="00056270" w:rsidRPr="00AD5C36" w:rsidRDefault="00056270"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Q</w:t>
            </w:r>
            <w:r>
              <w:rPr>
                <w:rFonts w:ascii="Calibri" w:eastAsia="Times New Roman" w:hAnsi="Calibri" w:cs="Times New Roman"/>
                <w:color w:val="000000"/>
                <w:sz w:val="20"/>
                <w:szCs w:val="22"/>
              </w:rPr>
              <w:t xml:space="preserve">uantity of </w:t>
            </w:r>
            <w:r w:rsidRPr="0084344C">
              <w:rPr>
                <w:rFonts w:ascii="Calibri" w:eastAsia="Times New Roman" w:hAnsi="Calibri" w:cs="Times New Roman"/>
                <w:color w:val="000000"/>
                <w:sz w:val="20"/>
                <w:szCs w:val="22"/>
              </w:rPr>
              <w:t xml:space="preserve">Registrars </w:t>
            </w:r>
            <w:r>
              <w:rPr>
                <w:rFonts w:ascii="Calibri" w:eastAsia="Times New Roman" w:hAnsi="Calibri" w:cs="Times New Roman"/>
                <w:color w:val="000000"/>
                <w:sz w:val="20"/>
                <w:szCs w:val="22"/>
              </w:rPr>
              <w:t>before and after expansion</w:t>
            </w:r>
          </w:p>
        </w:tc>
        <w:tc>
          <w:tcPr>
            <w:tcW w:w="1080" w:type="dxa"/>
            <w:shd w:val="clear" w:color="auto" w:fill="auto"/>
            <w:noWrap/>
            <w:vAlign w:val="center"/>
            <w:hideMark/>
          </w:tcPr>
          <w:p w14:paraId="2D594247" w14:textId="5FE1A947"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ICANN</w:t>
            </w:r>
          </w:p>
        </w:tc>
        <w:tc>
          <w:tcPr>
            <w:tcW w:w="2790" w:type="dxa"/>
            <w:vAlign w:val="center"/>
          </w:tcPr>
          <w:p w14:paraId="54505B62" w14:textId="77777777" w:rsidR="00056270" w:rsidRDefault="00056270" w:rsidP="005F63A9">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29CEA448" w14:textId="327C9738" w:rsidR="00056270" w:rsidRPr="00AD5C36" w:rsidRDefault="00056270"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Increase of Y %</w:t>
            </w:r>
          </w:p>
        </w:tc>
      </w:tr>
      <w:tr w:rsidR="00DB3F97" w:rsidRPr="00AD5C36" w14:paraId="55ABA3E3" w14:textId="77777777" w:rsidTr="005F63A9">
        <w:trPr>
          <w:trHeight w:val="690"/>
        </w:trPr>
        <w:tc>
          <w:tcPr>
            <w:tcW w:w="3785" w:type="dxa"/>
            <w:shd w:val="clear" w:color="auto" w:fill="auto"/>
            <w:noWrap/>
            <w:vAlign w:val="center"/>
            <w:hideMark/>
          </w:tcPr>
          <w:p w14:paraId="305A0553" w14:textId="0CA0F6FA" w:rsidR="00DB3F97" w:rsidRPr="00AD5C36" w:rsidRDefault="00DB3F97" w:rsidP="00DB3F97">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 xml:space="preserve">of </w:t>
            </w:r>
            <w:r w:rsidRPr="00DB3F97">
              <w:rPr>
                <w:rFonts w:ascii="Calibri" w:eastAsia="Times New Roman" w:hAnsi="Calibri" w:cs="Times New Roman"/>
                <w:i/>
                <w:color w:val="000000"/>
                <w:sz w:val="20"/>
                <w:szCs w:val="22"/>
              </w:rPr>
              <w:t>new</w:t>
            </w:r>
            <w:r>
              <w:rPr>
                <w:rFonts w:ascii="Calibri" w:eastAsia="Times New Roman" w:hAnsi="Calibri" w:cs="Times New Roman"/>
                <w:color w:val="000000"/>
                <w:sz w:val="20"/>
                <w:szCs w:val="22"/>
              </w:rPr>
              <w:t xml:space="preserve"> registrations (after 2011) that are in gTLDs operated by new e</w:t>
            </w:r>
            <w:r w:rsidRPr="0084344C">
              <w:rPr>
                <w:rFonts w:ascii="Calibri" w:eastAsia="Times New Roman" w:hAnsi="Calibri" w:cs="Times New Roman"/>
                <w:color w:val="000000"/>
                <w:sz w:val="20"/>
                <w:szCs w:val="22"/>
              </w:rPr>
              <w:t>ntr</w:t>
            </w:r>
            <w:r>
              <w:rPr>
                <w:rFonts w:ascii="Calibri" w:eastAsia="Times New Roman" w:hAnsi="Calibri" w:cs="Times New Roman"/>
                <w:color w:val="000000"/>
                <w:sz w:val="20"/>
                <w:szCs w:val="22"/>
              </w:rPr>
              <w:t xml:space="preserve">ants </w:t>
            </w:r>
          </w:p>
        </w:tc>
        <w:tc>
          <w:tcPr>
            <w:tcW w:w="1080" w:type="dxa"/>
            <w:shd w:val="clear" w:color="auto" w:fill="auto"/>
            <w:noWrap/>
            <w:vAlign w:val="center"/>
            <w:hideMark/>
          </w:tcPr>
          <w:p w14:paraId="088AFDEC" w14:textId="162F7D5C"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Registrars</w:t>
            </w:r>
          </w:p>
        </w:tc>
        <w:tc>
          <w:tcPr>
            <w:tcW w:w="2790" w:type="dxa"/>
            <w:vAlign w:val="center"/>
          </w:tcPr>
          <w:p w14:paraId="573C061F" w14:textId="0FB7F377"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Need to define and capture </w:t>
            </w:r>
            <w:r w:rsidRPr="00DB3F97">
              <w:rPr>
                <w:rFonts w:ascii="Calibri" w:eastAsia="Times New Roman" w:hAnsi="Calibri" w:cs="Times New Roman"/>
                <w:i/>
                <w:color w:val="000000"/>
                <w:sz w:val="20"/>
                <w:szCs w:val="22"/>
              </w:rPr>
              <w:t>new</w:t>
            </w:r>
            <w:r>
              <w:rPr>
                <w:rFonts w:ascii="Calibri" w:eastAsia="Times New Roman" w:hAnsi="Calibri" w:cs="Times New Roman"/>
                <w:color w:val="000000"/>
                <w:sz w:val="20"/>
                <w:szCs w:val="22"/>
              </w:rPr>
              <w:t xml:space="preserve"> registrations</w:t>
            </w:r>
          </w:p>
        </w:tc>
        <w:tc>
          <w:tcPr>
            <w:tcW w:w="1530" w:type="dxa"/>
            <w:shd w:val="clear" w:color="auto" w:fill="auto"/>
            <w:vAlign w:val="center"/>
          </w:tcPr>
          <w:p w14:paraId="34C3C6BA" w14:textId="64226E62"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&gt; X %</w:t>
            </w:r>
          </w:p>
        </w:tc>
      </w:tr>
      <w:tr w:rsidR="00DB3F97" w:rsidRPr="00AD5C36" w14:paraId="63CEC49B" w14:textId="77777777" w:rsidTr="005F63A9">
        <w:trPr>
          <w:trHeight w:val="690"/>
        </w:trPr>
        <w:tc>
          <w:tcPr>
            <w:tcW w:w="3785" w:type="dxa"/>
            <w:shd w:val="clear" w:color="auto" w:fill="auto"/>
            <w:noWrap/>
            <w:vAlign w:val="center"/>
            <w:hideMark/>
          </w:tcPr>
          <w:p w14:paraId="34BB1EE5" w14:textId="256430FC" w:rsidR="00DB3F97" w:rsidRPr="00AD5C36" w:rsidRDefault="00DB3F97" w:rsidP="00DB3F97">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 xml:space="preserve">% </w:t>
            </w:r>
            <w:r>
              <w:rPr>
                <w:rFonts w:ascii="Calibri" w:eastAsia="Times New Roman" w:hAnsi="Calibri" w:cs="Times New Roman"/>
                <w:color w:val="000000"/>
                <w:sz w:val="20"/>
                <w:szCs w:val="22"/>
              </w:rPr>
              <w:t xml:space="preserve">of </w:t>
            </w:r>
            <w:r w:rsidRPr="00DB3F97">
              <w:rPr>
                <w:rFonts w:ascii="Calibri" w:eastAsia="Times New Roman" w:hAnsi="Calibri" w:cs="Times New Roman"/>
                <w:i/>
                <w:color w:val="000000"/>
                <w:sz w:val="20"/>
                <w:szCs w:val="22"/>
              </w:rPr>
              <w:t>all</w:t>
            </w:r>
            <w:r>
              <w:rPr>
                <w:rFonts w:ascii="Calibri" w:eastAsia="Times New Roman" w:hAnsi="Calibri" w:cs="Times New Roman"/>
                <w:color w:val="000000"/>
                <w:sz w:val="20"/>
                <w:szCs w:val="22"/>
              </w:rPr>
              <w:t xml:space="preserve"> registrations (after 2011) that are in gTLDs operated by new e</w:t>
            </w:r>
            <w:r w:rsidRPr="0084344C">
              <w:rPr>
                <w:rFonts w:ascii="Calibri" w:eastAsia="Times New Roman" w:hAnsi="Calibri" w:cs="Times New Roman"/>
                <w:color w:val="000000"/>
                <w:sz w:val="20"/>
                <w:szCs w:val="22"/>
              </w:rPr>
              <w:t>ntr</w:t>
            </w:r>
            <w:r>
              <w:rPr>
                <w:rFonts w:ascii="Calibri" w:eastAsia="Times New Roman" w:hAnsi="Calibri" w:cs="Times New Roman"/>
                <w:color w:val="000000"/>
                <w:sz w:val="20"/>
                <w:szCs w:val="22"/>
              </w:rPr>
              <w:t xml:space="preserve">ants </w:t>
            </w:r>
          </w:p>
        </w:tc>
        <w:tc>
          <w:tcPr>
            <w:tcW w:w="1080" w:type="dxa"/>
            <w:shd w:val="clear" w:color="auto" w:fill="auto"/>
            <w:noWrap/>
            <w:vAlign w:val="center"/>
            <w:hideMark/>
          </w:tcPr>
          <w:p w14:paraId="099D1275" w14:textId="6037B03F"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Registrars</w:t>
            </w:r>
          </w:p>
        </w:tc>
        <w:tc>
          <w:tcPr>
            <w:tcW w:w="2790" w:type="dxa"/>
            <w:vAlign w:val="center"/>
          </w:tcPr>
          <w:p w14:paraId="69D9CF1E" w14:textId="6D25A1F1"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Need to define and capture </w:t>
            </w:r>
            <w:r w:rsidRPr="00DB3F97">
              <w:rPr>
                <w:rFonts w:ascii="Calibri" w:eastAsia="Times New Roman" w:hAnsi="Calibri" w:cs="Times New Roman"/>
                <w:i/>
                <w:color w:val="000000"/>
                <w:sz w:val="20"/>
                <w:szCs w:val="22"/>
              </w:rPr>
              <w:t>new</w:t>
            </w:r>
            <w:r>
              <w:rPr>
                <w:rFonts w:ascii="Calibri" w:eastAsia="Times New Roman" w:hAnsi="Calibri" w:cs="Times New Roman"/>
                <w:color w:val="000000"/>
                <w:sz w:val="20"/>
                <w:szCs w:val="22"/>
              </w:rPr>
              <w:t xml:space="preserve"> registrations</w:t>
            </w:r>
          </w:p>
        </w:tc>
        <w:tc>
          <w:tcPr>
            <w:tcW w:w="1530" w:type="dxa"/>
            <w:shd w:val="clear" w:color="auto" w:fill="auto"/>
            <w:vAlign w:val="center"/>
          </w:tcPr>
          <w:p w14:paraId="63EBB013" w14:textId="53B027AF"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&gt; X %</w:t>
            </w:r>
          </w:p>
        </w:tc>
      </w:tr>
      <w:tr w:rsidR="00DB3F97" w:rsidRPr="00AD5C36" w14:paraId="32DE489E" w14:textId="77777777" w:rsidTr="005F63A9">
        <w:trPr>
          <w:trHeight w:val="690"/>
        </w:trPr>
        <w:tc>
          <w:tcPr>
            <w:tcW w:w="3785" w:type="dxa"/>
            <w:shd w:val="clear" w:color="auto" w:fill="auto"/>
            <w:noWrap/>
            <w:vAlign w:val="center"/>
            <w:hideMark/>
          </w:tcPr>
          <w:p w14:paraId="0E596A3E" w14:textId="158A1E6B" w:rsidR="00DB3F97" w:rsidRPr="00AD5C36" w:rsidRDefault="00DB3F97"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Wholesale price of domains offered per Registry</w:t>
            </w:r>
          </w:p>
        </w:tc>
        <w:tc>
          <w:tcPr>
            <w:tcW w:w="1080" w:type="dxa"/>
            <w:shd w:val="clear" w:color="auto" w:fill="auto"/>
            <w:noWrap/>
            <w:vAlign w:val="center"/>
            <w:hideMark/>
          </w:tcPr>
          <w:p w14:paraId="174D90A3" w14:textId="6EBD9D66"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w:t>
            </w:r>
          </w:p>
        </w:tc>
        <w:tc>
          <w:tcPr>
            <w:tcW w:w="2790" w:type="dxa"/>
            <w:vAlign w:val="center"/>
          </w:tcPr>
          <w:p w14:paraId="15B274F7" w14:textId="48654208"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w:t>
            </w:r>
          </w:p>
        </w:tc>
        <w:tc>
          <w:tcPr>
            <w:tcW w:w="1530" w:type="dxa"/>
            <w:shd w:val="clear" w:color="auto" w:fill="auto"/>
            <w:vAlign w:val="center"/>
          </w:tcPr>
          <w:p w14:paraId="7A3DE099" w14:textId="275F46D2"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Avg price lower than legacy gTLDs</w:t>
            </w:r>
          </w:p>
        </w:tc>
      </w:tr>
      <w:tr w:rsidR="00DB3F97" w:rsidRPr="00AD5C36" w14:paraId="27993A49" w14:textId="77777777" w:rsidTr="005F63A9">
        <w:trPr>
          <w:trHeight w:val="690"/>
        </w:trPr>
        <w:tc>
          <w:tcPr>
            <w:tcW w:w="3785" w:type="dxa"/>
            <w:shd w:val="clear" w:color="auto" w:fill="auto"/>
            <w:noWrap/>
            <w:vAlign w:val="center"/>
            <w:hideMark/>
          </w:tcPr>
          <w:p w14:paraId="149492C5" w14:textId="38BCF66A" w:rsidR="00DB3F97" w:rsidRPr="00AD5C36" w:rsidRDefault="00DB3F97" w:rsidP="00DB3F9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Retail price of domains</w:t>
            </w:r>
          </w:p>
        </w:tc>
        <w:tc>
          <w:tcPr>
            <w:tcW w:w="1080" w:type="dxa"/>
            <w:shd w:val="clear" w:color="auto" w:fill="auto"/>
            <w:noWrap/>
            <w:vAlign w:val="center"/>
            <w:hideMark/>
          </w:tcPr>
          <w:p w14:paraId="22CF39FA" w14:textId="0D09E42E"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 and Registrars</w:t>
            </w:r>
          </w:p>
        </w:tc>
        <w:tc>
          <w:tcPr>
            <w:tcW w:w="2790" w:type="dxa"/>
            <w:vAlign w:val="center"/>
          </w:tcPr>
          <w:p w14:paraId="02EFFE52" w14:textId="3FEAA240"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w:t>
            </w:r>
          </w:p>
        </w:tc>
        <w:tc>
          <w:tcPr>
            <w:tcW w:w="1530" w:type="dxa"/>
            <w:shd w:val="clear" w:color="auto" w:fill="auto"/>
            <w:vAlign w:val="center"/>
          </w:tcPr>
          <w:p w14:paraId="4BFC42BD" w14:textId="0FA43B6B"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Avg price lower than legacy gTLDs</w:t>
            </w:r>
          </w:p>
        </w:tc>
      </w:tr>
      <w:tr w:rsidR="00DB3F97" w:rsidRPr="00AD5C36" w14:paraId="45C4BEF5" w14:textId="77777777" w:rsidTr="005F63A9">
        <w:trPr>
          <w:trHeight w:val="690"/>
        </w:trPr>
        <w:tc>
          <w:tcPr>
            <w:tcW w:w="3785" w:type="dxa"/>
            <w:shd w:val="clear" w:color="auto" w:fill="auto"/>
            <w:noWrap/>
            <w:vAlign w:val="center"/>
            <w:hideMark/>
          </w:tcPr>
          <w:p w14:paraId="3C5DC309" w14:textId="3140CC61" w:rsidR="00DB3F97" w:rsidRPr="00AD5C36" w:rsidRDefault="00DB3F97" w:rsidP="005F63A9">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Sunrise price of domains (Premium)</w:t>
            </w:r>
          </w:p>
        </w:tc>
        <w:tc>
          <w:tcPr>
            <w:tcW w:w="1080" w:type="dxa"/>
            <w:shd w:val="clear" w:color="auto" w:fill="auto"/>
            <w:noWrap/>
            <w:vAlign w:val="center"/>
            <w:hideMark/>
          </w:tcPr>
          <w:p w14:paraId="740FF2CE" w14:textId="4E9FB307" w:rsidR="00DB3F97" w:rsidRPr="00AD5C36" w:rsidRDefault="00DB3F97" w:rsidP="005F63A9">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w:t>
            </w:r>
          </w:p>
        </w:tc>
        <w:tc>
          <w:tcPr>
            <w:tcW w:w="2790" w:type="dxa"/>
            <w:vAlign w:val="center"/>
          </w:tcPr>
          <w:p w14:paraId="22E2AE11" w14:textId="3BECABF5" w:rsidR="00DB3F97" w:rsidRDefault="00DB3F97" w:rsidP="005F63A9">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w:t>
            </w:r>
          </w:p>
        </w:tc>
        <w:tc>
          <w:tcPr>
            <w:tcW w:w="1530" w:type="dxa"/>
            <w:shd w:val="clear" w:color="auto" w:fill="auto"/>
            <w:vAlign w:val="center"/>
          </w:tcPr>
          <w:p w14:paraId="6D3C84EF" w14:textId="77777777" w:rsidR="00DB3F97" w:rsidRPr="00AD5C36" w:rsidRDefault="00DB3F97" w:rsidP="005F63A9">
            <w:pPr>
              <w:spacing w:before="60" w:after="60"/>
              <w:jc w:val="center"/>
              <w:rPr>
                <w:rFonts w:ascii="Calibri" w:eastAsia="Times New Roman" w:hAnsi="Calibri" w:cs="Times New Roman"/>
                <w:color w:val="000000"/>
                <w:sz w:val="20"/>
                <w:szCs w:val="22"/>
              </w:rPr>
            </w:pPr>
          </w:p>
        </w:tc>
      </w:tr>
      <w:tr w:rsidR="00DB3F97" w:rsidRPr="00AD5C36" w14:paraId="62F64F42" w14:textId="77777777" w:rsidTr="00DB3F97">
        <w:trPr>
          <w:trHeight w:val="690"/>
        </w:trPr>
        <w:tc>
          <w:tcPr>
            <w:tcW w:w="3785" w:type="dxa"/>
            <w:shd w:val="clear" w:color="auto" w:fill="auto"/>
            <w:noWrap/>
            <w:vAlign w:val="center"/>
            <w:hideMark/>
          </w:tcPr>
          <w:p w14:paraId="39F4225F" w14:textId="77777777" w:rsidR="00DB3F97" w:rsidRPr="00AD5C36" w:rsidRDefault="00DB3F97" w:rsidP="00DB3F97">
            <w:pPr>
              <w:spacing w:before="60" w:after="60"/>
              <w:rPr>
                <w:rFonts w:ascii="Calibri" w:eastAsia="Times New Roman" w:hAnsi="Calibri" w:cs="Times New Roman"/>
                <w:color w:val="000000"/>
                <w:sz w:val="20"/>
                <w:szCs w:val="22"/>
              </w:rPr>
            </w:pPr>
            <w:r w:rsidRPr="0084344C">
              <w:rPr>
                <w:rFonts w:ascii="Calibri" w:eastAsia="Times New Roman" w:hAnsi="Calibri" w:cs="Times New Roman"/>
                <w:color w:val="000000"/>
                <w:sz w:val="20"/>
                <w:szCs w:val="22"/>
              </w:rPr>
              <w:t>Sunrise price of domains (Non-Premium)</w:t>
            </w:r>
          </w:p>
        </w:tc>
        <w:tc>
          <w:tcPr>
            <w:tcW w:w="1080" w:type="dxa"/>
            <w:shd w:val="clear" w:color="auto" w:fill="auto"/>
            <w:noWrap/>
            <w:vAlign w:val="center"/>
            <w:hideMark/>
          </w:tcPr>
          <w:p w14:paraId="65D76419" w14:textId="20F8FF9D" w:rsidR="00DB3F97" w:rsidRPr="00AD5C36" w:rsidRDefault="00DB3F97" w:rsidP="00DB3F9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w:t>
            </w:r>
          </w:p>
        </w:tc>
        <w:tc>
          <w:tcPr>
            <w:tcW w:w="2790" w:type="dxa"/>
            <w:vAlign w:val="center"/>
          </w:tcPr>
          <w:p w14:paraId="1328037A" w14:textId="4B926006" w:rsidR="00DB3F97" w:rsidRDefault="00DB3F97" w:rsidP="00DB3F9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 xml:space="preserve">Difficult to obtain and report.  </w:t>
            </w:r>
          </w:p>
        </w:tc>
        <w:tc>
          <w:tcPr>
            <w:tcW w:w="1530" w:type="dxa"/>
            <w:shd w:val="clear" w:color="auto" w:fill="auto"/>
            <w:vAlign w:val="center"/>
          </w:tcPr>
          <w:p w14:paraId="011A247C" w14:textId="77777777" w:rsidR="00DB3F97" w:rsidRPr="00AD5C36" w:rsidRDefault="00DB3F97" w:rsidP="00DB3F97">
            <w:pPr>
              <w:spacing w:before="60" w:after="60"/>
              <w:jc w:val="center"/>
              <w:rPr>
                <w:rFonts w:ascii="Calibri" w:eastAsia="Times New Roman" w:hAnsi="Calibri" w:cs="Times New Roman"/>
                <w:color w:val="000000"/>
                <w:sz w:val="20"/>
                <w:szCs w:val="22"/>
              </w:rPr>
            </w:pPr>
          </w:p>
        </w:tc>
      </w:tr>
      <w:tr w:rsidR="00DB3F97" w:rsidRPr="00AD5C36" w14:paraId="0A6A6C62" w14:textId="77777777" w:rsidTr="00DB3F97">
        <w:trPr>
          <w:trHeight w:val="690"/>
        </w:trPr>
        <w:tc>
          <w:tcPr>
            <w:tcW w:w="3785" w:type="dxa"/>
            <w:shd w:val="clear" w:color="auto" w:fill="auto"/>
            <w:noWrap/>
            <w:vAlign w:val="center"/>
            <w:hideMark/>
          </w:tcPr>
          <w:p w14:paraId="6BC19FEA" w14:textId="7A6FDBB6" w:rsidR="00DB3F97" w:rsidRPr="00AD5C36" w:rsidRDefault="00DB3F97" w:rsidP="00DB3F97">
            <w:pPr>
              <w:spacing w:before="60" w:after="60"/>
              <w:rPr>
                <w:rFonts w:ascii="Calibri" w:eastAsia="Times New Roman" w:hAnsi="Calibri" w:cs="Times New Roman"/>
                <w:color w:val="000000"/>
                <w:sz w:val="20"/>
                <w:szCs w:val="22"/>
              </w:rPr>
            </w:pPr>
            <w:r>
              <w:rPr>
                <w:rFonts w:ascii="Calibri" w:eastAsia="Times New Roman" w:hAnsi="Calibri" w:cs="Times New Roman"/>
                <w:color w:val="000000"/>
                <w:sz w:val="20"/>
                <w:szCs w:val="22"/>
              </w:rPr>
              <w:t>Cost to permanently block registration of a domain (e.g. ICM Sunrise for .xxx)</w:t>
            </w:r>
          </w:p>
        </w:tc>
        <w:tc>
          <w:tcPr>
            <w:tcW w:w="1080" w:type="dxa"/>
            <w:shd w:val="clear" w:color="auto" w:fill="auto"/>
            <w:noWrap/>
            <w:vAlign w:val="center"/>
            <w:hideMark/>
          </w:tcPr>
          <w:p w14:paraId="7E20B51D" w14:textId="304CD40B" w:rsidR="00DB3F97" w:rsidRPr="00AD5C36" w:rsidRDefault="00DB3F97" w:rsidP="00DB3F97">
            <w:pPr>
              <w:spacing w:before="60" w:after="60"/>
              <w:jc w:val="center"/>
              <w:rPr>
                <w:rFonts w:ascii="Calibri" w:eastAsia="Times New Roman" w:hAnsi="Calibri" w:cs="Times New Roman"/>
                <w:color w:val="000000"/>
                <w:sz w:val="20"/>
                <w:szCs w:val="22"/>
              </w:rPr>
            </w:pPr>
            <w:r>
              <w:rPr>
                <w:rFonts w:ascii="Calibri" w:eastAsia="Times New Roman" w:hAnsi="Calibri" w:cs="Times New Roman"/>
                <w:color w:val="000000"/>
                <w:sz w:val="20"/>
                <w:szCs w:val="22"/>
              </w:rPr>
              <w:t>Registries</w:t>
            </w:r>
          </w:p>
        </w:tc>
        <w:tc>
          <w:tcPr>
            <w:tcW w:w="2790" w:type="dxa"/>
            <w:vAlign w:val="center"/>
          </w:tcPr>
          <w:p w14:paraId="47D102F6" w14:textId="77777777" w:rsidR="00DB3F97" w:rsidRDefault="00DB3F97" w:rsidP="00DB3F97">
            <w:pPr>
              <w:spacing w:before="60" w:after="60"/>
              <w:rPr>
                <w:rFonts w:ascii="Calibri" w:eastAsia="Times New Roman" w:hAnsi="Calibri" w:cs="Times New Roman"/>
                <w:color w:val="000000"/>
                <w:sz w:val="20"/>
                <w:szCs w:val="22"/>
              </w:rPr>
            </w:pPr>
          </w:p>
        </w:tc>
        <w:tc>
          <w:tcPr>
            <w:tcW w:w="1530" w:type="dxa"/>
            <w:shd w:val="clear" w:color="auto" w:fill="auto"/>
            <w:vAlign w:val="center"/>
          </w:tcPr>
          <w:p w14:paraId="386B60B9" w14:textId="77777777" w:rsidR="00DB3F97" w:rsidRPr="00AD5C36" w:rsidRDefault="00DB3F97" w:rsidP="00DB3F97">
            <w:pPr>
              <w:spacing w:before="60" w:after="60"/>
              <w:jc w:val="center"/>
              <w:rPr>
                <w:rFonts w:ascii="Calibri" w:eastAsia="Times New Roman" w:hAnsi="Calibri" w:cs="Times New Roman"/>
                <w:color w:val="000000"/>
                <w:sz w:val="20"/>
                <w:szCs w:val="22"/>
              </w:rPr>
            </w:pPr>
          </w:p>
        </w:tc>
      </w:tr>
    </w:tbl>
    <w:p w14:paraId="5D7D59AB" w14:textId="77777777" w:rsidR="005F63A9" w:rsidRDefault="005F63A9" w:rsidP="00553269">
      <w:pPr>
        <w:widowControl w:val="0"/>
        <w:autoSpaceDE w:val="0"/>
        <w:autoSpaceDN w:val="0"/>
        <w:adjustRightInd w:val="0"/>
        <w:rPr>
          <w:rFonts w:ascii="Calibri" w:hAnsi="Calibri" w:cs="Calibri"/>
          <w:sz w:val="22"/>
          <w:szCs w:val="22"/>
        </w:rPr>
      </w:pPr>
    </w:p>
    <w:p w14:paraId="2CE5DEEC" w14:textId="77777777" w:rsidR="005F63A9" w:rsidRDefault="005F63A9" w:rsidP="00553269">
      <w:pPr>
        <w:widowControl w:val="0"/>
        <w:autoSpaceDE w:val="0"/>
        <w:autoSpaceDN w:val="0"/>
        <w:adjustRightInd w:val="0"/>
        <w:rPr>
          <w:rFonts w:ascii="Calibri" w:hAnsi="Calibri" w:cs="Calibri"/>
          <w:sz w:val="22"/>
          <w:szCs w:val="22"/>
        </w:rPr>
      </w:pPr>
    </w:p>
    <w:p w14:paraId="6F8D9015" w14:textId="77777777" w:rsidR="00ED0485" w:rsidRDefault="00ED0485" w:rsidP="00ED0485">
      <w:pPr>
        <w:widowControl w:val="0"/>
        <w:autoSpaceDE w:val="0"/>
        <w:autoSpaceDN w:val="0"/>
        <w:adjustRightInd w:val="0"/>
        <w:rPr>
          <w:rFonts w:ascii="Calibri" w:hAnsi="Calibri" w:cs="Calibri"/>
          <w:sz w:val="22"/>
          <w:szCs w:val="22"/>
        </w:rPr>
      </w:pPr>
    </w:p>
    <w:p w14:paraId="6DB9CE7A" w14:textId="77777777" w:rsidR="00ED0485" w:rsidRDefault="00ED0485" w:rsidP="00ED0485">
      <w:pPr>
        <w:widowControl w:val="0"/>
        <w:autoSpaceDE w:val="0"/>
        <w:autoSpaceDN w:val="0"/>
        <w:adjustRightInd w:val="0"/>
        <w:rPr>
          <w:rFonts w:ascii="Calibri" w:hAnsi="Calibri" w:cs="Calibri"/>
          <w:sz w:val="22"/>
          <w:szCs w:val="22"/>
        </w:rPr>
      </w:pPr>
    </w:p>
    <w:p w14:paraId="20439FAA" w14:textId="77777777" w:rsidR="00AB2B4B" w:rsidRDefault="00AB2B4B" w:rsidP="00ED0485">
      <w:pPr>
        <w:widowControl w:val="0"/>
        <w:autoSpaceDE w:val="0"/>
        <w:autoSpaceDN w:val="0"/>
        <w:adjustRightInd w:val="0"/>
        <w:rPr>
          <w:rFonts w:ascii="Calibri" w:hAnsi="Calibri" w:cs="Calibri"/>
          <w:sz w:val="22"/>
          <w:szCs w:val="22"/>
        </w:rPr>
      </w:pPr>
    </w:p>
    <w:p w14:paraId="31A95B7D" w14:textId="77777777" w:rsidR="00ED0485" w:rsidRDefault="00ED0485" w:rsidP="00D00805">
      <w:pPr>
        <w:widowControl w:val="0"/>
        <w:autoSpaceDE w:val="0"/>
        <w:autoSpaceDN w:val="0"/>
        <w:adjustRightInd w:val="0"/>
        <w:rPr>
          <w:rFonts w:ascii="Calibri" w:hAnsi="Calibri" w:cs="Calibri"/>
          <w:sz w:val="22"/>
          <w:szCs w:val="22"/>
        </w:rPr>
      </w:pPr>
    </w:p>
    <w:p w14:paraId="3C457291" w14:textId="401C2B52" w:rsidR="000812DC" w:rsidRDefault="000812DC" w:rsidP="000812DC">
      <w:pPr>
        <w:jc w:val="center"/>
        <w:rPr>
          <w:rFonts w:asciiTheme="majorHAnsi" w:hAnsiTheme="majorHAnsi"/>
          <w:sz w:val="22"/>
          <w:szCs w:val="22"/>
        </w:rPr>
      </w:pPr>
      <w:r>
        <w:rPr>
          <w:rFonts w:asciiTheme="majorHAnsi" w:hAnsiTheme="majorHAnsi"/>
          <w:sz w:val="22"/>
          <w:szCs w:val="22"/>
        </w:rPr>
        <w:t>Appendix A</w:t>
      </w:r>
    </w:p>
    <w:p w14:paraId="13B6C75A" w14:textId="77777777" w:rsidR="000812DC" w:rsidRDefault="000812DC">
      <w:pPr>
        <w:rPr>
          <w:rFonts w:asciiTheme="majorHAnsi" w:hAnsiTheme="majorHAnsi"/>
          <w:sz w:val="22"/>
          <w:szCs w:val="22"/>
        </w:rPr>
      </w:pPr>
    </w:p>
    <w:p w14:paraId="69BD7A1E" w14:textId="4F490A47" w:rsidR="00587F68" w:rsidRPr="00AE2198" w:rsidRDefault="008C345B">
      <w:pPr>
        <w:rPr>
          <w:rFonts w:asciiTheme="majorHAnsi" w:hAnsiTheme="majorHAnsi"/>
          <w:sz w:val="22"/>
          <w:szCs w:val="22"/>
        </w:rPr>
      </w:pPr>
      <w:r w:rsidRPr="00AE2198">
        <w:rPr>
          <w:rFonts w:asciiTheme="majorHAnsi" w:hAnsiTheme="majorHAnsi"/>
          <w:sz w:val="22"/>
          <w:szCs w:val="22"/>
        </w:rPr>
        <w:t>Working Group members:</w:t>
      </w:r>
    </w:p>
    <w:p w14:paraId="60E21248" w14:textId="77777777" w:rsidR="008C345B" w:rsidRPr="00AE2198" w:rsidRDefault="008C345B" w:rsidP="008C345B">
      <w:pPr>
        <w:rPr>
          <w:rFonts w:asciiTheme="majorHAnsi" w:hAnsiTheme="majorHAnsi"/>
          <w:sz w:val="22"/>
          <w:szCs w:val="22"/>
        </w:rPr>
      </w:pPr>
    </w:p>
    <w:p w14:paraId="6FAC5DF6"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Rosemary Sinclair - NCSG / </w:t>
      </w:r>
      <w:r w:rsidRPr="0011273B">
        <w:rPr>
          <w:rFonts w:asciiTheme="majorHAnsi" w:hAnsiTheme="majorHAnsi"/>
          <w:i/>
          <w:sz w:val="22"/>
          <w:szCs w:val="22"/>
        </w:rPr>
        <w:t>WG Chair</w:t>
      </w:r>
    </w:p>
    <w:p w14:paraId="429DA4C5" w14:textId="7ACAED1F"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 xml:space="preserve">John Berard - CBUC / </w:t>
      </w:r>
      <w:r w:rsidRPr="0011273B">
        <w:rPr>
          <w:rFonts w:asciiTheme="majorHAnsi" w:hAnsiTheme="majorHAnsi"/>
          <w:i/>
          <w:sz w:val="22"/>
          <w:szCs w:val="22"/>
        </w:rPr>
        <w:t>GNSO Lia</w:t>
      </w:r>
      <w:r w:rsidR="0011273B" w:rsidRPr="0011273B">
        <w:rPr>
          <w:rFonts w:asciiTheme="majorHAnsi" w:hAnsiTheme="majorHAnsi"/>
          <w:i/>
          <w:sz w:val="22"/>
          <w:szCs w:val="22"/>
        </w:rPr>
        <w:t>i</w:t>
      </w:r>
      <w:r w:rsidRPr="0011273B">
        <w:rPr>
          <w:rFonts w:asciiTheme="majorHAnsi" w:hAnsiTheme="majorHAnsi"/>
          <w:i/>
          <w:sz w:val="22"/>
          <w:szCs w:val="22"/>
        </w:rPr>
        <w:t>son</w:t>
      </w:r>
      <w:r w:rsidR="0011273B">
        <w:rPr>
          <w:rFonts w:asciiTheme="majorHAnsi" w:hAnsiTheme="majorHAnsi"/>
          <w:i/>
          <w:sz w:val="22"/>
          <w:szCs w:val="22"/>
        </w:rPr>
        <w:t xml:space="preserve"> for WG</w:t>
      </w:r>
    </w:p>
    <w:p w14:paraId="34C703E4"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Alex Gakuru – NCSG</w:t>
      </w:r>
    </w:p>
    <w:p w14:paraId="51ED1200"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Cheryl Langdon-Orr - ALAC</w:t>
      </w:r>
    </w:p>
    <w:p w14:paraId="0ED8717B" w14:textId="1E2AAC49" w:rsidR="008C345B" w:rsidRPr="00AE2198" w:rsidRDefault="00AE2198" w:rsidP="008C345B">
      <w:pPr>
        <w:ind w:left="720"/>
        <w:rPr>
          <w:rFonts w:asciiTheme="majorHAnsi" w:hAnsiTheme="majorHAnsi"/>
          <w:sz w:val="22"/>
          <w:szCs w:val="22"/>
        </w:rPr>
      </w:pPr>
      <w:r>
        <w:rPr>
          <w:rFonts w:asciiTheme="majorHAnsi" w:hAnsiTheme="majorHAnsi"/>
          <w:sz w:val="22"/>
          <w:szCs w:val="22"/>
        </w:rPr>
        <w:t>Olivier Crepin-</w:t>
      </w:r>
      <w:r w:rsidR="008C345B" w:rsidRPr="00AE2198">
        <w:rPr>
          <w:rFonts w:asciiTheme="majorHAnsi" w:hAnsiTheme="majorHAnsi"/>
          <w:sz w:val="22"/>
          <w:szCs w:val="22"/>
        </w:rPr>
        <w:t>Leblond – ALAC</w:t>
      </w:r>
    </w:p>
    <w:p w14:paraId="2086293E"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Carlos Dionisio Aguirre - NCA</w:t>
      </w:r>
    </w:p>
    <w:p w14:paraId="55E8F3C8" w14:textId="48CF2791"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Steve DelBianco – CBUC</w:t>
      </w:r>
    </w:p>
    <w:p w14:paraId="64DD2BB3"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Wendy Seltzer - NCSG</w:t>
      </w:r>
    </w:p>
    <w:p w14:paraId="13E26F63"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Jonathan Zuck - IPC</w:t>
      </w:r>
    </w:p>
    <w:p w14:paraId="70D7D804"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Jonathan Robinson - RySG</w:t>
      </w:r>
    </w:p>
    <w:p w14:paraId="2387145B"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Tim Ruiz - RrSG</w:t>
      </w:r>
    </w:p>
    <w:p w14:paraId="692C35B6"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Evan Leibovitch – ALAC</w:t>
      </w:r>
    </w:p>
    <w:p w14:paraId="60158512" w14:textId="08D40B48" w:rsidR="008C345B" w:rsidRPr="00AE2198" w:rsidRDefault="00AE2198" w:rsidP="008C345B">
      <w:pPr>
        <w:ind w:left="720"/>
        <w:rPr>
          <w:rFonts w:asciiTheme="majorHAnsi" w:hAnsiTheme="majorHAnsi"/>
          <w:sz w:val="22"/>
          <w:szCs w:val="22"/>
        </w:rPr>
      </w:pPr>
      <w:r>
        <w:rPr>
          <w:rFonts w:asciiTheme="majorHAnsi" w:hAnsiTheme="majorHAnsi"/>
          <w:sz w:val="22"/>
          <w:szCs w:val="22"/>
        </w:rPr>
        <w:t xml:space="preserve">Tobias </w:t>
      </w:r>
      <w:r w:rsidR="008C345B" w:rsidRPr="00AE2198">
        <w:rPr>
          <w:rFonts w:asciiTheme="majorHAnsi" w:hAnsiTheme="majorHAnsi"/>
          <w:sz w:val="22"/>
          <w:szCs w:val="22"/>
        </w:rPr>
        <w:t>Mahler – Individual</w:t>
      </w:r>
    </w:p>
    <w:p w14:paraId="5FE451D8" w14:textId="77777777" w:rsidR="008C345B" w:rsidRPr="00AE2198" w:rsidRDefault="008C345B" w:rsidP="008C345B">
      <w:pPr>
        <w:rPr>
          <w:rFonts w:asciiTheme="majorHAnsi" w:hAnsiTheme="majorHAnsi"/>
          <w:sz w:val="22"/>
          <w:szCs w:val="22"/>
        </w:rPr>
      </w:pPr>
    </w:p>
    <w:p w14:paraId="1C14354E" w14:textId="16BAEE94" w:rsidR="008C345B" w:rsidRPr="00AE2198" w:rsidRDefault="008C345B" w:rsidP="008C345B">
      <w:pPr>
        <w:rPr>
          <w:rFonts w:asciiTheme="majorHAnsi" w:hAnsiTheme="majorHAnsi"/>
          <w:sz w:val="22"/>
          <w:szCs w:val="22"/>
        </w:rPr>
      </w:pPr>
      <w:r w:rsidRPr="00AE2198">
        <w:rPr>
          <w:rFonts w:asciiTheme="majorHAnsi" w:hAnsiTheme="majorHAnsi"/>
          <w:sz w:val="22"/>
          <w:szCs w:val="22"/>
        </w:rPr>
        <w:t>ICANN Staff:</w:t>
      </w:r>
    </w:p>
    <w:p w14:paraId="364486FF"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Berry Cobb</w:t>
      </w:r>
    </w:p>
    <w:p w14:paraId="7DFBBDDF"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Margie Milam</w:t>
      </w:r>
      <w:r w:rsidRPr="00AE2198">
        <w:rPr>
          <w:rFonts w:asciiTheme="majorHAnsi" w:hAnsiTheme="majorHAnsi"/>
          <w:sz w:val="22"/>
          <w:szCs w:val="22"/>
        </w:rPr>
        <w:br/>
        <w:t>Michael Salazar</w:t>
      </w:r>
    </w:p>
    <w:p w14:paraId="3DB02107"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Brian Peck</w:t>
      </w:r>
      <w:r w:rsidRPr="00AE2198">
        <w:rPr>
          <w:rFonts w:asciiTheme="majorHAnsi" w:hAnsiTheme="majorHAnsi"/>
          <w:sz w:val="22"/>
          <w:szCs w:val="22"/>
        </w:rPr>
        <w:br/>
        <w:t>Paul Redmond</w:t>
      </w:r>
    </w:p>
    <w:p w14:paraId="28EFDDB0"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Maguy Serad</w:t>
      </w:r>
    </w:p>
    <w:p w14:paraId="1518821B"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rPr>
        <w:t>Nathalie Peregrine</w:t>
      </w:r>
    </w:p>
    <w:p w14:paraId="6843FF20" w14:textId="77777777" w:rsidR="008C345B" w:rsidRPr="00AE2198" w:rsidRDefault="008C345B" w:rsidP="008C345B">
      <w:pPr>
        <w:ind w:left="720"/>
        <w:rPr>
          <w:rFonts w:asciiTheme="majorHAnsi" w:hAnsiTheme="majorHAnsi"/>
          <w:sz w:val="22"/>
          <w:szCs w:val="22"/>
        </w:rPr>
      </w:pPr>
      <w:r w:rsidRPr="00AE2198">
        <w:rPr>
          <w:rFonts w:asciiTheme="majorHAnsi" w:hAnsiTheme="majorHAnsi"/>
          <w:sz w:val="22"/>
          <w:szCs w:val="22"/>
          <w:lang w:val="fr-FR"/>
        </w:rPr>
        <w:t>Gisella Gruber-White</w:t>
      </w:r>
    </w:p>
    <w:p w14:paraId="4E4DB8E4" w14:textId="77777777" w:rsidR="008C345B" w:rsidRPr="00AE2198" w:rsidRDefault="008C345B" w:rsidP="008C345B">
      <w:pPr>
        <w:rPr>
          <w:rFonts w:asciiTheme="majorHAnsi" w:hAnsiTheme="majorHAnsi"/>
          <w:sz w:val="22"/>
          <w:szCs w:val="22"/>
        </w:rPr>
      </w:pPr>
    </w:p>
    <w:p w14:paraId="2502B6E1" w14:textId="77777777" w:rsidR="008C345B" w:rsidRPr="003611B7" w:rsidRDefault="008C345B">
      <w:pPr>
        <w:rPr>
          <w:sz w:val="22"/>
          <w:szCs w:val="22"/>
        </w:rPr>
      </w:pPr>
    </w:p>
    <w:sectPr w:rsidR="008C345B" w:rsidRPr="003611B7" w:rsidSect="00ED0485">
      <w:footerReference w:type="even" r:id="rId8"/>
      <w:footerReference w:type="default" r:id="rId9"/>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A6298E" w14:textId="77777777" w:rsidR="00DB3F97" w:rsidRDefault="00DB3F97" w:rsidP="002E7E35">
      <w:r>
        <w:separator/>
      </w:r>
    </w:p>
  </w:endnote>
  <w:endnote w:type="continuationSeparator" w:id="0">
    <w:p w14:paraId="6F836FA0" w14:textId="77777777" w:rsidR="00DB3F97" w:rsidRDefault="00DB3F97" w:rsidP="002E7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9B314" w14:textId="77777777" w:rsidR="00DB3F97" w:rsidRDefault="00DB3F97" w:rsidP="00FD0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7F7DCA" w14:textId="77777777" w:rsidR="00DB3F97" w:rsidRDefault="00DB3F97" w:rsidP="002E7E3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90EA75" w14:textId="77777777" w:rsidR="00DB3F97" w:rsidRDefault="00DB3F97" w:rsidP="00FD0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5897">
      <w:rPr>
        <w:rStyle w:val="PageNumber"/>
        <w:noProof/>
      </w:rPr>
      <w:t>1</w:t>
    </w:r>
    <w:r>
      <w:rPr>
        <w:rStyle w:val="PageNumber"/>
      </w:rPr>
      <w:fldChar w:fldCharType="end"/>
    </w:r>
  </w:p>
  <w:p w14:paraId="44C11008" w14:textId="77777777" w:rsidR="00DB3F97" w:rsidRDefault="00DB3F97" w:rsidP="002E7E3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FB045D" w14:textId="77777777" w:rsidR="00DB3F97" w:rsidRDefault="00DB3F97" w:rsidP="002E7E35">
      <w:r>
        <w:separator/>
      </w:r>
    </w:p>
  </w:footnote>
  <w:footnote w:type="continuationSeparator" w:id="0">
    <w:p w14:paraId="06EA770C" w14:textId="77777777" w:rsidR="00DB3F97" w:rsidRDefault="00DB3F97" w:rsidP="002E7E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B4A97"/>
    <w:multiLevelType w:val="hybridMultilevel"/>
    <w:tmpl w:val="7B54C8BE"/>
    <w:lvl w:ilvl="0" w:tplc="C35C2EEC">
      <w:start w:val="1"/>
      <w:numFmt w:val="bullet"/>
      <w:lvlText w:val="•"/>
      <w:lvlJc w:val="left"/>
      <w:pPr>
        <w:tabs>
          <w:tab w:val="num" w:pos="720"/>
        </w:tabs>
        <w:ind w:left="720" w:hanging="360"/>
      </w:pPr>
      <w:rPr>
        <w:rFonts w:ascii="Arial" w:hAnsi="Arial" w:hint="default"/>
      </w:rPr>
    </w:lvl>
    <w:lvl w:ilvl="1" w:tplc="61A0C890" w:tentative="1">
      <w:start w:val="1"/>
      <w:numFmt w:val="bullet"/>
      <w:lvlText w:val="•"/>
      <w:lvlJc w:val="left"/>
      <w:pPr>
        <w:tabs>
          <w:tab w:val="num" w:pos="1440"/>
        </w:tabs>
        <w:ind w:left="1440" w:hanging="360"/>
      </w:pPr>
      <w:rPr>
        <w:rFonts w:ascii="Arial" w:hAnsi="Arial" w:hint="default"/>
      </w:rPr>
    </w:lvl>
    <w:lvl w:ilvl="2" w:tplc="D4683366" w:tentative="1">
      <w:start w:val="1"/>
      <w:numFmt w:val="bullet"/>
      <w:lvlText w:val="•"/>
      <w:lvlJc w:val="left"/>
      <w:pPr>
        <w:tabs>
          <w:tab w:val="num" w:pos="2160"/>
        </w:tabs>
        <w:ind w:left="2160" w:hanging="360"/>
      </w:pPr>
      <w:rPr>
        <w:rFonts w:ascii="Arial" w:hAnsi="Arial" w:hint="default"/>
      </w:rPr>
    </w:lvl>
    <w:lvl w:ilvl="3" w:tplc="203CFDEC" w:tentative="1">
      <w:start w:val="1"/>
      <w:numFmt w:val="bullet"/>
      <w:lvlText w:val="•"/>
      <w:lvlJc w:val="left"/>
      <w:pPr>
        <w:tabs>
          <w:tab w:val="num" w:pos="2880"/>
        </w:tabs>
        <w:ind w:left="2880" w:hanging="360"/>
      </w:pPr>
      <w:rPr>
        <w:rFonts w:ascii="Arial" w:hAnsi="Arial" w:hint="default"/>
      </w:rPr>
    </w:lvl>
    <w:lvl w:ilvl="4" w:tplc="D6982BB2" w:tentative="1">
      <w:start w:val="1"/>
      <w:numFmt w:val="bullet"/>
      <w:lvlText w:val="•"/>
      <w:lvlJc w:val="left"/>
      <w:pPr>
        <w:tabs>
          <w:tab w:val="num" w:pos="3600"/>
        </w:tabs>
        <w:ind w:left="3600" w:hanging="360"/>
      </w:pPr>
      <w:rPr>
        <w:rFonts w:ascii="Arial" w:hAnsi="Arial" w:hint="default"/>
      </w:rPr>
    </w:lvl>
    <w:lvl w:ilvl="5" w:tplc="BB52C368" w:tentative="1">
      <w:start w:val="1"/>
      <w:numFmt w:val="bullet"/>
      <w:lvlText w:val="•"/>
      <w:lvlJc w:val="left"/>
      <w:pPr>
        <w:tabs>
          <w:tab w:val="num" w:pos="4320"/>
        </w:tabs>
        <w:ind w:left="4320" w:hanging="360"/>
      </w:pPr>
      <w:rPr>
        <w:rFonts w:ascii="Arial" w:hAnsi="Arial" w:hint="default"/>
      </w:rPr>
    </w:lvl>
    <w:lvl w:ilvl="6" w:tplc="06EE1B98" w:tentative="1">
      <w:start w:val="1"/>
      <w:numFmt w:val="bullet"/>
      <w:lvlText w:val="•"/>
      <w:lvlJc w:val="left"/>
      <w:pPr>
        <w:tabs>
          <w:tab w:val="num" w:pos="5040"/>
        </w:tabs>
        <w:ind w:left="5040" w:hanging="360"/>
      </w:pPr>
      <w:rPr>
        <w:rFonts w:ascii="Arial" w:hAnsi="Arial" w:hint="default"/>
      </w:rPr>
    </w:lvl>
    <w:lvl w:ilvl="7" w:tplc="17044534" w:tentative="1">
      <w:start w:val="1"/>
      <w:numFmt w:val="bullet"/>
      <w:lvlText w:val="•"/>
      <w:lvlJc w:val="left"/>
      <w:pPr>
        <w:tabs>
          <w:tab w:val="num" w:pos="5760"/>
        </w:tabs>
        <w:ind w:left="5760" w:hanging="360"/>
      </w:pPr>
      <w:rPr>
        <w:rFonts w:ascii="Arial" w:hAnsi="Arial" w:hint="default"/>
      </w:rPr>
    </w:lvl>
    <w:lvl w:ilvl="8" w:tplc="26DE8DA6" w:tentative="1">
      <w:start w:val="1"/>
      <w:numFmt w:val="bullet"/>
      <w:lvlText w:val="•"/>
      <w:lvlJc w:val="left"/>
      <w:pPr>
        <w:tabs>
          <w:tab w:val="num" w:pos="6480"/>
        </w:tabs>
        <w:ind w:left="6480" w:hanging="360"/>
      </w:pPr>
      <w:rPr>
        <w:rFonts w:ascii="Arial" w:hAnsi="Arial" w:hint="default"/>
      </w:rPr>
    </w:lvl>
  </w:abstractNum>
  <w:abstractNum w:abstractNumId="1">
    <w:nsid w:val="2A5E1D86"/>
    <w:multiLevelType w:val="hybridMultilevel"/>
    <w:tmpl w:val="A83EF97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nsid w:val="581F53BC"/>
    <w:multiLevelType w:val="hybridMultilevel"/>
    <w:tmpl w:val="1A406E9C"/>
    <w:lvl w:ilvl="0" w:tplc="ADF63502">
      <w:start w:val="1"/>
      <w:numFmt w:val="bullet"/>
      <w:lvlText w:val="•"/>
      <w:lvlJc w:val="left"/>
      <w:pPr>
        <w:tabs>
          <w:tab w:val="num" w:pos="720"/>
        </w:tabs>
        <w:ind w:left="720" w:hanging="360"/>
      </w:pPr>
      <w:rPr>
        <w:rFonts w:ascii="Arial" w:hAnsi="Arial" w:hint="default"/>
      </w:rPr>
    </w:lvl>
    <w:lvl w:ilvl="1" w:tplc="F9BEB688" w:tentative="1">
      <w:start w:val="1"/>
      <w:numFmt w:val="bullet"/>
      <w:lvlText w:val="•"/>
      <w:lvlJc w:val="left"/>
      <w:pPr>
        <w:tabs>
          <w:tab w:val="num" w:pos="1440"/>
        </w:tabs>
        <w:ind w:left="1440" w:hanging="360"/>
      </w:pPr>
      <w:rPr>
        <w:rFonts w:ascii="Arial" w:hAnsi="Arial" w:hint="default"/>
      </w:rPr>
    </w:lvl>
    <w:lvl w:ilvl="2" w:tplc="ED2C4D6C" w:tentative="1">
      <w:start w:val="1"/>
      <w:numFmt w:val="bullet"/>
      <w:lvlText w:val="•"/>
      <w:lvlJc w:val="left"/>
      <w:pPr>
        <w:tabs>
          <w:tab w:val="num" w:pos="2160"/>
        </w:tabs>
        <w:ind w:left="2160" w:hanging="360"/>
      </w:pPr>
      <w:rPr>
        <w:rFonts w:ascii="Arial" w:hAnsi="Arial" w:hint="default"/>
      </w:rPr>
    </w:lvl>
    <w:lvl w:ilvl="3" w:tplc="8BE8E4D4" w:tentative="1">
      <w:start w:val="1"/>
      <w:numFmt w:val="bullet"/>
      <w:lvlText w:val="•"/>
      <w:lvlJc w:val="left"/>
      <w:pPr>
        <w:tabs>
          <w:tab w:val="num" w:pos="2880"/>
        </w:tabs>
        <w:ind w:left="2880" w:hanging="360"/>
      </w:pPr>
      <w:rPr>
        <w:rFonts w:ascii="Arial" w:hAnsi="Arial" w:hint="default"/>
      </w:rPr>
    </w:lvl>
    <w:lvl w:ilvl="4" w:tplc="19286CD2" w:tentative="1">
      <w:start w:val="1"/>
      <w:numFmt w:val="bullet"/>
      <w:lvlText w:val="•"/>
      <w:lvlJc w:val="left"/>
      <w:pPr>
        <w:tabs>
          <w:tab w:val="num" w:pos="3600"/>
        </w:tabs>
        <w:ind w:left="3600" w:hanging="360"/>
      </w:pPr>
      <w:rPr>
        <w:rFonts w:ascii="Arial" w:hAnsi="Arial" w:hint="default"/>
      </w:rPr>
    </w:lvl>
    <w:lvl w:ilvl="5" w:tplc="28D4D59C" w:tentative="1">
      <w:start w:val="1"/>
      <w:numFmt w:val="bullet"/>
      <w:lvlText w:val="•"/>
      <w:lvlJc w:val="left"/>
      <w:pPr>
        <w:tabs>
          <w:tab w:val="num" w:pos="4320"/>
        </w:tabs>
        <w:ind w:left="4320" w:hanging="360"/>
      </w:pPr>
      <w:rPr>
        <w:rFonts w:ascii="Arial" w:hAnsi="Arial" w:hint="default"/>
      </w:rPr>
    </w:lvl>
    <w:lvl w:ilvl="6" w:tplc="42C4C080" w:tentative="1">
      <w:start w:val="1"/>
      <w:numFmt w:val="bullet"/>
      <w:lvlText w:val="•"/>
      <w:lvlJc w:val="left"/>
      <w:pPr>
        <w:tabs>
          <w:tab w:val="num" w:pos="5040"/>
        </w:tabs>
        <w:ind w:left="5040" w:hanging="360"/>
      </w:pPr>
      <w:rPr>
        <w:rFonts w:ascii="Arial" w:hAnsi="Arial" w:hint="default"/>
      </w:rPr>
    </w:lvl>
    <w:lvl w:ilvl="7" w:tplc="622EE586" w:tentative="1">
      <w:start w:val="1"/>
      <w:numFmt w:val="bullet"/>
      <w:lvlText w:val="•"/>
      <w:lvlJc w:val="left"/>
      <w:pPr>
        <w:tabs>
          <w:tab w:val="num" w:pos="5760"/>
        </w:tabs>
        <w:ind w:left="5760" w:hanging="360"/>
      </w:pPr>
      <w:rPr>
        <w:rFonts w:ascii="Arial" w:hAnsi="Arial" w:hint="default"/>
      </w:rPr>
    </w:lvl>
    <w:lvl w:ilvl="8" w:tplc="0978A450" w:tentative="1">
      <w:start w:val="1"/>
      <w:numFmt w:val="bullet"/>
      <w:lvlText w:val="•"/>
      <w:lvlJc w:val="left"/>
      <w:pPr>
        <w:tabs>
          <w:tab w:val="num" w:pos="6480"/>
        </w:tabs>
        <w:ind w:left="6480" w:hanging="360"/>
      </w:pPr>
      <w:rPr>
        <w:rFonts w:ascii="Arial" w:hAnsi="Arial" w:hint="default"/>
      </w:rPr>
    </w:lvl>
  </w:abstractNum>
  <w:abstractNum w:abstractNumId="3">
    <w:nsid w:val="68D91C37"/>
    <w:multiLevelType w:val="hybridMultilevel"/>
    <w:tmpl w:val="56348168"/>
    <w:lvl w:ilvl="0" w:tplc="E7AA0572">
      <w:start w:val="1"/>
      <w:numFmt w:val="bullet"/>
      <w:lvlText w:val="•"/>
      <w:lvlJc w:val="left"/>
      <w:pPr>
        <w:tabs>
          <w:tab w:val="num" w:pos="720"/>
        </w:tabs>
        <w:ind w:left="720" w:hanging="360"/>
      </w:pPr>
      <w:rPr>
        <w:rFonts w:ascii="Arial" w:hAnsi="Arial" w:hint="default"/>
      </w:rPr>
    </w:lvl>
    <w:lvl w:ilvl="1" w:tplc="257A051C" w:tentative="1">
      <w:start w:val="1"/>
      <w:numFmt w:val="bullet"/>
      <w:lvlText w:val="•"/>
      <w:lvlJc w:val="left"/>
      <w:pPr>
        <w:tabs>
          <w:tab w:val="num" w:pos="1440"/>
        </w:tabs>
        <w:ind w:left="1440" w:hanging="360"/>
      </w:pPr>
      <w:rPr>
        <w:rFonts w:ascii="Arial" w:hAnsi="Arial" w:hint="default"/>
      </w:rPr>
    </w:lvl>
    <w:lvl w:ilvl="2" w:tplc="7EF4D190" w:tentative="1">
      <w:start w:val="1"/>
      <w:numFmt w:val="bullet"/>
      <w:lvlText w:val="•"/>
      <w:lvlJc w:val="left"/>
      <w:pPr>
        <w:tabs>
          <w:tab w:val="num" w:pos="2160"/>
        </w:tabs>
        <w:ind w:left="2160" w:hanging="360"/>
      </w:pPr>
      <w:rPr>
        <w:rFonts w:ascii="Arial" w:hAnsi="Arial" w:hint="default"/>
      </w:rPr>
    </w:lvl>
    <w:lvl w:ilvl="3" w:tplc="408A3D30" w:tentative="1">
      <w:start w:val="1"/>
      <w:numFmt w:val="bullet"/>
      <w:lvlText w:val="•"/>
      <w:lvlJc w:val="left"/>
      <w:pPr>
        <w:tabs>
          <w:tab w:val="num" w:pos="2880"/>
        </w:tabs>
        <w:ind w:left="2880" w:hanging="360"/>
      </w:pPr>
      <w:rPr>
        <w:rFonts w:ascii="Arial" w:hAnsi="Arial" w:hint="default"/>
      </w:rPr>
    </w:lvl>
    <w:lvl w:ilvl="4" w:tplc="C0FE7EB8" w:tentative="1">
      <w:start w:val="1"/>
      <w:numFmt w:val="bullet"/>
      <w:lvlText w:val="•"/>
      <w:lvlJc w:val="left"/>
      <w:pPr>
        <w:tabs>
          <w:tab w:val="num" w:pos="3600"/>
        </w:tabs>
        <w:ind w:left="3600" w:hanging="360"/>
      </w:pPr>
      <w:rPr>
        <w:rFonts w:ascii="Arial" w:hAnsi="Arial" w:hint="default"/>
      </w:rPr>
    </w:lvl>
    <w:lvl w:ilvl="5" w:tplc="F1562FDC" w:tentative="1">
      <w:start w:val="1"/>
      <w:numFmt w:val="bullet"/>
      <w:lvlText w:val="•"/>
      <w:lvlJc w:val="left"/>
      <w:pPr>
        <w:tabs>
          <w:tab w:val="num" w:pos="4320"/>
        </w:tabs>
        <w:ind w:left="4320" w:hanging="360"/>
      </w:pPr>
      <w:rPr>
        <w:rFonts w:ascii="Arial" w:hAnsi="Arial" w:hint="default"/>
      </w:rPr>
    </w:lvl>
    <w:lvl w:ilvl="6" w:tplc="94341CFE" w:tentative="1">
      <w:start w:val="1"/>
      <w:numFmt w:val="bullet"/>
      <w:lvlText w:val="•"/>
      <w:lvlJc w:val="left"/>
      <w:pPr>
        <w:tabs>
          <w:tab w:val="num" w:pos="5040"/>
        </w:tabs>
        <w:ind w:left="5040" w:hanging="360"/>
      </w:pPr>
      <w:rPr>
        <w:rFonts w:ascii="Arial" w:hAnsi="Arial" w:hint="default"/>
      </w:rPr>
    </w:lvl>
    <w:lvl w:ilvl="7" w:tplc="95BE363A" w:tentative="1">
      <w:start w:val="1"/>
      <w:numFmt w:val="bullet"/>
      <w:lvlText w:val="•"/>
      <w:lvlJc w:val="left"/>
      <w:pPr>
        <w:tabs>
          <w:tab w:val="num" w:pos="5760"/>
        </w:tabs>
        <w:ind w:left="5760" w:hanging="360"/>
      </w:pPr>
      <w:rPr>
        <w:rFonts w:ascii="Arial" w:hAnsi="Arial" w:hint="default"/>
      </w:rPr>
    </w:lvl>
    <w:lvl w:ilvl="8" w:tplc="D0BEC5C2" w:tentative="1">
      <w:start w:val="1"/>
      <w:numFmt w:val="bullet"/>
      <w:lvlText w:val="•"/>
      <w:lvlJc w:val="left"/>
      <w:pPr>
        <w:tabs>
          <w:tab w:val="num" w:pos="6480"/>
        </w:tabs>
        <w:ind w:left="6480" w:hanging="360"/>
      </w:pPr>
      <w:rPr>
        <w:rFonts w:ascii="Arial" w:hAnsi="Arial" w:hint="default"/>
      </w:rPr>
    </w:lvl>
  </w:abstractNum>
  <w:abstractNum w:abstractNumId="4">
    <w:nsid w:val="7E2532FD"/>
    <w:multiLevelType w:val="hybridMultilevel"/>
    <w:tmpl w:val="B11E7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C12"/>
    <w:rsid w:val="000118A8"/>
    <w:rsid w:val="00056270"/>
    <w:rsid w:val="00072753"/>
    <w:rsid w:val="000812DC"/>
    <w:rsid w:val="000C650B"/>
    <w:rsid w:val="000F60A7"/>
    <w:rsid w:val="0011273B"/>
    <w:rsid w:val="00146A1B"/>
    <w:rsid w:val="00147451"/>
    <w:rsid w:val="00166DCD"/>
    <w:rsid w:val="001E58BB"/>
    <w:rsid w:val="00220444"/>
    <w:rsid w:val="002569BF"/>
    <w:rsid w:val="002E6740"/>
    <w:rsid w:val="002E7E35"/>
    <w:rsid w:val="002F121F"/>
    <w:rsid w:val="002F5CBA"/>
    <w:rsid w:val="00301602"/>
    <w:rsid w:val="00347843"/>
    <w:rsid w:val="003611B7"/>
    <w:rsid w:val="003A56C6"/>
    <w:rsid w:val="003B3E2A"/>
    <w:rsid w:val="0044303F"/>
    <w:rsid w:val="00495FF2"/>
    <w:rsid w:val="004B35DE"/>
    <w:rsid w:val="004B4383"/>
    <w:rsid w:val="004D4C12"/>
    <w:rsid w:val="005026D1"/>
    <w:rsid w:val="00503D46"/>
    <w:rsid w:val="00527500"/>
    <w:rsid w:val="00535897"/>
    <w:rsid w:val="005526A1"/>
    <w:rsid w:val="00553269"/>
    <w:rsid w:val="00561B2F"/>
    <w:rsid w:val="00584238"/>
    <w:rsid w:val="00587F68"/>
    <w:rsid w:val="0059570B"/>
    <w:rsid w:val="005F63A9"/>
    <w:rsid w:val="006100B5"/>
    <w:rsid w:val="00625E4B"/>
    <w:rsid w:val="00634185"/>
    <w:rsid w:val="00646CE3"/>
    <w:rsid w:val="00663C6B"/>
    <w:rsid w:val="006B0EC9"/>
    <w:rsid w:val="0070200A"/>
    <w:rsid w:val="007516A3"/>
    <w:rsid w:val="00767514"/>
    <w:rsid w:val="007B29A1"/>
    <w:rsid w:val="007C4285"/>
    <w:rsid w:val="007C7314"/>
    <w:rsid w:val="007D0AF0"/>
    <w:rsid w:val="007D6351"/>
    <w:rsid w:val="007F4A74"/>
    <w:rsid w:val="00825A9B"/>
    <w:rsid w:val="0084344C"/>
    <w:rsid w:val="008571FE"/>
    <w:rsid w:val="00890A94"/>
    <w:rsid w:val="008C345B"/>
    <w:rsid w:val="008F2D58"/>
    <w:rsid w:val="008F6438"/>
    <w:rsid w:val="009C2FD9"/>
    <w:rsid w:val="009D3566"/>
    <w:rsid w:val="009E078A"/>
    <w:rsid w:val="009F24F1"/>
    <w:rsid w:val="00A015A9"/>
    <w:rsid w:val="00A11FD0"/>
    <w:rsid w:val="00A30FCA"/>
    <w:rsid w:val="00A36343"/>
    <w:rsid w:val="00A64983"/>
    <w:rsid w:val="00AB2B4B"/>
    <w:rsid w:val="00AB5398"/>
    <w:rsid w:val="00AC4FF1"/>
    <w:rsid w:val="00AD5C36"/>
    <w:rsid w:val="00AE2198"/>
    <w:rsid w:val="00B34398"/>
    <w:rsid w:val="00BE1189"/>
    <w:rsid w:val="00C14F7F"/>
    <w:rsid w:val="00D00805"/>
    <w:rsid w:val="00D76D2B"/>
    <w:rsid w:val="00DB3F97"/>
    <w:rsid w:val="00E267B5"/>
    <w:rsid w:val="00E42913"/>
    <w:rsid w:val="00EB40C9"/>
    <w:rsid w:val="00EC515D"/>
    <w:rsid w:val="00EC5189"/>
    <w:rsid w:val="00ED0485"/>
    <w:rsid w:val="00F26140"/>
    <w:rsid w:val="00F92288"/>
    <w:rsid w:val="00FD0DD7"/>
    <w:rsid w:val="00FD30E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AB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C6B"/>
    <w:pPr>
      <w:ind w:left="720"/>
      <w:contextualSpacing/>
    </w:pPr>
  </w:style>
  <w:style w:type="character" w:styleId="Hyperlink">
    <w:name w:val="Hyperlink"/>
    <w:basedOn w:val="DefaultParagraphFont"/>
    <w:uiPriority w:val="99"/>
    <w:unhideWhenUsed/>
    <w:rsid w:val="00584238"/>
    <w:rPr>
      <w:color w:val="0000FF" w:themeColor="hyperlink"/>
      <w:u w:val="single"/>
    </w:rPr>
  </w:style>
  <w:style w:type="paragraph" w:styleId="Footer">
    <w:name w:val="footer"/>
    <w:basedOn w:val="Normal"/>
    <w:link w:val="FooterChar"/>
    <w:uiPriority w:val="99"/>
    <w:unhideWhenUsed/>
    <w:rsid w:val="002E7E35"/>
    <w:pPr>
      <w:tabs>
        <w:tab w:val="center" w:pos="4320"/>
        <w:tab w:val="right" w:pos="8640"/>
      </w:tabs>
    </w:pPr>
  </w:style>
  <w:style w:type="character" w:customStyle="1" w:styleId="FooterChar">
    <w:name w:val="Footer Char"/>
    <w:basedOn w:val="DefaultParagraphFont"/>
    <w:link w:val="Footer"/>
    <w:uiPriority w:val="99"/>
    <w:rsid w:val="002E7E35"/>
  </w:style>
  <w:style w:type="character" w:styleId="PageNumber">
    <w:name w:val="page number"/>
    <w:basedOn w:val="DefaultParagraphFont"/>
    <w:uiPriority w:val="99"/>
    <w:semiHidden/>
    <w:unhideWhenUsed/>
    <w:rsid w:val="002E7E35"/>
  </w:style>
  <w:style w:type="table" w:styleId="TableGrid">
    <w:name w:val="Table Grid"/>
    <w:basedOn w:val="TableNormal"/>
    <w:uiPriority w:val="59"/>
    <w:rsid w:val="00A363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C6B"/>
    <w:pPr>
      <w:ind w:left="720"/>
      <w:contextualSpacing/>
    </w:pPr>
  </w:style>
  <w:style w:type="character" w:styleId="Hyperlink">
    <w:name w:val="Hyperlink"/>
    <w:basedOn w:val="DefaultParagraphFont"/>
    <w:uiPriority w:val="99"/>
    <w:unhideWhenUsed/>
    <w:rsid w:val="00584238"/>
    <w:rPr>
      <w:color w:val="0000FF" w:themeColor="hyperlink"/>
      <w:u w:val="single"/>
    </w:rPr>
  </w:style>
  <w:style w:type="paragraph" w:styleId="Footer">
    <w:name w:val="footer"/>
    <w:basedOn w:val="Normal"/>
    <w:link w:val="FooterChar"/>
    <w:uiPriority w:val="99"/>
    <w:unhideWhenUsed/>
    <w:rsid w:val="002E7E35"/>
    <w:pPr>
      <w:tabs>
        <w:tab w:val="center" w:pos="4320"/>
        <w:tab w:val="right" w:pos="8640"/>
      </w:tabs>
    </w:pPr>
  </w:style>
  <w:style w:type="character" w:customStyle="1" w:styleId="FooterChar">
    <w:name w:val="Footer Char"/>
    <w:basedOn w:val="DefaultParagraphFont"/>
    <w:link w:val="Footer"/>
    <w:uiPriority w:val="99"/>
    <w:rsid w:val="002E7E35"/>
  </w:style>
  <w:style w:type="character" w:styleId="PageNumber">
    <w:name w:val="page number"/>
    <w:basedOn w:val="DefaultParagraphFont"/>
    <w:uiPriority w:val="99"/>
    <w:semiHidden/>
    <w:unhideWhenUsed/>
    <w:rsid w:val="002E7E35"/>
  </w:style>
  <w:style w:type="table" w:styleId="TableGrid">
    <w:name w:val="Table Grid"/>
    <w:basedOn w:val="TableNormal"/>
    <w:uiPriority w:val="59"/>
    <w:rsid w:val="00A363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02107">
      <w:bodyDiv w:val="1"/>
      <w:marLeft w:val="0"/>
      <w:marRight w:val="0"/>
      <w:marTop w:val="0"/>
      <w:marBottom w:val="0"/>
      <w:divBdr>
        <w:top w:val="none" w:sz="0" w:space="0" w:color="auto"/>
        <w:left w:val="none" w:sz="0" w:space="0" w:color="auto"/>
        <w:bottom w:val="none" w:sz="0" w:space="0" w:color="auto"/>
        <w:right w:val="none" w:sz="0" w:space="0" w:color="auto"/>
      </w:divBdr>
      <w:divsChild>
        <w:div w:id="651444595">
          <w:marLeft w:val="547"/>
          <w:marRight w:val="0"/>
          <w:marTop w:val="96"/>
          <w:marBottom w:val="0"/>
          <w:divBdr>
            <w:top w:val="none" w:sz="0" w:space="0" w:color="auto"/>
            <w:left w:val="none" w:sz="0" w:space="0" w:color="auto"/>
            <w:bottom w:val="none" w:sz="0" w:space="0" w:color="auto"/>
            <w:right w:val="none" w:sz="0" w:space="0" w:color="auto"/>
          </w:divBdr>
        </w:div>
        <w:div w:id="794182537">
          <w:marLeft w:val="547"/>
          <w:marRight w:val="0"/>
          <w:marTop w:val="96"/>
          <w:marBottom w:val="0"/>
          <w:divBdr>
            <w:top w:val="none" w:sz="0" w:space="0" w:color="auto"/>
            <w:left w:val="none" w:sz="0" w:space="0" w:color="auto"/>
            <w:bottom w:val="none" w:sz="0" w:space="0" w:color="auto"/>
            <w:right w:val="none" w:sz="0" w:space="0" w:color="auto"/>
          </w:divBdr>
        </w:div>
        <w:div w:id="247035022">
          <w:marLeft w:val="547"/>
          <w:marRight w:val="0"/>
          <w:marTop w:val="96"/>
          <w:marBottom w:val="0"/>
          <w:divBdr>
            <w:top w:val="none" w:sz="0" w:space="0" w:color="auto"/>
            <w:left w:val="none" w:sz="0" w:space="0" w:color="auto"/>
            <w:bottom w:val="none" w:sz="0" w:space="0" w:color="auto"/>
            <w:right w:val="none" w:sz="0" w:space="0" w:color="auto"/>
          </w:divBdr>
        </w:div>
        <w:div w:id="1185754319">
          <w:marLeft w:val="547"/>
          <w:marRight w:val="0"/>
          <w:marTop w:val="96"/>
          <w:marBottom w:val="0"/>
          <w:divBdr>
            <w:top w:val="none" w:sz="0" w:space="0" w:color="auto"/>
            <w:left w:val="none" w:sz="0" w:space="0" w:color="auto"/>
            <w:bottom w:val="none" w:sz="0" w:space="0" w:color="auto"/>
            <w:right w:val="none" w:sz="0" w:space="0" w:color="auto"/>
          </w:divBdr>
        </w:div>
      </w:divsChild>
    </w:div>
    <w:div w:id="163784984">
      <w:bodyDiv w:val="1"/>
      <w:marLeft w:val="0"/>
      <w:marRight w:val="0"/>
      <w:marTop w:val="0"/>
      <w:marBottom w:val="0"/>
      <w:divBdr>
        <w:top w:val="none" w:sz="0" w:space="0" w:color="auto"/>
        <w:left w:val="none" w:sz="0" w:space="0" w:color="auto"/>
        <w:bottom w:val="none" w:sz="0" w:space="0" w:color="auto"/>
        <w:right w:val="none" w:sz="0" w:space="0" w:color="auto"/>
      </w:divBdr>
    </w:div>
    <w:div w:id="169762473">
      <w:bodyDiv w:val="1"/>
      <w:marLeft w:val="0"/>
      <w:marRight w:val="0"/>
      <w:marTop w:val="0"/>
      <w:marBottom w:val="0"/>
      <w:divBdr>
        <w:top w:val="none" w:sz="0" w:space="0" w:color="auto"/>
        <w:left w:val="none" w:sz="0" w:space="0" w:color="auto"/>
        <w:bottom w:val="none" w:sz="0" w:space="0" w:color="auto"/>
        <w:right w:val="none" w:sz="0" w:space="0" w:color="auto"/>
      </w:divBdr>
    </w:div>
    <w:div w:id="262349432">
      <w:bodyDiv w:val="1"/>
      <w:marLeft w:val="0"/>
      <w:marRight w:val="0"/>
      <w:marTop w:val="0"/>
      <w:marBottom w:val="0"/>
      <w:divBdr>
        <w:top w:val="none" w:sz="0" w:space="0" w:color="auto"/>
        <w:left w:val="none" w:sz="0" w:space="0" w:color="auto"/>
        <w:bottom w:val="none" w:sz="0" w:space="0" w:color="auto"/>
        <w:right w:val="none" w:sz="0" w:space="0" w:color="auto"/>
      </w:divBdr>
    </w:div>
    <w:div w:id="731661432">
      <w:bodyDiv w:val="1"/>
      <w:marLeft w:val="0"/>
      <w:marRight w:val="0"/>
      <w:marTop w:val="0"/>
      <w:marBottom w:val="0"/>
      <w:divBdr>
        <w:top w:val="none" w:sz="0" w:space="0" w:color="auto"/>
        <w:left w:val="none" w:sz="0" w:space="0" w:color="auto"/>
        <w:bottom w:val="none" w:sz="0" w:space="0" w:color="auto"/>
        <w:right w:val="none" w:sz="0" w:space="0" w:color="auto"/>
      </w:divBdr>
      <w:divsChild>
        <w:div w:id="1448086780">
          <w:marLeft w:val="547"/>
          <w:marRight w:val="0"/>
          <w:marTop w:val="0"/>
          <w:marBottom w:val="240"/>
          <w:divBdr>
            <w:top w:val="none" w:sz="0" w:space="0" w:color="auto"/>
            <w:left w:val="none" w:sz="0" w:space="0" w:color="auto"/>
            <w:bottom w:val="none" w:sz="0" w:space="0" w:color="auto"/>
            <w:right w:val="none" w:sz="0" w:space="0" w:color="auto"/>
          </w:divBdr>
        </w:div>
        <w:div w:id="909659649">
          <w:marLeft w:val="547"/>
          <w:marRight w:val="0"/>
          <w:marTop w:val="0"/>
          <w:marBottom w:val="240"/>
          <w:divBdr>
            <w:top w:val="none" w:sz="0" w:space="0" w:color="auto"/>
            <w:left w:val="none" w:sz="0" w:space="0" w:color="auto"/>
            <w:bottom w:val="none" w:sz="0" w:space="0" w:color="auto"/>
            <w:right w:val="none" w:sz="0" w:space="0" w:color="auto"/>
          </w:divBdr>
        </w:div>
      </w:divsChild>
    </w:div>
    <w:div w:id="755636189">
      <w:bodyDiv w:val="1"/>
      <w:marLeft w:val="0"/>
      <w:marRight w:val="0"/>
      <w:marTop w:val="0"/>
      <w:marBottom w:val="0"/>
      <w:divBdr>
        <w:top w:val="none" w:sz="0" w:space="0" w:color="auto"/>
        <w:left w:val="none" w:sz="0" w:space="0" w:color="auto"/>
        <w:bottom w:val="none" w:sz="0" w:space="0" w:color="auto"/>
        <w:right w:val="none" w:sz="0" w:space="0" w:color="auto"/>
      </w:divBdr>
    </w:div>
    <w:div w:id="860776064">
      <w:bodyDiv w:val="1"/>
      <w:marLeft w:val="0"/>
      <w:marRight w:val="0"/>
      <w:marTop w:val="0"/>
      <w:marBottom w:val="0"/>
      <w:divBdr>
        <w:top w:val="none" w:sz="0" w:space="0" w:color="auto"/>
        <w:left w:val="none" w:sz="0" w:space="0" w:color="auto"/>
        <w:bottom w:val="none" w:sz="0" w:space="0" w:color="auto"/>
        <w:right w:val="none" w:sz="0" w:space="0" w:color="auto"/>
      </w:divBdr>
      <w:divsChild>
        <w:div w:id="64035029">
          <w:marLeft w:val="547"/>
          <w:marRight w:val="0"/>
          <w:marTop w:val="96"/>
          <w:marBottom w:val="0"/>
          <w:divBdr>
            <w:top w:val="none" w:sz="0" w:space="0" w:color="auto"/>
            <w:left w:val="none" w:sz="0" w:space="0" w:color="auto"/>
            <w:bottom w:val="none" w:sz="0" w:space="0" w:color="auto"/>
            <w:right w:val="none" w:sz="0" w:space="0" w:color="auto"/>
          </w:divBdr>
        </w:div>
      </w:divsChild>
    </w:div>
    <w:div w:id="1030226101">
      <w:bodyDiv w:val="1"/>
      <w:marLeft w:val="0"/>
      <w:marRight w:val="0"/>
      <w:marTop w:val="0"/>
      <w:marBottom w:val="0"/>
      <w:divBdr>
        <w:top w:val="none" w:sz="0" w:space="0" w:color="auto"/>
        <w:left w:val="none" w:sz="0" w:space="0" w:color="auto"/>
        <w:bottom w:val="none" w:sz="0" w:space="0" w:color="auto"/>
        <w:right w:val="none" w:sz="0" w:space="0" w:color="auto"/>
      </w:divBdr>
    </w:div>
    <w:div w:id="1427652658">
      <w:bodyDiv w:val="1"/>
      <w:marLeft w:val="0"/>
      <w:marRight w:val="0"/>
      <w:marTop w:val="0"/>
      <w:marBottom w:val="0"/>
      <w:divBdr>
        <w:top w:val="none" w:sz="0" w:space="0" w:color="auto"/>
        <w:left w:val="none" w:sz="0" w:space="0" w:color="auto"/>
        <w:bottom w:val="none" w:sz="0" w:space="0" w:color="auto"/>
        <w:right w:val="none" w:sz="0" w:space="0" w:color="auto"/>
      </w:divBdr>
    </w:div>
    <w:div w:id="17732394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10</Pages>
  <Words>3075</Words>
  <Characters>16765</Characters>
  <Application>Microsoft Macintosh Word</Application>
  <DocSecurity>0</DocSecurity>
  <Lines>620</Lines>
  <Paragraphs>283</Paragraphs>
  <ScaleCrop>false</ScaleCrop>
  <HeadingPairs>
    <vt:vector size="2" baseType="variant">
      <vt:variant>
        <vt:lpstr>Title</vt:lpstr>
      </vt:variant>
      <vt:variant>
        <vt:i4>1</vt:i4>
      </vt:variant>
    </vt:vector>
  </HeadingPairs>
  <TitlesOfParts>
    <vt:vector size="1" baseType="lpstr">
      <vt:lpstr/>
    </vt:vector>
  </TitlesOfParts>
  <Manager/>
  <Company>NetChoice</Company>
  <LinksUpToDate>false</LinksUpToDate>
  <CharactersWithSpaces>19557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DelBianco</dc:creator>
  <cp:keywords/>
  <dc:description/>
  <cp:lastModifiedBy>Steve DelBianco</cp:lastModifiedBy>
  <cp:revision>7</cp:revision>
  <cp:lastPrinted>2012-02-05T16:47:00Z</cp:lastPrinted>
  <dcterms:created xsi:type="dcterms:W3CDTF">2012-02-02T18:53:00Z</dcterms:created>
  <dcterms:modified xsi:type="dcterms:W3CDTF">2012-02-05T16:54:00Z</dcterms:modified>
  <cp:category/>
</cp:coreProperties>
</file>