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68" w:rsidRPr="004F2A5C" w:rsidRDefault="004F2A5C">
      <w:pPr>
        <w:rPr>
          <w:rFonts w:asciiTheme="majorHAnsi" w:hAnsiTheme="majorHAnsi"/>
          <w:b/>
          <w:sz w:val="22"/>
          <w:szCs w:val="22"/>
        </w:rPr>
      </w:pPr>
      <w:r w:rsidRPr="004F2A5C">
        <w:rPr>
          <w:rFonts w:asciiTheme="majorHAnsi" w:hAnsiTheme="majorHAnsi"/>
          <w:b/>
          <w:sz w:val="22"/>
          <w:szCs w:val="22"/>
        </w:rPr>
        <w:t xml:space="preserve">ICANN Business Constituency (BC) Requested </w:t>
      </w:r>
      <w:r w:rsidR="00F0792C" w:rsidRPr="004F2A5C">
        <w:rPr>
          <w:rFonts w:asciiTheme="majorHAnsi" w:hAnsiTheme="majorHAnsi"/>
          <w:b/>
          <w:sz w:val="22"/>
          <w:szCs w:val="22"/>
        </w:rPr>
        <w:t>implementation</w:t>
      </w:r>
      <w:r w:rsidRPr="004F2A5C">
        <w:rPr>
          <w:rFonts w:asciiTheme="majorHAnsi" w:hAnsiTheme="majorHAnsi"/>
          <w:b/>
          <w:sz w:val="22"/>
          <w:szCs w:val="22"/>
        </w:rPr>
        <w:t xml:space="preserve"> </w:t>
      </w:r>
      <w:r>
        <w:rPr>
          <w:rFonts w:asciiTheme="majorHAnsi" w:hAnsiTheme="majorHAnsi"/>
          <w:b/>
          <w:sz w:val="22"/>
          <w:szCs w:val="22"/>
        </w:rPr>
        <w:t>improvements</w:t>
      </w:r>
      <w:r w:rsidRPr="004F2A5C">
        <w:rPr>
          <w:rFonts w:asciiTheme="majorHAnsi" w:hAnsiTheme="majorHAnsi"/>
          <w:b/>
          <w:sz w:val="22"/>
          <w:szCs w:val="22"/>
        </w:rPr>
        <w:t xml:space="preserve"> </w:t>
      </w:r>
      <w:r w:rsidR="00F0792C" w:rsidRPr="004F2A5C">
        <w:rPr>
          <w:rFonts w:asciiTheme="majorHAnsi" w:hAnsiTheme="majorHAnsi"/>
          <w:b/>
          <w:sz w:val="22"/>
          <w:szCs w:val="22"/>
        </w:rPr>
        <w:t>to ICANN’s gTLD expansion plan</w:t>
      </w:r>
      <w:r w:rsidR="00911849">
        <w:rPr>
          <w:rFonts w:asciiTheme="majorHAnsi" w:hAnsiTheme="majorHAnsi"/>
          <w:b/>
          <w:sz w:val="22"/>
          <w:szCs w:val="22"/>
        </w:rPr>
        <w:tab/>
      </w:r>
      <w:r w:rsidR="00911849">
        <w:rPr>
          <w:rFonts w:asciiTheme="majorHAnsi" w:hAnsiTheme="majorHAnsi"/>
          <w:b/>
          <w:sz w:val="22"/>
          <w:szCs w:val="22"/>
        </w:rPr>
        <w:tab/>
      </w:r>
      <w:r w:rsidR="00911849">
        <w:rPr>
          <w:rFonts w:asciiTheme="majorHAnsi" w:hAnsiTheme="majorHAnsi"/>
          <w:b/>
          <w:sz w:val="22"/>
          <w:szCs w:val="22"/>
        </w:rPr>
        <w:tab/>
        <w:t>2-Feb-2012</w:t>
      </w:r>
    </w:p>
    <w:p w:rsidR="002C44DD" w:rsidRPr="00F0792C" w:rsidRDefault="002C44DD">
      <w:pPr>
        <w:rPr>
          <w:rFonts w:asciiTheme="majorHAnsi" w:hAnsiTheme="majorHAnsi"/>
          <w:sz w:val="22"/>
          <w:szCs w:val="22"/>
        </w:rPr>
      </w:pPr>
    </w:p>
    <w:p w:rsidR="00BD6161" w:rsidRDefault="00BD6161">
      <w:pPr>
        <w:rPr>
          <w:rFonts w:asciiTheme="majorHAnsi" w:hAnsiTheme="majorHAnsi"/>
          <w:sz w:val="22"/>
          <w:szCs w:val="22"/>
        </w:rPr>
      </w:pPr>
      <w:r>
        <w:rPr>
          <w:rFonts w:asciiTheme="majorHAnsi" w:hAnsiTheme="majorHAnsi"/>
          <w:sz w:val="22"/>
          <w:szCs w:val="22"/>
        </w:rPr>
        <w:t xml:space="preserve">Section </w:t>
      </w:r>
      <w:r w:rsidR="004F2A5C">
        <w:rPr>
          <w:rFonts w:asciiTheme="majorHAnsi" w:hAnsiTheme="majorHAnsi"/>
          <w:sz w:val="22"/>
          <w:szCs w:val="22"/>
        </w:rPr>
        <w:t>1</w:t>
      </w:r>
      <w:r>
        <w:rPr>
          <w:rFonts w:asciiTheme="majorHAnsi" w:hAnsiTheme="majorHAnsi"/>
          <w:sz w:val="22"/>
          <w:szCs w:val="22"/>
        </w:rPr>
        <w:t xml:space="preserve">: Existing BC positions that are re-stated </w:t>
      </w:r>
      <w:r w:rsidR="002C44DD">
        <w:rPr>
          <w:rFonts w:asciiTheme="majorHAnsi" w:hAnsiTheme="majorHAnsi"/>
          <w:sz w:val="22"/>
          <w:szCs w:val="22"/>
        </w:rPr>
        <w:t>with background on supporting BC positions</w:t>
      </w:r>
      <w:r>
        <w:rPr>
          <w:rFonts w:asciiTheme="majorHAnsi" w:hAnsiTheme="majorHAnsi"/>
          <w:sz w:val="22"/>
          <w:szCs w:val="22"/>
        </w:rPr>
        <w:t xml:space="preserve">.  </w:t>
      </w:r>
    </w:p>
    <w:p w:rsidR="00BD6161" w:rsidRPr="004F2A5C" w:rsidRDefault="00BD6161">
      <w:pPr>
        <w:rPr>
          <w:rFonts w:asciiTheme="majorHAnsi" w:hAnsiTheme="majorHAnsi"/>
          <w:i/>
          <w:sz w:val="22"/>
          <w:szCs w:val="22"/>
        </w:rPr>
      </w:pPr>
      <w:r w:rsidRPr="004F2A5C">
        <w:rPr>
          <w:rFonts w:asciiTheme="majorHAnsi" w:hAnsiTheme="majorHAnsi"/>
          <w:i/>
          <w:sz w:val="22"/>
          <w:szCs w:val="22"/>
        </w:rPr>
        <w:t xml:space="preserve">Please indicate </w:t>
      </w:r>
      <w:r w:rsidR="004F2A5C">
        <w:rPr>
          <w:rFonts w:asciiTheme="majorHAnsi" w:hAnsiTheme="majorHAnsi"/>
          <w:i/>
          <w:sz w:val="22"/>
          <w:szCs w:val="22"/>
        </w:rPr>
        <w:t xml:space="preserve">below </w:t>
      </w:r>
      <w:r w:rsidRPr="004F2A5C">
        <w:rPr>
          <w:rFonts w:asciiTheme="majorHAnsi" w:hAnsiTheme="majorHAnsi"/>
          <w:i/>
          <w:sz w:val="22"/>
          <w:szCs w:val="22"/>
        </w:rPr>
        <w:t>any comments or suggestions regarding BC advocacy of these items.</w:t>
      </w:r>
    </w:p>
    <w:p w:rsidR="00BD6161" w:rsidRDefault="00BD6161">
      <w:pPr>
        <w:rPr>
          <w:rFonts w:asciiTheme="majorHAnsi" w:hAnsiTheme="majorHAnsi"/>
          <w:sz w:val="22"/>
          <w:szCs w:val="22"/>
        </w:rPr>
      </w:pPr>
    </w:p>
    <w:tbl>
      <w:tblPr>
        <w:tblStyle w:val="TableGrid"/>
        <w:tblW w:w="13320" w:type="dxa"/>
        <w:tblInd w:w="-252" w:type="dxa"/>
        <w:tblLayout w:type="fixed"/>
        <w:tblLook w:val="04A0" w:firstRow="1" w:lastRow="0" w:firstColumn="1" w:lastColumn="0" w:noHBand="0" w:noVBand="1"/>
      </w:tblPr>
      <w:tblGrid>
        <w:gridCol w:w="4230"/>
        <w:gridCol w:w="6210"/>
        <w:gridCol w:w="2880"/>
      </w:tblGrid>
      <w:tr w:rsidR="00BD6161" w:rsidRPr="00BD6161">
        <w:trPr>
          <w:tblHeader/>
        </w:trPr>
        <w:tc>
          <w:tcPr>
            <w:tcW w:w="423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Improvement Request</w:t>
            </w:r>
          </w:p>
        </w:tc>
        <w:tc>
          <w:tcPr>
            <w:tcW w:w="621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Established BC Position</w:t>
            </w:r>
          </w:p>
        </w:tc>
        <w:tc>
          <w:tcPr>
            <w:tcW w:w="2880" w:type="dxa"/>
            <w:vAlign w:val="center"/>
          </w:tcPr>
          <w:p w:rsidR="00BD6161" w:rsidRPr="00BD6161" w:rsidRDefault="004F2A5C" w:rsidP="00BD6161">
            <w:pPr>
              <w:spacing w:before="120" w:after="120"/>
              <w:rPr>
                <w:rFonts w:asciiTheme="majorHAnsi" w:hAnsiTheme="majorHAnsi"/>
                <w:b/>
                <w:sz w:val="20"/>
                <w:szCs w:val="22"/>
              </w:rPr>
            </w:pPr>
            <w:r>
              <w:rPr>
                <w:rFonts w:asciiTheme="majorHAnsi" w:hAnsiTheme="majorHAnsi"/>
                <w:b/>
                <w:sz w:val="20"/>
                <w:szCs w:val="22"/>
              </w:rPr>
              <w:t xml:space="preserve">BC Member </w:t>
            </w:r>
            <w:r w:rsidR="00BD6161" w:rsidRPr="00BD6161">
              <w:rPr>
                <w:rFonts w:asciiTheme="majorHAnsi" w:hAnsiTheme="majorHAnsi"/>
                <w:b/>
                <w:sz w:val="20"/>
                <w:szCs w:val="22"/>
              </w:rPr>
              <w:t>Comments</w:t>
            </w:r>
          </w:p>
        </w:tc>
      </w:tr>
      <w:tr w:rsidR="00BD6161" w:rsidRPr="00F0792C">
        <w:tc>
          <w:tcPr>
            <w:tcW w:w="4230" w:type="dxa"/>
          </w:tcPr>
          <w:p w:rsidR="00BD6161" w:rsidRDefault="00BD6161" w:rsidP="004F2A5C">
            <w:pPr>
              <w:rPr>
                <w:rFonts w:asciiTheme="majorHAnsi" w:hAnsiTheme="majorHAnsi"/>
                <w:sz w:val="20"/>
                <w:szCs w:val="22"/>
              </w:rPr>
            </w:pPr>
            <w:r>
              <w:rPr>
                <w:rFonts w:asciiTheme="majorHAnsi" w:hAnsiTheme="majorHAnsi"/>
                <w:sz w:val="20"/>
                <w:szCs w:val="22"/>
              </w:rPr>
              <w:t xml:space="preserve">(1) </w:t>
            </w:r>
            <w:r w:rsidRPr="0078449E">
              <w:rPr>
                <w:rFonts w:asciiTheme="majorHAnsi" w:hAnsiTheme="majorHAnsi"/>
                <w:sz w:val="20"/>
                <w:szCs w:val="22"/>
              </w:rPr>
              <w:t>Ensure that ICANN can enforce all registry restrictions and commitments made in the application, via enforceable mechanisms within the contract</w:t>
            </w:r>
          </w:p>
          <w:p w:rsidR="00BD6161" w:rsidRDefault="00BD6161" w:rsidP="004F2A5C">
            <w:pPr>
              <w:rPr>
                <w:rFonts w:asciiTheme="majorHAnsi" w:hAnsiTheme="majorHAnsi"/>
                <w:sz w:val="20"/>
                <w:szCs w:val="22"/>
              </w:rPr>
            </w:pPr>
          </w:p>
          <w:p w:rsidR="00BD6161" w:rsidRPr="0078449E" w:rsidRDefault="00BD6161" w:rsidP="004F2A5C">
            <w:pPr>
              <w:rPr>
                <w:rFonts w:asciiTheme="majorHAnsi" w:hAnsiTheme="majorHAnsi"/>
                <w:sz w:val="20"/>
                <w:szCs w:val="22"/>
              </w:rPr>
            </w:pPr>
          </w:p>
          <w:p w:rsidR="00BD6161" w:rsidRPr="00F0792C" w:rsidRDefault="00BD6161" w:rsidP="004F2A5C">
            <w:pPr>
              <w:rPr>
                <w:rFonts w:asciiTheme="majorHAnsi" w:hAnsiTheme="majorHAnsi"/>
                <w:sz w:val="20"/>
                <w:szCs w:val="22"/>
              </w:rPr>
            </w:pPr>
          </w:p>
        </w:tc>
        <w:tc>
          <w:tcPr>
            <w:tcW w:w="6210" w:type="dxa"/>
          </w:tcPr>
          <w:p w:rsidR="00BD6161" w:rsidRDefault="002216D5" w:rsidP="004F2A5C">
            <w:pPr>
              <w:rPr>
                <w:rFonts w:asciiTheme="majorHAnsi" w:hAnsiTheme="majorHAnsi"/>
                <w:sz w:val="20"/>
                <w:szCs w:val="22"/>
              </w:rPr>
            </w:pPr>
            <w:hyperlink r:id="rId8" w:history="1">
              <w:r w:rsidR="00BD6161" w:rsidRPr="00C10B53">
                <w:rPr>
                  <w:rStyle w:val="Hyperlink"/>
                  <w:rFonts w:asciiTheme="majorHAnsi" w:hAnsiTheme="majorHAnsi"/>
                  <w:sz w:val="20"/>
                  <w:szCs w:val="22"/>
                </w:rPr>
                <w:t>BC position ICANN Staff Recommendations for RPMs</w:t>
              </w:r>
            </w:hyperlink>
            <w:r w:rsidR="00BD6161" w:rsidRPr="00C10B53">
              <w:rPr>
                <w:rFonts w:asciiTheme="majorHAnsi" w:hAnsiTheme="majorHAnsi"/>
                <w:sz w:val="20"/>
                <w:szCs w:val="22"/>
              </w:rPr>
              <w:t>, Nov-2009</w:t>
            </w:r>
            <w:r w:rsidR="00BD6161">
              <w:rPr>
                <w:rFonts w:asciiTheme="majorHAnsi" w:hAnsiTheme="majorHAnsi"/>
                <w:sz w:val="20"/>
                <w:szCs w:val="22"/>
              </w:rPr>
              <w:t xml:space="preserve"> </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xml:space="preserve">The Registry Operator’s manner of operation or use of a TLD is </w:t>
            </w:r>
            <w:r w:rsidRPr="00C10B53">
              <w:rPr>
                <w:rFonts w:asciiTheme="majorHAnsi" w:hAnsiTheme="majorHAnsi"/>
                <w:b/>
                <w:bCs/>
                <w:sz w:val="20"/>
                <w:szCs w:val="22"/>
              </w:rPr>
              <w:t xml:space="preserve">inconsistent with the representations made in the TLD application as approved by ICANN and incorporated into the applicable Registry Agreement </w:t>
            </w:r>
            <w:r w:rsidRPr="00C10B53">
              <w:rPr>
                <w:rFonts w:asciiTheme="majorHAnsi" w:hAnsiTheme="majorHAnsi"/>
                <w:sz w:val="20"/>
                <w:szCs w:val="22"/>
              </w:rPr>
              <w:t>and such operation or use of the TLD is likely to cause confusion with the complainant’s mark…”</w:t>
            </w:r>
          </w:p>
          <w:p w:rsidR="00BD6161" w:rsidRPr="00C10B53" w:rsidRDefault="00BD6161" w:rsidP="004F2A5C">
            <w:pPr>
              <w:rPr>
                <w:rFonts w:asciiTheme="majorHAnsi" w:hAnsiTheme="majorHAnsi"/>
                <w:sz w:val="20"/>
                <w:szCs w:val="22"/>
              </w:rPr>
            </w:pP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The Staff Proposal would put the interests of TM holders (and possibly Communities if this applies to Communities also) at risk since once the delegation is made they would not have any recourse or rights to institute Post Delegation Disputes under this policy based on:</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representations in the gTLD application </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Registry Agreements </w:t>
            </w:r>
          </w:p>
          <w:p w:rsidR="00BD6161" w:rsidRPr="00C10B53" w:rsidRDefault="00BD6161" w:rsidP="004F2A5C">
            <w:pPr>
              <w:rPr>
                <w:rFonts w:asciiTheme="majorHAnsi" w:hAnsiTheme="majorHAnsi"/>
                <w:sz w:val="20"/>
                <w:szCs w:val="22"/>
              </w:rPr>
            </w:pPr>
          </w:p>
          <w:p w:rsidR="00BD6161" w:rsidRPr="00C10B53" w:rsidRDefault="002216D5" w:rsidP="004F2A5C">
            <w:pPr>
              <w:rPr>
                <w:rFonts w:asciiTheme="majorHAnsi" w:hAnsiTheme="majorHAnsi"/>
                <w:sz w:val="20"/>
                <w:szCs w:val="22"/>
              </w:rPr>
            </w:pPr>
            <w:hyperlink r:id="rId9" w:history="1">
              <w:r w:rsidR="00BD6161" w:rsidRPr="00C10B53">
                <w:rPr>
                  <w:rStyle w:val="Hyperlink"/>
                  <w:rFonts w:asciiTheme="majorHAnsi" w:hAnsiTheme="majorHAnsi"/>
                  <w:sz w:val="20"/>
                  <w:szCs w:val="22"/>
                </w:rPr>
                <w:t>BC Position on DAG v4 Rights Protection Mechanisms</w:t>
              </w:r>
            </w:hyperlink>
            <w:r w:rsidR="00BD6161" w:rsidRPr="00C10B53">
              <w:rPr>
                <w:rFonts w:asciiTheme="majorHAnsi" w:hAnsiTheme="majorHAnsi"/>
                <w:sz w:val="20"/>
                <w:szCs w:val="22"/>
              </w:rPr>
              <w:t>, Jul-2010</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the use of the PDDRPs must allow an effective remedy in cases where the registry has breached its obligations in its gTLD application, its registry agreement or when it engages in willful action leading to trademark obligations.” (p4)</w:t>
            </w:r>
          </w:p>
          <w:p w:rsidR="00BD6161" w:rsidRPr="00F0792C" w:rsidRDefault="00BD6161" w:rsidP="004F2A5C">
            <w:pPr>
              <w:rPr>
                <w:rFonts w:asciiTheme="majorHAnsi" w:hAnsiTheme="majorHAnsi"/>
                <w:sz w:val="20"/>
                <w:szCs w:val="22"/>
              </w:rPr>
            </w:pPr>
          </w:p>
        </w:tc>
        <w:tc>
          <w:tcPr>
            <w:tcW w:w="2880" w:type="dxa"/>
          </w:tcPr>
          <w:p w:rsidR="00BD6161" w:rsidRPr="00F0792C" w:rsidRDefault="009D4468" w:rsidP="004F2A5C">
            <w:pPr>
              <w:rPr>
                <w:rFonts w:asciiTheme="majorHAnsi" w:hAnsiTheme="majorHAnsi"/>
                <w:sz w:val="20"/>
                <w:szCs w:val="22"/>
              </w:rPr>
            </w:pPr>
            <w:r>
              <w:rPr>
                <w:rFonts w:asciiTheme="majorHAnsi" w:hAnsiTheme="majorHAnsi"/>
                <w:sz w:val="20"/>
                <w:szCs w:val="22"/>
              </w:rPr>
              <w:t>Agree</w:t>
            </w:r>
          </w:p>
        </w:tc>
      </w:tr>
      <w:tr w:rsidR="00BD6161" w:rsidRPr="00F0792C">
        <w:tc>
          <w:tcPr>
            <w:tcW w:w="4230" w:type="dxa"/>
          </w:tcPr>
          <w:p w:rsidR="00BD6161" w:rsidRPr="00A32A10" w:rsidRDefault="00BD6161" w:rsidP="004F2A5C">
            <w:pPr>
              <w:rPr>
                <w:rFonts w:asciiTheme="majorHAnsi" w:hAnsiTheme="majorHAnsi"/>
                <w:sz w:val="20"/>
                <w:szCs w:val="22"/>
              </w:rPr>
            </w:pPr>
            <w:r>
              <w:rPr>
                <w:rFonts w:asciiTheme="majorHAnsi" w:hAnsiTheme="majorHAnsi"/>
                <w:sz w:val="20"/>
                <w:szCs w:val="22"/>
              </w:rPr>
              <w:t xml:space="preserve">(2.1) </w:t>
            </w:r>
            <w:r w:rsidRPr="00A32A10">
              <w:rPr>
                <w:rFonts w:asciiTheme="majorHAnsi" w:hAnsiTheme="majorHAnsi"/>
                <w:sz w:val="20"/>
                <w:szCs w:val="22"/>
              </w:rPr>
              <w:t>Ensure that gTLD expansion includes TLDs serving multiple languages and scripts – Include incentives to applicants to encourage offering multiple versions of their gTLD in different scripts</w:t>
            </w:r>
            <w:r>
              <w:rPr>
                <w:rFonts w:asciiTheme="majorHAnsi" w:hAnsiTheme="majorHAnsi"/>
                <w:sz w:val="20"/>
                <w:szCs w:val="22"/>
              </w:rPr>
              <w:t xml:space="preserve"> </w:t>
            </w:r>
          </w:p>
          <w:p w:rsidR="00BD6161" w:rsidRPr="00F0792C" w:rsidRDefault="00BD6161" w:rsidP="004F2A5C">
            <w:pPr>
              <w:rPr>
                <w:rFonts w:asciiTheme="majorHAnsi" w:hAnsiTheme="majorHAnsi"/>
                <w:sz w:val="20"/>
                <w:szCs w:val="22"/>
              </w:rPr>
            </w:pPr>
          </w:p>
        </w:tc>
        <w:tc>
          <w:tcPr>
            <w:tcW w:w="6210" w:type="dxa"/>
          </w:tcPr>
          <w:p w:rsidR="00BD6161" w:rsidRPr="00A32A10" w:rsidRDefault="002216D5" w:rsidP="004F2A5C">
            <w:pPr>
              <w:rPr>
                <w:rFonts w:asciiTheme="majorHAnsi" w:hAnsiTheme="majorHAnsi"/>
                <w:sz w:val="20"/>
                <w:szCs w:val="22"/>
              </w:rPr>
            </w:pPr>
            <w:hyperlink r:id="rId10"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 xml:space="preserve">"Applicants should be granted fee reductions for additional versions of the applied-for string in IDN scripts and other languages." </w:t>
            </w:r>
          </w:p>
          <w:p w:rsidR="00BD6161" w:rsidRPr="00F0792C" w:rsidRDefault="00BD6161" w:rsidP="004F2A5C">
            <w:pPr>
              <w:rPr>
                <w:rFonts w:asciiTheme="majorHAnsi" w:hAnsiTheme="majorHAnsi"/>
                <w:sz w:val="20"/>
                <w:szCs w:val="22"/>
              </w:rPr>
            </w:pPr>
          </w:p>
        </w:tc>
        <w:tc>
          <w:tcPr>
            <w:tcW w:w="2880" w:type="dxa"/>
          </w:tcPr>
          <w:p w:rsidR="00BD6161" w:rsidRPr="00F0792C" w:rsidRDefault="00BD6161" w:rsidP="000E1FF1">
            <w:pPr>
              <w:rPr>
                <w:rFonts w:asciiTheme="majorHAnsi" w:hAnsiTheme="majorHAnsi"/>
                <w:sz w:val="20"/>
                <w:szCs w:val="22"/>
              </w:rPr>
            </w:pPr>
          </w:p>
        </w:tc>
      </w:tr>
      <w:tr w:rsidR="00BD6161" w:rsidRPr="00F0792C">
        <w:tc>
          <w:tcPr>
            <w:tcW w:w="4230" w:type="dxa"/>
            <w:tcBorders>
              <w:bottom w:val="single" w:sz="4" w:space="0" w:color="auto"/>
            </w:tcBorders>
          </w:tcPr>
          <w:p w:rsidR="00BD6161" w:rsidRPr="00F0792C" w:rsidRDefault="00BD6161" w:rsidP="004F2A5C">
            <w:pPr>
              <w:rPr>
                <w:rFonts w:asciiTheme="majorHAnsi" w:hAnsiTheme="majorHAnsi"/>
                <w:sz w:val="20"/>
                <w:szCs w:val="22"/>
              </w:rPr>
            </w:pPr>
            <w:r>
              <w:rPr>
                <w:rFonts w:asciiTheme="majorHAnsi" w:hAnsiTheme="majorHAnsi"/>
                <w:sz w:val="20"/>
                <w:szCs w:val="22"/>
              </w:rPr>
              <w:t xml:space="preserve">(2.2) </w:t>
            </w:r>
            <w:r w:rsidRPr="00A32A10">
              <w:rPr>
                <w:rFonts w:asciiTheme="majorHAnsi" w:hAnsiTheme="majorHAnsi"/>
                <w:sz w:val="20"/>
                <w:szCs w:val="22"/>
              </w:rPr>
              <w:t>applicants propos</w:t>
            </w:r>
            <w:r>
              <w:rPr>
                <w:rFonts w:asciiTheme="majorHAnsi" w:hAnsiTheme="majorHAnsi"/>
                <w:sz w:val="20"/>
                <w:szCs w:val="22"/>
              </w:rPr>
              <w:t>ing</w:t>
            </w:r>
            <w:r w:rsidRPr="00A32A10">
              <w:rPr>
                <w:rFonts w:asciiTheme="majorHAnsi" w:hAnsiTheme="majorHAnsi"/>
                <w:sz w:val="20"/>
                <w:szCs w:val="22"/>
              </w:rPr>
              <w:t xml:space="preserve"> multiple language and IDN </w:t>
            </w:r>
            <w:r>
              <w:rPr>
                <w:rFonts w:asciiTheme="majorHAnsi" w:hAnsiTheme="majorHAnsi"/>
                <w:sz w:val="20"/>
                <w:szCs w:val="22"/>
              </w:rPr>
              <w:t>versions</w:t>
            </w:r>
            <w:r w:rsidRPr="00A32A10">
              <w:rPr>
                <w:rFonts w:asciiTheme="majorHAnsi" w:hAnsiTheme="majorHAnsi"/>
                <w:sz w:val="20"/>
                <w:szCs w:val="22"/>
              </w:rPr>
              <w:t xml:space="preserve"> should not be </w:t>
            </w:r>
            <w:r>
              <w:rPr>
                <w:rFonts w:asciiTheme="majorHAnsi" w:hAnsiTheme="majorHAnsi"/>
                <w:sz w:val="20"/>
                <w:szCs w:val="22"/>
              </w:rPr>
              <w:t>blocked</w:t>
            </w:r>
            <w:r w:rsidRPr="00A32A10">
              <w:rPr>
                <w:rFonts w:asciiTheme="majorHAnsi" w:hAnsiTheme="majorHAnsi"/>
                <w:sz w:val="20"/>
                <w:szCs w:val="22"/>
              </w:rPr>
              <w:t xml:space="preserve"> by strict string similarity tests </w:t>
            </w:r>
            <w:r>
              <w:rPr>
                <w:rFonts w:asciiTheme="majorHAnsi" w:hAnsiTheme="majorHAnsi"/>
                <w:sz w:val="20"/>
                <w:szCs w:val="22"/>
              </w:rPr>
              <w:t>against the applicant’s own strings</w:t>
            </w:r>
          </w:p>
        </w:tc>
        <w:tc>
          <w:tcPr>
            <w:tcW w:w="6210" w:type="dxa"/>
            <w:tcBorders>
              <w:bottom w:val="single" w:sz="4" w:space="0" w:color="auto"/>
            </w:tcBorders>
          </w:tcPr>
          <w:p w:rsidR="00BD6161" w:rsidRPr="00A32A10" w:rsidRDefault="002216D5" w:rsidP="004F2A5C">
            <w:pPr>
              <w:rPr>
                <w:rFonts w:asciiTheme="majorHAnsi" w:hAnsiTheme="majorHAnsi"/>
                <w:sz w:val="20"/>
                <w:szCs w:val="22"/>
              </w:rPr>
            </w:pPr>
            <w:hyperlink r:id="rId11"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“String Similarity contention sets should not include similar strings requested by a</w:t>
            </w:r>
            <w:r w:rsidR="00A56C08">
              <w:rPr>
                <w:rFonts w:asciiTheme="majorHAnsi" w:hAnsiTheme="majorHAnsi"/>
                <w:sz w:val="20"/>
                <w:szCs w:val="22"/>
              </w:rPr>
              <w:t>n</w:t>
            </w:r>
            <w:r w:rsidRPr="00A32A10">
              <w:rPr>
                <w:rFonts w:asciiTheme="majorHAnsi" w:hAnsiTheme="majorHAnsi"/>
                <w:sz w:val="20"/>
                <w:szCs w:val="22"/>
              </w:rPr>
              <w:t xml:space="preserve"> applicant seeking linguistic variations of the applicant's other applied-for string.”</w:t>
            </w:r>
          </w:p>
          <w:p w:rsidR="00BD6161" w:rsidRPr="00F0792C" w:rsidRDefault="00BD6161" w:rsidP="004F2A5C">
            <w:pPr>
              <w:rPr>
                <w:rFonts w:asciiTheme="majorHAnsi" w:hAnsiTheme="majorHAnsi"/>
                <w:sz w:val="20"/>
                <w:szCs w:val="22"/>
              </w:rPr>
            </w:pPr>
          </w:p>
        </w:tc>
        <w:tc>
          <w:tcPr>
            <w:tcW w:w="2880" w:type="dxa"/>
            <w:tcBorders>
              <w:bottom w:val="single" w:sz="4" w:space="0" w:color="auto"/>
            </w:tcBorders>
          </w:tcPr>
          <w:p w:rsidR="00BD6161" w:rsidRPr="00F0792C" w:rsidRDefault="00BD6161" w:rsidP="004F2A5C">
            <w:pPr>
              <w:rPr>
                <w:rFonts w:asciiTheme="majorHAnsi" w:hAnsiTheme="majorHAnsi"/>
                <w:sz w:val="20"/>
                <w:szCs w:val="22"/>
              </w:rPr>
            </w:pPr>
          </w:p>
        </w:tc>
      </w:tr>
      <w:tr w:rsidR="00BD6161" w:rsidRPr="00F0792C">
        <w:tc>
          <w:tcPr>
            <w:tcW w:w="4230" w:type="dxa"/>
            <w:shd w:val="clear" w:color="auto" w:fill="E6E6E6"/>
          </w:tcPr>
          <w:p w:rsidR="00BD6161" w:rsidRPr="00F0792C" w:rsidRDefault="00BD6161" w:rsidP="004F2A5C">
            <w:pPr>
              <w:rPr>
                <w:rFonts w:asciiTheme="majorHAnsi" w:hAnsiTheme="majorHAnsi"/>
                <w:sz w:val="20"/>
                <w:szCs w:val="22"/>
              </w:rPr>
            </w:pPr>
            <w:r>
              <w:rPr>
                <w:rFonts w:asciiTheme="majorHAnsi" w:hAnsiTheme="majorHAnsi"/>
                <w:sz w:val="20"/>
                <w:szCs w:val="22"/>
              </w:rPr>
              <w:lastRenderedPageBreak/>
              <w:t>(3)  Rights Protection Mechanisms</w:t>
            </w:r>
          </w:p>
        </w:tc>
        <w:tc>
          <w:tcPr>
            <w:tcW w:w="6210" w:type="dxa"/>
            <w:shd w:val="clear" w:color="auto" w:fill="E6E6E6"/>
          </w:tcPr>
          <w:p w:rsidR="00BD6161" w:rsidRPr="00F0792C" w:rsidRDefault="00BD6161" w:rsidP="004F2A5C">
            <w:pPr>
              <w:rPr>
                <w:rFonts w:asciiTheme="majorHAnsi" w:hAnsiTheme="majorHAnsi"/>
                <w:sz w:val="20"/>
                <w:szCs w:val="22"/>
              </w:rPr>
            </w:pPr>
          </w:p>
        </w:tc>
        <w:tc>
          <w:tcPr>
            <w:tcW w:w="2880" w:type="dxa"/>
            <w:shd w:val="clear" w:color="auto" w:fill="E6E6E6"/>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4F2A5C">
            <w:pPr>
              <w:rPr>
                <w:rFonts w:asciiTheme="majorHAnsi" w:hAnsiTheme="majorHAnsi"/>
                <w:sz w:val="20"/>
                <w:szCs w:val="22"/>
              </w:rPr>
            </w:pPr>
            <w:r>
              <w:rPr>
                <w:rFonts w:asciiTheme="majorHAnsi" w:hAnsiTheme="majorHAnsi"/>
                <w:sz w:val="20"/>
                <w:szCs w:val="22"/>
              </w:rPr>
              <w:t>(3.1) Require</w:t>
            </w:r>
            <w:r w:rsidRPr="001F4B06">
              <w:rPr>
                <w:rFonts w:asciiTheme="majorHAnsi" w:hAnsiTheme="majorHAnsi"/>
                <w:sz w:val="20"/>
                <w:szCs w:val="22"/>
              </w:rPr>
              <w:t xml:space="preserve"> </w:t>
            </w:r>
            <w:r>
              <w:rPr>
                <w:rFonts w:asciiTheme="majorHAnsi" w:hAnsiTheme="majorHAnsi"/>
                <w:sz w:val="20"/>
                <w:szCs w:val="22"/>
              </w:rPr>
              <w:t>TM Claims Notice service at all times</w:t>
            </w:r>
          </w:p>
        </w:tc>
        <w:tc>
          <w:tcPr>
            <w:tcW w:w="6210" w:type="dxa"/>
          </w:tcPr>
          <w:p w:rsidR="00BD6161" w:rsidRPr="005834BB" w:rsidRDefault="002216D5" w:rsidP="004F2A5C">
            <w:pPr>
              <w:rPr>
                <w:rFonts w:asciiTheme="majorHAnsi" w:hAnsiTheme="majorHAnsi"/>
                <w:sz w:val="20"/>
                <w:szCs w:val="22"/>
              </w:rPr>
            </w:pPr>
            <w:hyperlink r:id="rId12" w:history="1">
              <w:r w:rsidR="00BD6161" w:rsidRPr="005834BB">
                <w:rPr>
                  <w:rStyle w:val="Hyperlink"/>
                  <w:rFonts w:asciiTheme="majorHAnsi" w:hAnsiTheme="majorHAnsi"/>
                  <w:sz w:val="20"/>
                  <w:szCs w:val="22"/>
                </w:rPr>
                <w:t>BC comments on April 2011 Guidebook</w:t>
              </w:r>
            </w:hyperlink>
            <w:r w:rsidR="00BD6161" w:rsidRPr="005834BB">
              <w:rPr>
                <w:rFonts w:asciiTheme="majorHAnsi" w:hAnsiTheme="majorHAnsi"/>
                <w:sz w:val="20"/>
                <w:szCs w:val="22"/>
              </w:rPr>
              <w:t>, May-2011</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tc>
        <w:tc>
          <w:tcPr>
            <w:tcW w:w="2880" w:type="dxa"/>
          </w:tcPr>
          <w:p w:rsidR="00BD6161" w:rsidRPr="00F0792C" w:rsidRDefault="009D4468" w:rsidP="004F2A5C">
            <w:pPr>
              <w:rPr>
                <w:rFonts w:asciiTheme="majorHAnsi" w:hAnsiTheme="majorHAnsi"/>
                <w:sz w:val="20"/>
                <w:szCs w:val="22"/>
              </w:rPr>
            </w:pPr>
            <w:r>
              <w:rPr>
                <w:rFonts w:asciiTheme="majorHAnsi" w:hAnsiTheme="majorHAnsi"/>
                <w:sz w:val="20"/>
                <w:szCs w:val="22"/>
              </w:rPr>
              <w:t>Agree</w:t>
            </w:r>
          </w:p>
        </w:tc>
      </w:tr>
      <w:tr w:rsidR="009D4468" w:rsidRPr="00F0792C">
        <w:tc>
          <w:tcPr>
            <w:tcW w:w="4230" w:type="dxa"/>
          </w:tcPr>
          <w:p w:rsidR="009D4468" w:rsidRPr="005834BB" w:rsidRDefault="009D4468" w:rsidP="004F2A5C">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Require a standardized Sunrise approach to minimize the confusion and costs to registrants to participate in Sunrise in multiple gTLDs. </w:t>
            </w:r>
          </w:p>
          <w:p w:rsidR="009D4468" w:rsidRPr="00F0792C" w:rsidRDefault="009D4468" w:rsidP="004F2A5C">
            <w:pPr>
              <w:rPr>
                <w:rFonts w:asciiTheme="majorHAnsi" w:hAnsiTheme="majorHAnsi"/>
                <w:sz w:val="20"/>
                <w:szCs w:val="22"/>
              </w:rPr>
            </w:pPr>
          </w:p>
        </w:tc>
        <w:tc>
          <w:tcPr>
            <w:tcW w:w="6210" w:type="dxa"/>
          </w:tcPr>
          <w:p w:rsidR="009D4468" w:rsidRPr="005834BB" w:rsidRDefault="009D4468" w:rsidP="004F2A5C">
            <w:pPr>
              <w:rPr>
                <w:rFonts w:asciiTheme="majorHAnsi" w:hAnsiTheme="majorHAnsi"/>
                <w:sz w:val="20"/>
                <w:szCs w:val="22"/>
              </w:rPr>
            </w:pPr>
            <w:hyperlink r:id="rId13" w:history="1">
              <w:r w:rsidRPr="005834BB">
                <w:rPr>
                  <w:rStyle w:val="Hyperlink"/>
                  <w:rFonts w:asciiTheme="majorHAnsi" w:hAnsiTheme="majorHAnsi"/>
                  <w:sz w:val="20"/>
                  <w:szCs w:val="22"/>
                </w:rPr>
                <w:t>BC Comments on first DAG</w:t>
              </w:r>
            </w:hyperlink>
            <w:r w:rsidRPr="005834BB">
              <w:rPr>
                <w:rFonts w:asciiTheme="majorHAnsi" w:hAnsiTheme="majorHAnsi"/>
                <w:sz w:val="20"/>
                <w:szCs w:val="22"/>
              </w:rPr>
              <w:t>, dated Jan-2009</w:t>
            </w:r>
          </w:p>
          <w:p w:rsidR="009D4468" w:rsidRPr="00F0792C" w:rsidRDefault="009D4468" w:rsidP="004F2A5C">
            <w:pPr>
              <w:rPr>
                <w:rFonts w:asciiTheme="majorHAnsi" w:hAnsiTheme="majorHAnsi"/>
                <w:sz w:val="20"/>
                <w:szCs w:val="22"/>
              </w:rPr>
            </w:pPr>
            <w:r w:rsidRPr="005834BB">
              <w:rPr>
                <w:rFonts w:asciiTheme="majorHAnsi" w:hAnsiTheme="majorHAnsi"/>
                <w:sz w:val="20"/>
                <w:szCs w:val="22"/>
              </w:rPr>
              <w:t xml:space="preserve">“We support the notion of a standardized sunrise validation process that permits interested rights holders to validate their rights one time, and then that validation would be accepted by all new TLD operators. “ </w:t>
            </w:r>
          </w:p>
        </w:tc>
        <w:tc>
          <w:tcPr>
            <w:tcW w:w="2880" w:type="dxa"/>
          </w:tcPr>
          <w:p w:rsidR="009D4468" w:rsidRPr="00F0792C" w:rsidRDefault="009D4468" w:rsidP="00320ECC">
            <w:pPr>
              <w:rPr>
                <w:rFonts w:asciiTheme="majorHAnsi" w:hAnsiTheme="majorHAnsi"/>
                <w:sz w:val="20"/>
                <w:szCs w:val="22"/>
              </w:rPr>
            </w:pPr>
            <w:r>
              <w:rPr>
                <w:rFonts w:asciiTheme="majorHAnsi" w:hAnsiTheme="majorHAnsi"/>
                <w:sz w:val="20"/>
                <w:szCs w:val="22"/>
              </w:rPr>
              <w:t>Agree but believe we need to distinguish that a standardized sunrise is not a “remedy” but an extortive unnecessary cost trademark owners need to bear.  ICANN has refused to place price caps on the service, so it will only be “standardized” on process, not on price.</w:t>
            </w:r>
          </w:p>
        </w:tc>
      </w:tr>
      <w:tr w:rsidR="009D4468" w:rsidRPr="00F0792C">
        <w:tc>
          <w:tcPr>
            <w:tcW w:w="4230" w:type="dxa"/>
          </w:tcPr>
          <w:p w:rsidR="009D4468" w:rsidRPr="00F0792C" w:rsidRDefault="009D4468" w:rsidP="00BD6161">
            <w:pPr>
              <w:rPr>
                <w:rFonts w:asciiTheme="majorHAnsi" w:hAnsiTheme="majorHAnsi"/>
                <w:sz w:val="20"/>
                <w:szCs w:val="22"/>
              </w:rPr>
            </w:pPr>
            <w:r>
              <w:rPr>
                <w:rFonts w:asciiTheme="majorHAnsi" w:hAnsiTheme="majorHAnsi"/>
                <w:sz w:val="20"/>
                <w:szCs w:val="22"/>
              </w:rPr>
              <w:t>(3.4)  Successful URS complainants should have option to transfer or suspend the name, and such names should generate TM Claims Notice for subsequent registrations.</w:t>
            </w:r>
            <w:r w:rsidRPr="00F0792C">
              <w:rPr>
                <w:rFonts w:asciiTheme="majorHAnsi" w:hAnsiTheme="majorHAnsi"/>
                <w:sz w:val="20"/>
                <w:szCs w:val="22"/>
              </w:rPr>
              <w:t xml:space="preserve"> </w:t>
            </w:r>
          </w:p>
        </w:tc>
        <w:tc>
          <w:tcPr>
            <w:tcW w:w="6210" w:type="dxa"/>
          </w:tcPr>
          <w:p w:rsidR="009D4468" w:rsidRPr="00772B50" w:rsidRDefault="009D4468" w:rsidP="004F2A5C">
            <w:pPr>
              <w:rPr>
                <w:rFonts w:asciiTheme="majorHAnsi" w:hAnsiTheme="majorHAnsi"/>
                <w:sz w:val="20"/>
                <w:szCs w:val="22"/>
              </w:rPr>
            </w:pPr>
            <w:hyperlink r:id="rId14" w:history="1">
              <w:r w:rsidRPr="00772B50">
                <w:rPr>
                  <w:rStyle w:val="Hyperlink"/>
                  <w:rFonts w:asciiTheme="majorHAnsi" w:hAnsiTheme="majorHAnsi"/>
                  <w:sz w:val="20"/>
                  <w:szCs w:val="22"/>
                </w:rPr>
                <w:t>BC Position on DAG v4 Rights Protection Mechanisms</w:t>
              </w:r>
            </w:hyperlink>
            <w:r w:rsidRPr="00772B50">
              <w:rPr>
                <w:rFonts w:asciiTheme="majorHAnsi" w:hAnsiTheme="majorHAnsi"/>
                <w:sz w:val="20"/>
                <w:szCs w:val="22"/>
              </w:rPr>
              <w:t>, 26-Jul-2010 and</w:t>
            </w:r>
          </w:p>
          <w:p w:rsidR="009D4468" w:rsidRDefault="009D4468" w:rsidP="004F2A5C">
            <w:pPr>
              <w:rPr>
                <w:rFonts w:asciiTheme="majorHAnsi" w:hAnsiTheme="majorHAnsi"/>
                <w:sz w:val="20"/>
                <w:szCs w:val="22"/>
              </w:rPr>
            </w:pPr>
            <w:hyperlink r:id="rId15" w:history="1">
              <w:r w:rsidRPr="00772B50">
                <w:rPr>
                  <w:rStyle w:val="Hyperlink"/>
                  <w:rFonts w:asciiTheme="majorHAnsi" w:hAnsiTheme="majorHAnsi"/>
                  <w:sz w:val="20"/>
                  <w:szCs w:val="22"/>
                </w:rPr>
                <w:t>BC position ICANN Staff Recommendations for RPMs</w:t>
              </w:r>
            </w:hyperlink>
            <w:r w:rsidRPr="00772B50">
              <w:rPr>
                <w:rFonts w:asciiTheme="majorHAnsi" w:hAnsiTheme="majorHAnsi"/>
                <w:sz w:val="20"/>
                <w:szCs w:val="22"/>
              </w:rPr>
              <w:t>, Nov-2009</w:t>
            </w:r>
          </w:p>
          <w:p w:rsidR="009D4468" w:rsidRPr="00772B50" w:rsidRDefault="009D4468" w:rsidP="004F2A5C">
            <w:pPr>
              <w:rPr>
                <w:rFonts w:asciiTheme="majorHAnsi" w:hAnsiTheme="majorHAnsi"/>
                <w:sz w:val="20"/>
                <w:szCs w:val="22"/>
              </w:rPr>
            </w:pPr>
          </w:p>
          <w:p w:rsidR="009D4468" w:rsidRPr="00772B50" w:rsidRDefault="009D4468" w:rsidP="004F2A5C">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9D4468" w:rsidRDefault="009D4468" w:rsidP="004F2A5C">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9D4468" w:rsidRPr="00F0792C" w:rsidRDefault="009D4468" w:rsidP="004F2A5C">
            <w:pPr>
              <w:numPr>
                <w:ilvl w:val="0"/>
                <w:numId w:val="12"/>
              </w:numPr>
              <w:rPr>
                <w:rFonts w:asciiTheme="majorHAnsi" w:hAnsiTheme="majorHAnsi"/>
                <w:sz w:val="20"/>
                <w:szCs w:val="22"/>
              </w:rPr>
            </w:pPr>
            <w:r w:rsidRPr="00772B50">
              <w:rPr>
                <w:rFonts w:asciiTheme="majorHAnsi" w:hAnsiTheme="majorHAnsi"/>
                <w:sz w:val="20"/>
                <w:szCs w:val="22"/>
              </w:rPr>
              <w:t xml:space="preserve">Flag shall be recorded in clearinghouse so that if anyone seeks to register </w:t>
            </w:r>
            <w:r w:rsidRPr="00772B50">
              <w:rPr>
                <w:rFonts w:ascii="MS Gothic" w:eastAsia="MS Gothic" w:hAnsi="MS Gothic" w:cs="MS Gothic" w:hint="eastAsia"/>
                <w:sz w:val="20"/>
                <w:szCs w:val="22"/>
              </w:rPr>
              <w:t> </w:t>
            </w:r>
            <w:r w:rsidRPr="00772B50">
              <w:rPr>
                <w:rFonts w:asciiTheme="majorHAnsi" w:hAnsiTheme="majorHAnsi"/>
                <w:sz w:val="20"/>
                <w:szCs w:val="22"/>
              </w:rPr>
              <w:t xml:space="preserve">such name(s) again, they would get a notice. </w:t>
            </w:r>
            <w:r w:rsidRPr="00772B50">
              <w:rPr>
                <w:rFonts w:ascii="Calibri" w:hAnsi="Calibri" w:cs="Calibri"/>
                <w:sz w:val="20"/>
                <w:szCs w:val="22"/>
              </w:rPr>
              <w:t>“</w:t>
            </w:r>
            <w:r w:rsidRPr="00772B50">
              <w:rPr>
                <w:rFonts w:asciiTheme="majorHAnsi" w:hAnsiTheme="majorHAnsi"/>
                <w:sz w:val="20"/>
                <w:szCs w:val="22"/>
              </w:rPr>
              <w:t xml:space="preserve">  (p2)</w:t>
            </w:r>
          </w:p>
        </w:tc>
        <w:tc>
          <w:tcPr>
            <w:tcW w:w="2880" w:type="dxa"/>
          </w:tcPr>
          <w:p w:rsidR="009D4468" w:rsidRPr="00F0792C" w:rsidRDefault="009D4468" w:rsidP="004F2A5C">
            <w:pPr>
              <w:rPr>
                <w:rFonts w:asciiTheme="majorHAnsi" w:hAnsiTheme="majorHAnsi"/>
                <w:sz w:val="20"/>
                <w:szCs w:val="22"/>
              </w:rPr>
            </w:pPr>
            <w:r>
              <w:rPr>
                <w:rFonts w:asciiTheme="majorHAnsi" w:hAnsiTheme="majorHAnsi"/>
                <w:sz w:val="20"/>
                <w:szCs w:val="22"/>
              </w:rPr>
              <w:t xml:space="preserve">Agree.  Transfer is an essential remedy to give the URS any teeth.  The URS as it stands is an unworkable remedy that trademark owners will not use unless the standard of proof is amended to comport with the UDRP.  Other critical changes include (1) change from the “clear and convincing evidence” standard to “preponderance of evidence” as in the UDRP proceeding; (2) remove any requirement that the URS provider make substantive determinations about how a trademark owner is using its mark.   The URS must also be available for the low price ICANN envisioned when it </w:t>
            </w:r>
            <w:r>
              <w:rPr>
                <w:rFonts w:asciiTheme="majorHAnsi" w:hAnsiTheme="majorHAnsi"/>
                <w:sz w:val="20"/>
                <w:szCs w:val="22"/>
              </w:rPr>
              <w:lastRenderedPageBreak/>
              <w:t xml:space="preserve">watered down the rest of the idea.  </w:t>
            </w:r>
          </w:p>
        </w:tc>
      </w:tr>
      <w:tr w:rsidR="009D4468" w:rsidRPr="00F0792C">
        <w:tc>
          <w:tcPr>
            <w:tcW w:w="4230" w:type="dxa"/>
          </w:tcPr>
          <w:p w:rsidR="009D4468" w:rsidRPr="00246FD1" w:rsidRDefault="009D4468" w:rsidP="004F2A5C">
            <w:pPr>
              <w:rPr>
                <w:rFonts w:asciiTheme="majorHAnsi" w:hAnsiTheme="majorHAnsi"/>
                <w:sz w:val="20"/>
                <w:szCs w:val="22"/>
              </w:rPr>
            </w:pPr>
            <w:r>
              <w:rPr>
                <w:rFonts w:asciiTheme="majorHAnsi" w:hAnsiTheme="majorHAnsi"/>
                <w:sz w:val="20"/>
                <w:szCs w:val="22"/>
              </w:rPr>
              <w:lastRenderedPageBreak/>
              <w:t xml:space="preserve">(3.5) </w:t>
            </w:r>
            <w:r w:rsidRPr="00246FD1">
              <w:rPr>
                <w:rFonts w:asciiTheme="majorHAnsi" w:hAnsiTheme="majorHAnsi"/>
                <w:sz w:val="20"/>
                <w:szCs w:val="22"/>
              </w:rPr>
              <w:t xml:space="preserve">If </w:t>
            </w:r>
            <w:r>
              <w:rPr>
                <w:rFonts w:asciiTheme="majorHAnsi" w:hAnsiTheme="majorHAnsi"/>
                <w:sz w:val="20"/>
                <w:szCs w:val="22"/>
              </w:rPr>
              <w:t xml:space="preserve">required RPMs </w:t>
            </w:r>
            <w:r w:rsidRPr="00246FD1">
              <w:rPr>
                <w:rFonts w:asciiTheme="majorHAnsi" w:hAnsiTheme="majorHAnsi"/>
                <w:sz w:val="20"/>
                <w:szCs w:val="22"/>
              </w:rPr>
              <w:t>are not effective in preventing cybersquatting and fraudulent registrations in new gTLDs, ICANN should be ready to implement additional RPMs based on the TM Clearinghouse database.</w:t>
            </w:r>
          </w:p>
          <w:p w:rsidR="009D4468" w:rsidRPr="00F0792C" w:rsidRDefault="009D4468" w:rsidP="004F2A5C">
            <w:pPr>
              <w:rPr>
                <w:rFonts w:asciiTheme="majorHAnsi" w:hAnsiTheme="majorHAnsi"/>
                <w:sz w:val="20"/>
                <w:szCs w:val="22"/>
              </w:rPr>
            </w:pPr>
          </w:p>
        </w:tc>
        <w:tc>
          <w:tcPr>
            <w:tcW w:w="6210" w:type="dxa"/>
          </w:tcPr>
          <w:p w:rsidR="009D4468" w:rsidRPr="00246FD1" w:rsidRDefault="009D4468" w:rsidP="004F2A5C">
            <w:pPr>
              <w:rPr>
                <w:rFonts w:asciiTheme="majorHAnsi" w:hAnsiTheme="majorHAnsi"/>
                <w:sz w:val="20"/>
                <w:szCs w:val="22"/>
              </w:rPr>
            </w:pPr>
            <w:hyperlink r:id="rId16" w:history="1">
              <w:r w:rsidRPr="00246FD1">
                <w:rPr>
                  <w:rStyle w:val="Hyperlink"/>
                  <w:rFonts w:asciiTheme="majorHAnsi" w:hAnsiTheme="majorHAnsi"/>
                  <w:sz w:val="20"/>
                  <w:szCs w:val="22"/>
                </w:rPr>
                <w:t>BC comments on April 2011 Guidebook</w:t>
              </w:r>
            </w:hyperlink>
            <w:r w:rsidRPr="00246FD1">
              <w:rPr>
                <w:rFonts w:asciiTheme="majorHAnsi" w:hAnsiTheme="majorHAnsi"/>
                <w:sz w:val="20"/>
                <w:szCs w:val="22"/>
              </w:rPr>
              <w:t>, 15-May-2011</w:t>
            </w:r>
          </w:p>
          <w:p w:rsidR="009D4468" w:rsidRPr="00F0792C" w:rsidRDefault="009D4468" w:rsidP="004F2A5C">
            <w:pPr>
              <w:rPr>
                <w:rFonts w:asciiTheme="majorHAnsi" w:hAnsiTheme="majorHAnsi"/>
                <w:sz w:val="20"/>
                <w:szCs w:val="22"/>
              </w:rPr>
            </w:pPr>
            <w:r w:rsidRPr="00246FD1">
              <w:rPr>
                <w:rFonts w:asciiTheme="majorHAnsi" w:hAnsiTheme="majorHAnsi"/>
                <w:sz w:val="20"/>
                <w:szCs w:val="22"/>
              </w:rPr>
              <w:t>"RPMs are still substantially weaker than those recommended by the IRT. Consumers and businesses will inevitably be harmed by cybersquatting and other fraud likely to occur in hundreds of new gTLDs, especially at the second level. Picking-up on discussions during a US Congressional Hearing on 4-May-2011, the BC reiterates its support for Globally Protected Marks List (GPML). Absent a GPML, trademark holders must pay for unwanted defensive registrations. </w:t>
            </w:r>
          </w:p>
        </w:tc>
        <w:tc>
          <w:tcPr>
            <w:tcW w:w="2880" w:type="dxa"/>
          </w:tcPr>
          <w:p w:rsidR="009D4468" w:rsidRPr="00F0792C" w:rsidRDefault="009D4468" w:rsidP="00AD6A81">
            <w:pPr>
              <w:rPr>
                <w:rFonts w:asciiTheme="majorHAnsi" w:hAnsiTheme="majorHAnsi"/>
                <w:sz w:val="20"/>
                <w:szCs w:val="22"/>
              </w:rPr>
            </w:pPr>
            <w:r>
              <w:rPr>
                <w:rFonts w:asciiTheme="majorHAnsi" w:hAnsiTheme="majorHAnsi"/>
                <w:sz w:val="20"/>
                <w:szCs w:val="22"/>
              </w:rPr>
              <w:t xml:space="preserve">Agree, but would amend improvement request to just say “ICANN should be ready to implement additional RPMs. </w:t>
            </w:r>
            <w:proofErr w:type="gramStart"/>
            <w:r>
              <w:rPr>
                <w:rFonts w:asciiTheme="majorHAnsi" w:hAnsiTheme="majorHAnsi"/>
                <w:sz w:val="20"/>
                <w:szCs w:val="22"/>
              </w:rPr>
              <w:t>“ The</w:t>
            </w:r>
            <w:proofErr w:type="gramEnd"/>
            <w:r>
              <w:rPr>
                <w:rFonts w:asciiTheme="majorHAnsi" w:hAnsiTheme="majorHAnsi"/>
                <w:sz w:val="20"/>
                <w:szCs w:val="22"/>
              </w:rPr>
              <w:t xml:space="preserve"> RPMs need not be “based on the TM clearinghouse data,” which will only cover part of the problem.</w:t>
            </w:r>
          </w:p>
        </w:tc>
      </w:tr>
      <w:tr w:rsidR="009D4468" w:rsidRPr="00F0792C">
        <w:tc>
          <w:tcPr>
            <w:tcW w:w="4230" w:type="dxa"/>
          </w:tcPr>
          <w:p w:rsidR="009D4468" w:rsidRPr="000D6405" w:rsidRDefault="009D4468" w:rsidP="004F2A5C">
            <w:pPr>
              <w:rPr>
                <w:rFonts w:asciiTheme="majorHAnsi" w:hAnsiTheme="majorHAnsi"/>
                <w:sz w:val="20"/>
                <w:szCs w:val="22"/>
              </w:rPr>
            </w:pPr>
            <w:r>
              <w:rPr>
                <w:rFonts w:asciiTheme="majorHAnsi" w:hAnsiTheme="majorHAnsi"/>
                <w:sz w:val="20"/>
                <w:szCs w:val="22"/>
              </w:rPr>
              <w:t>(9) Improve and modify the Communications Plan t</w:t>
            </w:r>
            <w:r w:rsidRPr="000D6405">
              <w:rPr>
                <w:rFonts w:asciiTheme="majorHAnsi" w:hAnsiTheme="majorHAnsi"/>
                <w:sz w:val="20"/>
                <w:szCs w:val="22"/>
              </w:rPr>
              <w:t xml:space="preserve">o focus more on information and education about what the mechanisms are for those who do not want to operate a gTLD registry. </w:t>
            </w:r>
          </w:p>
          <w:p w:rsidR="009D4468" w:rsidRDefault="009D4468" w:rsidP="004F2A5C">
            <w:pPr>
              <w:rPr>
                <w:rFonts w:asciiTheme="majorHAnsi" w:hAnsiTheme="majorHAnsi"/>
                <w:sz w:val="20"/>
                <w:szCs w:val="22"/>
              </w:rPr>
            </w:pPr>
          </w:p>
          <w:p w:rsidR="009D4468" w:rsidRDefault="009D4468" w:rsidP="004F2A5C">
            <w:pPr>
              <w:rPr>
                <w:rFonts w:asciiTheme="majorHAnsi" w:hAnsiTheme="majorHAnsi"/>
                <w:sz w:val="20"/>
                <w:szCs w:val="22"/>
              </w:rPr>
            </w:pPr>
          </w:p>
        </w:tc>
        <w:tc>
          <w:tcPr>
            <w:tcW w:w="6210" w:type="dxa"/>
          </w:tcPr>
          <w:p w:rsidR="009D4468" w:rsidRPr="000D6405" w:rsidRDefault="009D4468" w:rsidP="004F2A5C">
            <w:pPr>
              <w:rPr>
                <w:rFonts w:asciiTheme="majorHAnsi" w:hAnsiTheme="majorHAnsi"/>
                <w:sz w:val="20"/>
                <w:szCs w:val="22"/>
              </w:rPr>
            </w:pPr>
            <w:hyperlink r:id="rId17" w:history="1">
              <w:r w:rsidRPr="000D6405">
                <w:rPr>
                  <w:rStyle w:val="Hyperlink"/>
                  <w:rFonts w:asciiTheme="majorHAnsi" w:hAnsiTheme="majorHAnsi"/>
                  <w:sz w:val="20"/>
                  <w:szCs w:val="22"/>
                </w:rPr>
                <w:t>BC comments on April 2011 Guidebook</w:t>
              </w:r>
            </w:hyperlink>
            <w:r w:rsidRPr="000D6405">
              <w:rPr>
                <w:rFonts w:asciiTheme="majorHAnsi" w:hAnsiTheme="majorHAnsi"/>
                <w:sz w:val="20"/>
                <w:szCs w:val="22"/>
              </w:rPr>
              <w:t>, 15-May-2011</w:t>
            </w:r>
          </w:p>
          <w:p w:rsidR="009D4468" w:rsidRPr="00246FD1" w:rsidRDefault="009D4468" w:rsidP="004F2A5C">
            <w:pPr>
              <w:rPr>
                <w:rFonts w:asciiTheme="majorHAnsi" w:hAnsiTheme="majorHAnsi"/>
                <w:sz w:val="20"/>
                <w:szCs w:val="22"/>
              </w:rPr>
            </w:pPr>
            <w:r w:rsidRPr="000D6405">
              <w:rPr>
                <w:rFonts w:asciiTheme="majorHAnsi" w:hAnsiTheme="majorHAnsi"/>
                <w:sz w:val="20"/>
                <w:szCs w:val="22"/>
              </w:rPr>
              <w:t>While not part of the Guidebook, effective Communications and Outreach activities are essential to the success of this gTLD expansion. ICANN’s communications effort must do more than simply promote new gTLD applications. It must also fully inform user and business communities around the world of all the major changes coming with the introduction of new gTLDs.</w:t>
            </w:r>
          </w:p>
        </w:tc>
        <w:tc>
          <w:tcPr>
            <w:tcW w:w="2880" w:type="dxa"/>
          </w:tcPr>
          <w:p w:rsidR="009D4468" w:rsidRPr="00F0792C" w:rsidRDefault="009D4468" w:rsidP="004318A4">
            <w:pPr>
              <w:rPr>
                <w:rFonts w:asciiTheme="majorHAnsi" w:hAnsiTheme="majorHAnsi"/>
                <w:sz w:val="20"/>
                <w:szCs w:val="22"/>
              </w:rPr>
            </w:pPr>
            <w:r>
              <w:rPr>
                <w:rFonts w:asciiTheme="majorHAnsi" w:hAnsiTheme="majorHAnsi"/>
                <w:sz w:val="20"/>
                <w:szCs w:val="22"/>
              </w:rPr>
              <w:t>Agree</w:t>
            </w:r>
          </w:p>
        </w:tc>
      </w:tr>
    </w:tbl>
    <w:p w:rsidR="00BD6161" w:rsidRDefault="00BD6161" w:rsidP="00BD6161">
      <w:pPr>
        <w:rPr>
          <w:rFonts w:asciiTheme="majorHAnsi" w:hAnsiTheme="majorHAnsi"/>
          <w:sz w:val="22"/>
          <w:szCs w:val="22"/>
        </w:rPr>
      </w:pPr>
      <w:r>
        <w:rPr>
          <w:rFonts w:asciiTheme="majorHAnsi" w:hAnsiTheme="majorHAnsi"/>
          <w:sz w:val="22"/>
          <w:szCs w:val="22"/>
        </w:rPr>
        <w:br w:type="page"/>
      </w:r>
      <w:r>
        <w:rPr>
          <w:rFonts w:asciiTheme="majorHAnsi" w:hAnsiTheme="majorHAnsi"/>
          <w:sz w:val="22"/>
          <w:szCs w:val="22"/>
        </w:rPr>
        <w:lastRenderedPageBreak/>
        <w:t xml:space="preserve">Section </w:t>
      </w:r>
      <w:r w:rsidR="004F2A5C">
        <w:rPr>
          <w:rFonts w:asciiTheme="majorHAnsi" w:hAnsiTheme="majorHAnsi"/>
          <w:sz w:val="22"/>
          <w:szCs w:val="22"/>
        </w:rPr>
        <w:t>2</w:t>
      </w:r>
      <w:r>
        <w:rPr>
          <w:rFonts w:asciiTheme="majorHAnsi" w:hAnsiTheme="majorHAnsi"/>
          <w:sz w:val="22"/>
          <w:szCs w:val="22"/>
        </w:rPr>
        <w:t>: Requests/Recommendations that are not directly take from established BC positions.</w:t>
      </w:r>
      <w:r w:rsidR="002C44DD">
        <w:rPr>
          <w:rFonts w:asciiTheme="majorHAnsi" w:hAnsiTheme="majorHAnsi"/>
          <w:sz w:val="22"/>
          <w:szCs w:val="22"/>
        </w:rPr>
        <w:t xml:space="preserve"> These items will support BC positions on the Improvements in Implementation of new gTLDs, along with those items in Section 2. </w:t>
      </w:r>
    </w:p>
    <w:p w:rsidR="00F0792C" w:rsidRPr="004F2A5C" w:rsidRDefault="00F0792C">
      <w:pPr>
        <w:rPr>
          <w:rFonts w:asciiTheme="majorHAnsi" w:hAnsiTheme="majorHAnsi"/>
          <w:i/>
          <w:sz w:val="22"/>
          <w:szCs w:val="22"/>
        </w:rPr>
      </w:pPr>
      <w:r w:rsidRPr="004F2A5C">
        <w:rPr>
          <w:rFonts w:asciiTheme="majorHAnsi" w:hAnsiTheme="majorHAnsi"/>
          <w:i/>
          <w:sz w:val="22"/>
          <w:szCs w:val="22"/>
        </w:rPr>
        <w:t xml:space="preserve">Please indicate whether you </w:t>
      </w:r>
      <w:r w:rsidRPr="004F2A5C">
        <w:rPr>
          <w:rFonts w:asciiTheme="majorHAnsi" w:hAnsiTheme="majorHAnsi"/>
          <w:i/>
          <w:sz w:val="22"/>
          <w:szCs w:val="22"/>
          <w:u w:val="single"/>
        </w:rPr>
        <w:t>Support</w:t>
      </w:r>
      <w:r w:rsidRPr="004F2A5C">
        <w:rPr>
          <w:rFonts w:asciiTheme="majorHAnsi" w:hAnsiTheme="majorHAnsi"/>
          <w:i/>
          <w:sz w:val="22"/>
          <w:szCs w:val="22"/>
        </w:rPr>
        <w:t xml:space="preserve"> or </w:t>
      </w:r>
      <w:r w:rsidRPr="004F2A5C">
        <w:rPr>
          <w:rFonts w:asciiTheme="majorHAnsi" w:hAnsiTheme="majorHAnsi"/>
          <w:i/>
          <w:sz w:val="22"/>
          <w:szCs w:val="22"/>
          <w:u w:val="single"/>
        </w:rPr>
        <w:t>Oppose</w:t>
      </w:r>
      <w:r w:rsidRPr="004F2A5C">
        <w:rPr>
          <w:rFonts w:asciiTheme="majorHAnsi" w:hAnsiTheme="majorHAnsi"/>
          <w:i/>
          <w:sz w:val="22"/>
          <w:szCs w:val="22"/>
        </w:rPr>
        <w:t xml:space="preserve"> these implementation changes</w:t>
      </w:r>
      <w:r w:rsidR="004F2A5C">
        <w:rPr>
          <w:rFonts w:asciiTheme="majorHAnsi" w:hAnsiTheme="majorHAnsi"/>
          <w:i/>
          <w:sz w:val="22"/>
          <w:szCs w:val="22"/>
        </w:rPr>
        <w:t>.  Y</w:t>
      </w:r>
      <w:r w:rsidR="002C44DD" w:rsidRPr="004F2A5C">
        <w:rPr>
          <w:rFonts w:asciiTheme="majorHAnsi" w:hAnsiTheme="majorHAnsi"/>
          <w:i/>
          <w:sz w:val="22"/>
          <w:szCs w:val="22"/>
        </w:rPr>
        <w:t xml:space="preserve">ou </w:t>
      </w:r>
      <w:r w:rsidR="00911849">
        <w:rPr>
          <w:rFonts w:asciiTheme="majorHAnsi" w:hAnsiTheme="majorHAnsi"/>
          <w:i/>
          <w:sz w:val="22"/>
          <w:szCs w:val="22"/>
        </w:rPr>
        <w:t>are invited to</w:t>
      </w:r>
      <w:r w:rsidR="002C44DD" w:rsidRPr="004F2A5C">
        <w:rPr>
          <w:rFonts w:asciiTheme="majorHAnsi" w:hAnsiTheme="majorHAnsi"/>
          <w:i/>
          <w:sz w:val="22"/>
          <w:szCs w:val="22"/>
        </w:rPr>
        <w:t xml:space="preserve"> also offer any relevant comments. </w:t>
      </w:r>
    </w:p>
    <w:p w:rsidR="00F0792C" w:rsidRPr="00F0792C" w:rsidRDefault="00F0792C">
      <w:pPr>
        <w:rPr>
          <w:rFonts w:asciiTheme="majorHAnsi" w:hAnsiTheme="majorHAnsi"/>
          <w:sz w:val="22"/>
          <w:szCs w:val="22"/>
        </w:rPr>
      </w:pPr>
    </w:p>
    <w:tbl>
      <w:tblPr>
        <w:tblStyle w:val="TableGrid"/>
        <w:tblW w:w="14310" w:type="dxa"/>
        <w:tblInd w:w="-252" w:type="dxa"/>
        <w:tblLayout w:type="fixed"/>
        <w:tblLook w:val="04A0" w:firstRow="1" w:lastRow="0" w:firstColumn="1" w:lastColumn="0" w:noHBand="0" w:noVBand="1"/>
      </w:tblPr>
      <w:tblGrid>
        <w:gridCol w:w="4230"/>
        <w:gridCol w:w="5580"/>
        <w:gridCol w:w="1350"/>
        <w:gridCol w:w="3150"/>
      </w:tblGrid>
      <w:tr w:rsidR="00C10B53" w:rsidRPr="00BD6161">
        <w:trPr>
          <w:tblHeader/>
        </w:trPr>
        <w:tc>
          <w:tcPr>
            <w:tcW w:w="4230" w:type="dxa"/>
            <w:vAlign w:val="center"/>
          </w:tcPr>
          <w:p w:rsidR="00625870" w:rsidRPr="00BD6161" w:rsidRDefault="00625870">
            <w:pPr>
              <w:rPr>
                <w:rFonts w:asciiTheme="majorHAnsi" w:hAnsiTheme="majorHAnsi"/>
                <w:b/>
                <w:sz w:val="20"/>
                <w:szCs w:val="22"/>
              </w:rPr>
            </w:pPr>
            <w:r w:rsidRPr="00BD6161">
              <w:rPr>
                <w:rFonts w:asciiTheme="majorHAnsi" w:hAnsiTheme="majorHAnsi"/>
                <w:b/>
                <w:sz w:val="20"/>
                <w:szCs w:val="22"/>
              </w:rPr>
              <w:t>Improvement</w:t>
            </w:r>
            <w:r w:rsidR="00C10B53" w:rsidRPr="00BD6161">
              <w:rPr>
                <w:rFonts w:asciiTheme="majorHAnsi" w:hAnsiTheme="majorHAnsi"/>
                <w:b/>
                <w:sz w:val="20"/>
                <w:szCs w:val="22"/>
              </w:rPr>
              <w:t xml:space="preserve"> Request</w:t>
            </w:r>
          </w:p>
        </w:tc>
        <w:tc>
          <w:tcPr>
            <w:tcW w:w="5580" w:type="dxa"/>
            <w:vAlign w:val="center"/>
          </w:tcPr>
          <w:p w:rsidR="00625870" w:rsidRPr="00BD6161" w:rsidRDefault="00BD6161" w:rsidP="00BD6161">
            <w:pPr>
              <w:rPr>
                <w:rFonts w:asciiTheme="majorHAnsi" w:hAnsiTheme="majorHAnsi"/>
                <w:b/>
                <w:sz w:val="20"/>
                <w:szCs w:val="22"/>
              </w:rPr>
            </w:pPr>
            <w:r>
              <w:rPr>
                <w:rFonts w:asciiTheme="majorHAnsi" w:hAnsiTheme="majorHAnsi"/>
                <w:b/>
                <w:sz w:val="20"/>
                <w:szCs w:val="22"/>
              </w:rPr>
              <w:t>Support from e</w:t>
            </w:r>
            <w:r w:rsidR="00C10B53" w:rsidRPr="00BD6161">
              <w:rPr>
                <w:rFonts w:asciiTheme="majorHAnsi" w:hAnsiTheme="majorHAnsi"/>
                <w:b/>
                <w:sz w:val="20"/>
                <w:szCs w:val="22"/>
              </w:rPr>
              <w:t>stablished</w:t>
            </w:r>
            <w:r w:rsidR="00625870" w:rsidRPr="00BD6161">
              <w:rPr>
                <w:rFonts w:asciiTheme="majorHAnsi" w:hAnsiTheme="majorHAnsi"/>
                <w:b/>
                <w:sz w:val="20"/>
                <w:szCs w:val="22"/>
              </w:rPr>
              <w:t xml:space="preserve"> BC Position</w:t>
            </w:r>
            <w:r>
              <w:rPr>
                <w:rFonts w:asciiTheme="majorHAnsi" w:hAnsiTheme="majorHAnsi"/>
                <w:b/>
                <w:sz w:val="20"/>
                <w:szCs w:val="22"/>
              </w:rPr>
              <w:t>s</w:t>
            </w:r>
          </w:p>
        </w:tc>
        <w:tc>
          <w:tcPr>
            <w:tcW w:w="1350" w:type="dxa"/>
            <w:vAlign w:val="center"/>
          </w:tcPr>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Support</w:t>
            </w:r>
          </w:p>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Request?</w:t>
            </w:r>
          </w:p>
          <w:p w:rsidR="00625870" w:rsidRPr="00BD6161" w:rsidRDefault="00625870" w:rsidP="00BD6161">
            <w:pPr>
              <w:jc w:val="center"/>
              <w:rPr>
                <w:rFonts w:asciiTheme="majorHAnsi" w:hAnsiTheme="majorHAnsi"/>
                <w:b/>
                <w:sz w:val="20"/>
                <w:szCs w:val="22"/>
              </w:rPr>
            </w:pPr>
            <w:r w:rsidRPr="00BD6161">
              <w:rPr>
                <w:rFonts w:asciiTheme="majorHAnsi" w:hAnsiTheme="majorHAnsi"/>
                <w:b/>
                <w:sz w:val="20"/>
                <w:szCs w:val="22"/>
              </w:rPr>
              <w:t>(Y</w:t>
            </w:r>
            <w:r w:rsidR="00BD6161" w:rsidRPr="00BD6161">
              <w:rPr>
                <w:rFonts w:asciiTheme="majorHAnsi" w:hAnsiTheme="majorHAnsi"/>
                <w:b/>
                <w:sz w:val="20"/>
                <w:szCs w:val="22"/>
              </w:rPr>
              <w:t>es, No, or Abstain</w:t>
            </w:r>
            <w:r w:rsidRPr="00BD6161">
              <w:rPr>
                <w:rFonts w:asciiTheme="majorHAnsi" w:hAnsiTheme="majorHAnsi"/>
                <w:b/>
                <w:sz w:val="20"/>
                <w:szCs w:val="22"/>
              </w:rPr>
              <w:t>)</w:t>
            </w:r>
          </w:p>
        </w:tc>
        <w:tc>
          <w:tcPr>
            <w:tcW w:w="3150" w:type="dxa"/>
            <w:vAlign w:val="center"/>
          </w:tcPr>
          <w:p w:rsidR="00625870" w:rsidRPr="00BD6161" w:rsidRDefault="004F2A5C" w:rsidP="004F2A5C">
            <w:pPr>
              <w:rPr>
                <w:rFonts w:asciiTheme="majorHAnsi" w:hAnsiTheme="majorHAnsi"/>
                <w:b/>
                <w:sz w:val="20"/>
                <w:szCs w:val="22"/>
              </w:rPr>
            </w:pPr>
            <w:r>
              <w:rPr>
                <w:rFonts w:asciiTheme="majorHAnsi" w:hAnsiTheme="majorHAnsi"/>
                <w:b/>
                <w:sz w:val="20"/>
                <w:szCs w:val="22"/>
              </w:rPr>
              <w:t>BC Member c</w:t>
            </w:r>
            <w:r w:rsidR="005608E3" w:rsidRPr="00BD6161">
              <w:rPr>
                <w:rFonts w:asciiTheme="majorHAnsi" w:hAnsiTheme="majorHAnsi"/>
                <w:b/>
                <w:sz w:val="20"/>
                <w:szCs w:val="22"/>
              </w:rPr>
              <w:t>omments,</w:t>
            </w:r>
            <w:r w:rsidR="00F36F34" w:rsidRPr="00BD6161">
              <w:rPr>
                <w:rFonts w:asciiTheme="majorHAnsi" w:hAnsiTheme="majorHAnsi"/>
                <w:b/>
                <w:sz w:val="20"/>
                <w:szCs w:val="22"/>
              </w:rPr>
              <w:t xml:space="preserve"> changes and/or e</w:t>
            </w:r>
            <w:r w:rsidR="00625870" w:rsidRPr="00BD6161">
              <w:rPr>
                <w:rFonts w:asciiTheme="majorHAnsi" w:hAnsiTheme="majorHAnsi"/>
                <w:b/>
                <w:sz w:val="20"/>
                <w:szCs w:val="22"/>
              </w:rPr>
              <w:t xml:space="preserve">xplanation </w:t>
            </w:r>
            <w:r w:rsidR="0072429B" w:rsidRPr="00BD6161">
              <w:rPr>
                <w:rFonts w:asciiTheme="majorHAnsi" w:hAnsiTheme="majorHAnsi"/>
                <w:b/>
                <w:sz w:val="20"/>
                <w:szCs w:val="22"/>
              </w:rPr>
              <w:t>for non-support</w:t>
            </w:r>
          </w:p>
        </w:tc>
      </w:tr>
      <w:tr w:rsidR="005834BB" w:rsidRPr="00F0792C">
        <w:tc>
          <w:tcPr>
            <w:tcW w:w="4230" w:type="dxa"/>
            <w:shd w:val="clear" w:color="auto" w:fill="E6E6E6"/>
          </w:tcPr>
          <w:p w:rsidR="005834BB" w:rsidRPr="00F0792C" w:rsidRDefault="005834BB" w:rsidP="005834BB">
            <w:pPr>
              <w:rPr>
                <w:rFonts w:asciiTheme="majorHAnsi" w:hAnsiTheme="majorHAnsi"/>
                <w:sz w:val="20"/>
                <w:szCs w:val="22"/>
              </w:rPr>
            </w:pPr>
            <w:r>
              <w:rPr>
                <w:rFonts w:asciiTheme="majorHAnsi" w:hAnsiTheme="majorHAnsi"/>
                <w:sz w:val="20"/>
                <w:szCs w:val="22"/>
              </w:rPr>
              <w:t>(3)  Rights Protection Mechanisms</w:t>
            </w:r>
          </w:p>
        </w:tc>
        <w:tc>
          <w:tcPr>
            <w:tcW w:w="5580" w:type="dxa"/>
            <w:shd w:val="clear" w:color="auto" w:fill="E6E6E6"/>
          </w:tcPr>
          <w:p w:rsidR="005834BB" w:rsidRPr="00F0792C" w:rsidRDefault="005834BB" w:rsidP="005834BB">
            <w:pPr>
              <w:rPr>
                <w:rFonts w:asciiTheme="majorHAnsi" w:hAnsiTheme="majorHAnsi"/>
                <w:sz w:val="20"/>
                <w:szCs w:val="22"/>
              </w:rPr>
            </w:pPr>
          </w:p>
        </w:tc>
        <w:tc>
          <w:tcPr>
            <w:tcW w:w="1350" w:type="dxa"/>
            <w:shd w:val="clear" w:color="auto" w:fill="E6E6E6"/>
          </w:tcPr>
          <w:p w:rsidR="005834BB" w:rsidRPr="00F0792C" w:rsidRDefault="005834BB" w:rsidP="005834BB">
            <w:pPr>
              <w:jc w:val="center"/>
              <w:rPr>
                <w:rFonts w:asciiTheme="majorHAnsi" w:hAnsiTheme="majorHAnsi"/>
                <w:sz w:val="20"/>
                <w:szCs w:val="22"/>
              </w:rPr>
            </w:pPr>
          </w:p>
        </w:tc>
        <w:tc>
          <w:tcPr>
            <w:tcW w:w="3150" w:type="dxa"/>
            <w:shd w:val="clear" w:color="auto" w:fill="E6E6E6"/>
          </w:tcPr>
          <w:p w:rsidR="005834BB" w:rsidRPr="00F0792C" w:rsidRDefault="005834BB" w:rsidP="005834BB">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 xml:space="preserve">(3.2) </w:t>
            </w:r>
            <w:r w:rsidRPr="005834BB">
              <w:rPr>
                <w:rFonts w:asciiTheme="majorHAnsi" w:hAnsiTheme="majorHAnsi"/>
                <w:sz w:val="20"/>
                <w:szCs w:val="22"/>
              </w:rPr>
              <w:t>Manage the TM Clearing house centrally, to ensure standardized streamlined submission processes for those trademark holders using it</w:t>
            </w:r>
          </w:p>
          <w:p w:rsidR="00625870" w:rsidRPr="00F0792C" w:rsidRDefault="00625870">
            <w:pPr>
              <w:rPr>
                <w:rFonts w:asciiTheme="majorHAnsi" w:hAnsiTheme="majorHAnsi"/>
                <w:sz w:val="20"/>
                <w:szCs w:val="22"/>
              </w:rPr>
            </w:pPr>
          </w:p>
        </w:tc>
        <w:tc>
          <w:tcPr>
            <w:tcW w:w="5580" w:type="dxa"/>
          </w:tcPr>
          <w:p w:rsidR="00625870" w:rsidRPr="00F0792C" w:rsidRDefault="00625870" w:rsidP="005834BB">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9D4468">
            <w:pPr>
              <w:rPr>
                <w:rFonts w:asciiTheme="majorHAnsi" w:hAnsiTheme="majorHAnsi"/>
                <w:sz w:val="20"/>
                <w:szCs w:val="22"/>
              </w:rPr>
            </w:pPr>
            <w:r>
              <w:rPr>
                <w:rFonts w:asciiTheme="majorHAnsi" w:hAnsiTheme="majorHAnsi"/>
                <w:sz w:val="20"/>
                <w:szCs w:val="22"/>
              </w:rPr>
              <w:t>The TM Clearing house will only be effective if centrally managed.</w:t>
            </w:r>
          </w:p>
        </w:tc>
      </w:tr>
      <w:tr w:rsidR="00C10B53" w:rsidRPr="00F0792C">
        <w:tc>
          <w:tcPr>
            <w:tcW w:w="4230" w:type="dxa"/>
          </w:tcPr>
          <w:p w:rsidR="00625870" w:rsidRPr="00F0792C" w:rsidRDefault="005834BB" w:rsidP="00BD6161">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Extend Sunrise for all relevant gTLDs for a mandatory 60 days [brand/ single user TLDs could be excluded]. </w:t>
            </w:r>
          </w:p>
        </w:tc>
        <w:tc>
          <w:tcPr>
            <w:tcW w:w="5580" w:type="dxa"/>
          </w:tcPr>
          <w:p w:rsidR="00625870" w:rsidRDefault="00625870">
            <w:pPr>
              <w:rPr>
                <w:rFonts w:asciiTheme="majorHAnsi" w:hAnsiTheme="majorHAnsi"/>
                <w:sz w:val="20"/>
                <w:szCs w:val="22"/>
              </w:rPr>
            </w:pPr>
          </w:p>
          <w:p w:rsidR="005834BB" w:rsidRDefault="005834BB">
            <w:pPr>
              <w:rPr>
                <w:rFonts w:asciiTheme="majorHAnsi" w:hAnsiTheme="majorHAnsi"/>
                <w:sz w:val="20"/>
                <w:szCs w:val="22"/>
              </w:rPr>
            </w:pPr>
          </w:p>
          <w:p w:rsidR="005834BB" w:rsidRPr="00F0792C" w:rsidRDefault="005834BB" w:rsidP="00BD6161">
            <w:pPr>
              <w:rPr>
                <w:rFonts w:asciiTheme="majorHAnsi" w:hAnsiTheme="majorHAnsi"/>
                <w:sz w:val="20"/>
                <w:szCs w:val="22"/>
              </w:rPr>
            </w:pPr>
          </w:p>
        </w:tc>
        <w:tc>
          <w:tcPr>
            <w:tcW w:w="1350" w:type="dxa"/>
          </w:tcPr>
          <w:p w:rsidR="00625870" w:rsidRPr="00F0792C" w:rsidRDefault="004318A4"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625870" w:rsidRPr="00F0792C" w:rsidRDefault="00625870">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(3.4)</w:t>
            </w:r>
            <w:r w:rsidR="00246FD1">
              <w:rPr>
                <w:rFonts w:asciiTheme="majorHAnsi" w:hAnsiTheme="majorHAnsi"/>
                <w:sz w:val="20"/>
                <w:szCs w:val="22"/>
              </w:rPr>
              <w:t xml:space="preserve"> </w:t>
            </w:r>
            <w:r w:rsidRPr="005834BB">
              <w:rPr>
                <w:rFonts w:asciiTheme="majorHAnsi" w:hAnsiTheme="majorHAnsi"/>
                <w:sz w:val="20"/>
                <w:szCs w:val="22"/>
              </w:rPr>
              <w:t>Operate the URS initially as a sole vendor, supervised by ICANN</w:t>
            </w:r>
            <w:r>
              <w:rPr>
                <w:rFonts w:asciiTheme="majorHAnsi" w:hAnsiTheme="majorHAnsi"/>
                <w:sz w:val="20"/>
                <w:szCs w:val="22"/>
              </w:rPr>
              <w:t xml:space="preserve"> </w:t>
            </w:r>
          </w:p>
          <w:p w:rsidR="005834BB" w:rsidRDefault="005834BB" w:rsidP="005834BB">
            <w:pPr>
              <w:rPr>
                <w:rFonts w:asciiTheme="majorHAnsi" w:hAnsiTheme="majorHAnsi"/>
                <w:sz w:val="20"/>
                <w:szCs w:val="22"/>
              </w:rPr>
            </w:pPr>
          </w:p>
          <w:p w:rsidR="00873EAA" w:rsidRDefault="005834BB" w:rsidP="005834BB">
            <w:pPr>
              <w:rPr>
                <w:rFonts w:asciiTheme="majorHAnsi" w:hAnsiTheme="majorHAnsi"/>
                <w:sz w:val="20"/>
                <w:szCs w:val="22"/>
              </w:rPr>
            </w:pPr>
            <w:r w:rsidRPr="005834BB">
              <w:rPr>
                <w:rFonts w:asciiTheme="majorHAnsi" w:hAnsiTheme="majorHAnsi"/>
                <w:sz w:val="20"/>
                <w:szCs w:val="22"/>
              </w:rPr>
              <w:t>Commit to monitoring the disposition of URS cases to see of names subject to a URS are rapidly re</w:t>
            </w:r>
            <w:r w:rsidR="00873EAA">
              <w:rPr>
                <w:rFonts w:asciiTheme="majorHAnsi" w:hAnsiTheme="majorHAnsi"/>
                <w:sz w:val="20"/>
                <w:szCs w:val="22"/>
              </w:rPr>
              <w:t>-</w:t>
            </w:r>
            <w:r w:rsidRPr="005834BB">
              <w:rPr>
                <w:rFonts w:asciiTheme="majorHAnsi" w:hAnsiTheme="majorHAnsi"/>
                <w:sz w:val="20"/>
                <w:szCs w:val="22"/>
              </w:rPr>
              <w:t xml:space="preserve">registered by others.  </w:t>
            </w:r>
          </w:p>
          <w:p w:rsidR="00873EAA" w:rsidRDefault="00873EAA" w:rsidP="005834BB">
            <w:pPr>
              <w:rPr>
                <w:rFonts w:asciiTheme="majorHAnsi" w:hAnsiTheme="majorHAnsi"/>
                <w:sz w:val="20"/>
                <w:szCs w:val="22"/>
              </w:rPr>
            </w:pPr>
          </w:p>
          <w:p w:rsidR="005834BB" w:rsidRPr="005834BB" w:rsidRDefault="005834BB" w:rsidP="005834BB">
            <w:pPr>
              <w:rPr>
                <w:rFonts w:asciiTheme="majorHAnsi" w:hAnsiTheme="majorHAnsi"/>
                <w:sz w:val="20"/>
                <w:szCs w:val="22"/>
              </w:rPr>
            </w:pPr>
            <w:r w:rsidRPr="005834BB">
              <w:rPr>
                <w:rFonts w:asciiTheme="majorHAnsi" w:hAnsiTheme="majorHAnsi"/>
                <w:sz w:val="20"/>
                <w:szCs w:val="22"/>
              </w:rPr>
              <w:t xml:space="preserve">Future action: If this is the case, additional measures should be taken, such as </w:t>
            </w:r>
            <w:r w:rsidR="00873EAA">
              <w:rPr>
                <w:rFonts w:asciiTheme="majorHAnsi" w:hAnsiTheme="majorHAnsi"/>
                <w:sz w:val="20"/>
                <w:szCs w:val="22"/>
              </w:rPr>
              <w:t>making these names</w:t>
            </w:r>
            <w:r w:rsidRPr="005834BB">
              <w:rPr>
                <w:rFonts w:asciiTheme="majorHAnsi" w:hAnsiTheme="majorHAnsi"/>
                <w:sz w:val="20"/>
                <w:szCs w:val="22"/>
              </w:rPr>
              <w:t xml:space="preserve"> ineligible for future registration. Create sanctions for accredited registrars/r</w:t>
            </w:r>
            <w:r w:rsidR="00873EAA">
              <w:rPr>
                <w:rFonts w:asciiTheme="majorHAnsi" w:hAnsiTheme="majorHAnsi"/>
                <w:sz w:val="20"/>
                <w:szCs w:val="22"/>
              </w:rPr>
              <w:t>esellers who violate such lists</w:t>
            </w:r>
            <w:r w:rsidRPr="005834BB">
              <w:rPr>
                <w:rFonts w:asciiTheme="majorHAnsi" w:hAnsiTheme="majorHAnsi"/>
                <w:sz w:val="20"/>
                <w:szCs w:val="22"/>
              </w:rPr>
              <w:t xml:space="preserve">. </w:t>
            </w:r>
          </w:p>
          <w:p w:rsidR="00625870" w:rsidRPr="00F0792C" w:rsidRDefault="00625870">
            <w:pPr>
              <w:rPr>
                <w:rFonts w:asciiTheme="majorHAnsi" w:hAnsiTheme="majorHAnsi"/>
                <w:sz w:val="20"/>
                <w:szCs w:val="22"/>
              </w:rPr>
            </w:pPr>
          </w:p>
        </w:tc>
        <w:tc>
          <w:tcPr>
            <w:tcW w:w="5580" w:type="dxa"/>
          </w:tcPr>
          <w:p w:rsidR="00772B50" w:rsidRPr="00772B50" w:rsidRDefault="002216D5" w:rsidP="00772B50">
            <w:pPr>
              <w:rPr>
                <w:rFonts w:asciiTheme="majorHAnsi" w:hAnsiTheme="majorHAnsi"/>
                <w:sz w:val="20"/>
                <w:szCs w:val="22"/>
              </w:rPr>
            </w:pPr>
            <w:hyperlink r:id="rId18" w:history="1">
              <w:r w:rsidR="00772B50" w:rsidRPr="00772B50">
                <w:rPr>
                  <w:rStyle w:val="Hyperlink"/>
                  <w:rFonts w:asciiTheme="majorHAnsi" w:hAnsiTheme="majorHAnsi"/>
                  <w:sz w:val="20"/>
                  <w:szCs w:val="22"/>
                </w:rPr>
                <w:t>BC Position on DAG v4 Rights Protection Mechanisms</w:t>
              </w:r>
            </w:hyperlink>
            <w:r w:rsidR="00772B50" w:rsidRPr="00772B50">
              <w:rPr>
                <w:rFonts w:asciiTheme="majorHAnsi" w:hAnsiTheme="majorHAnsi"/>
                <w:sz w:val="20"/>
                <w:szCs w:val="22"/>
              </w:rPr>
              <w:t>, 26-Jul-2010 and</w:t>
            </w:r>
          </w:p>
          <w:p w:rsidR="00772B50" w:rsidRDefault="002216D5" w:rsidP="00772B50">
            <w:pPr>
              <w:rPr>
                <w:rFonts w:asciiTheme="majorHAnsi" w:hAnsiTheme="majorHAnsi"/>
                <w:sz w:val="20"/>
                <w:szCs w:val="22"/>
              </w:rPr>
            </w:pPr>
            <w:hyperlink r:id="rId19" w:history="1">
              <w:r w:rsidR="00772B50" w:rsidRPr="00772B50">
                <w:rPr>
                  <w:rStyle w:val="Hyperlink"/>
                  <w:rFonts w:asciiTheme="majorHAnsi" w:hAnsiTheme="majorHAnsi"/>
                  <w:sz w:val="20"/>
                  <w:szCs w:val="22"/>
                </w:rPr>
                <w:t>BC position ICANN Staff Recommendations for RPMs</w:t>
              </w:r>
            </w:hyperlink>
            <w:r w:rsidR="00772B50" w:rsidRPr="00772B50">
              <w:rPr>
                <w:rFonts w:asciiTheme="majorHAnsi" w:hAnsiTheme="majorHAnsi"/>
                <w:sz w:val="20"/>
                <w:szCs w:val="22"/>
              </w:rPr>
              <w:t>, Nov-2009</w:t>
            </w:r>
          </w:p>
          <w:p w:rsidR="00772B50" w:rsidRPr="00772B50" w:rsidRDefault="00772B50" w:rsidP="00772B50">
            <w:pPr>
              <w:rPr>
                <w:rFonts w:asciiTheme="majorHAnsi" w:hAnsiTheme="majorHAnsi"/>
                <w:sz w:val="20"/>
                <w:szCs w:val="22"/>
              </w:rPr>
            </w:pPr>
          </w:p>
          <w:p w:rsidR="00772B50" w:rsidRPr="00772B50" w:rsidRDefault="00772B50" w:rsidP="00772B50">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772B50"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625870" w:rsidRPr="00F0792C"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1350" w:type="dxa"/>
          </w:tcPr>
          <w:p w:rsidR="00625870" w:rsidRPr="00F0792C" w:rsidRDefault="007E78CE" w:rsidP="00F0792C">
            <w:pPr>
              <w:jc w:val="center"/>
              <w:rPr>
                <w:rFonts w:asciiTheme="majorHAnsi" w:hAnsiTheme="majorHAnsi"/>
                <w:sz w:val="20"/>
                <w:szCs w:val="22"/>
              </w:rPr>
            </w:pPr>
            <w:r>
              <w:rPr>
                <w:rFonts w:asciiTheme="majorHAnsi" w:hAnsiTheme="majorHAnsi"/>
                <w:sz w:val="20"/>
                <w:szCs w:val="22"/>
              </w:rPr>
              <w:t>Y</w:t>
            </w:r>
          </w:p>
        </w:tc>
        <w:tc>
          <w:tcPr>
            <w:tcW w:w="3150" w:type="dxa"/>
          </w:tcPr>
          <w:p w:rsidR="00A56C08" w:rsidRPr="00F0792C" w:rsidRDefault="007E78CE" w:rsidP="007E78CE">
            <w:pPr>
              <w:rPr>
                <w:rFonts w:asciiTheme="majorHAnsi" w:hAnsiTheme="majorHAnsi"/>
                <w:sz w:val="20"/>
                <w:szCs w:val="22"/>
              </w:rPr>
            </w:pPr>
            <w:r>
              <w:rPr>
                <w:rFonts w:asciiTheme="majorHAnsi" w:hAnsiTheme="majorHAnsi"/>
                <w:sz w:val="20"/>
                <w:szCs w:val="22"/>
              </w:rPr>
              <w:t>I agree on the urgent need for a transfer option</w:t>
            </w:r>
            <w:r w:rsidR="00AD6A81">
              <w:rPr>
                <w:rFonts w:asciiTheme="majorHAnsi" w:hAnsiTheme="majorHAnsi"/>
                <w:sz w:val="20"/>
                <w:szCs w:val="22"/>
              </w:rPr>
              <w:t xml:space="preserve"> per the prior BC comments</w:t>
            </w:r>
            <w:r>
              <w:rPr>
                <w:rFonts w:asciiTheme="majorHAnsi" w:hAnsiTheme="majorHAnsi"/>
                <w:sz w:val="20"/>
                <w:szCs w:val="22"/>
              </w:rPr>
              <w:t>.  However, I think we need to nuan</w:t>
            </w:r>
            <w:r w:rsidR="00AD6A81">
              <w:rPr>
                <w:rFonts w:asciiTheme="majorHAnsi" w:hAnsiTheme="majorHAnsi"/>
                <w:sz w:val="20"/>
                <w:szCs w:val="22"/>
              </w:rPr>
              <w:t>ce our response to include advic</w:t>
            </w:r>
            <w:r>
              <w:rPr>
                <w:rFonts w:asciiTheme="majorHAnsi" w:hAnsiTheme="majorHAnsi"/>
                <w:sz w:val="20"/>
                <w:szCs w:val="22"/>
              </w:rPr>
              <w:t xml:space="preserve">e on </w:t>
            </w:r>
            <w:proofErr w:type="gramStart"/>
            <w:r>
              <w:rPr>
                <w:rFonts w:asciiTheme="majorHAnsi" w:hAnsiTheme="majorHAnsi"/>
                <w:sz w:val="20"/>
                <w:szCs w:val="22"/>
              </w:rPr>
              <w:t>who</w:t>
            </w:r>
            <w:proofErr w:type="gramEnd"/>
            <w:r>
              <w:rPr>
                <w:rFonts w:asciiTheme="majorHAnsi" w:hAnsiTheme="majorHAnsi"/>
                <w:sz w:val="20"/>
                <w:szCs w:val="22"/>
              </w:rPr>
              <w:t xml:space="preserve"> the proper vendor should be.  ICANN must also commit to fixing the problems with the URS, which currently render it unworkable, </w:t>
            </w:r>
            <w:proofErr w:type="gramStart"/>
            <w:r>
              <w:rPr>
                <w:rFonts w:asciiTheme="majorHAnsi" w:hAnsiTheme="majorHAnsi"/>
                <w:sz w:val="20"/>
                <w:szCs w:val="22"/>
              </w:rPr>
              <w:t>including  the</w:t>
            </w:r>
            <w:proofErr w:type="gramEnd"/>
            <w:r>
              <w:rPr>
                <w:rFonts w:asciiTheme="majorHAnsi" w:hAnsiTheme="majorHAnsi"/>
                <w:sz w:val="20"/>
                <w:szCs w:val="22"/>
              </w:rPr>
              <w:t xml:space="preserve"> unreasonably high standard of proof (clear and convincing evidence standard vs. UDRP’s preponderance of evidence standard) and the fact that a URS provider can be opining on the sufficiency of a trademark owner’s use.  Even a single provider, if they pick the wrong one, could be a disaster.</w:t>
            </w:r>
          </w:p>
        </w:tc>
      </w:tr>
      <w:tr w:rsidR="00246FD1" w:rsidRPr="00F0792C">
        <w:tc>
          <w:tcPr>
            <w:tcW w:w="4230" w:type="dxa"/>
          </w:tcPr>
          <w:p w:rsidR="00581C4E" w:rsidRDefault="000D6405" w:rsidP="00581C4E">
            <w:pPr>
              <w:rPr>
                <w:rFonts w:asciiTheme="majorHAnsi" w:hAnsiTheme="majorHAnsi"/>
                <w:sz w:val="20"/>
                <w:szCs w:val="22"/>
              </w:rPr>
            </w:pPr>
            <w:r>
              <w:rPr>
                <w:rFonts w:asciiTheme="majorHAnsi" w:hAnsiTheme="majorHAnsi"/>
                <w:sz w:val="20"/>
                <w:szCs w:val="22"/>
              </w:rPr>
              <w:t>(4) RAA Amendments</w:t>
            </w:r>
            <w:r w:rsidR="00581C4E">
              <w:rPr>
                <w:rFonts w:asciiTheme="majorHAnsi" w:hAnsiTheme="majorHAnsi"/>
                <w:sz w:val="20"/>
                <w:szCs w:val="22"/>
              </w:rPr>
              <w:t xml:space="preserve">.  </w:t>
            </w:r>
            <w:r w:rsidR="00581C4E" w:rsidRPr="00581C4E">
              <w:rPr>
                <w:rFonts w:asciiTheme="majorHAnsi" w:hAnsiTheme="majorHAnsi"/>
                <w:sz w:val="20"/>
                <w:szCs w:val="22"/>
              </w:rPr>
              <w:t xml:space="preserve">ICANN should require registrars to comply with </w:t>
            </w:r>
            <w:r w:rsidR="00581C4E">
              <w:rPr>
                <w:rFonts w:asciiTheme="majorHAnsi" w:hAnsiTheme="majorHAnsi"/>
                <w:sz w:val="20"/>
                <w:szCs w:val="22"/>
              </w:rPr>
              <w:t>the</w:t>
            </w:r>
            <w:r w:rsidR="00581C4E" w:rsidRPr="00581C4E">
              <w:rPr>
                <w:rFonts w:asciiTheme="majorHAnsi" w:hAnsiTheme="majorHAnsi"/>
                <w:sz w:val="20"/>
                <w:szCs w:val="22"/>
              </w:rPr>
              <w:t xml:space="preserve"> </w:t>
            </w:r>
            <w:r w:rsidR="00581C4E">
              <w:rPr>
                <w:rFonts w:asciiTheme="majorHAnsi" w:hAnsiTheme="majorHAnsi"/>
                <w:sz w:val="20"/>
                <w:szCs w:val="22"/>
              </w:rPr>
              <w:t>amended</w:t>
            </w:r>
            <w:r w:rsidR="00581C4E" w:rsidRPr="00581C4E">
              <w:rPr>
                <w:rFonts w:asciiTheme="majorHAnsi" w:hAnsiTheme="majorHAnsi"/>
                <w:sz w:val="20"/>
                <w:szCs w:val="22"/>
              </w:rPr>
              <w:t xml:space="preserve"> RAA in </w:t>
            </w:r>
            <w:r w:rsidR="00581C4E" w:rsidRPr="00581C4E">
              <w:rPr>
                <w:rFonts w:asciiTheme="majorHAnsi" w:hAnsiTheme="majorHAnsi"/>
                <w:sz w:val="20"/>
                <w:szCs w:val="22"/>
              </w:rPr>
              <w:lastRenderedPageBreak/>
              <w:t>order to gain accreditation to distribute names in the new gTLDs.  </w:t>
            </w:r>
          </w:p>
          <w:p w:rsidR="00581C4E" w:rsidRDefault="00581C4E" w:rsidP="00581C4E">
            <w:pPr>
              <w:rPr>
                <w:rFonts w:asciiTheme="majorHAnsi" w:hAnsiTheme="majorHAnsi"/>
                <w:sz w:val="20"/>
                <w:szCs w:val="22"/>
              </w:rPr>
            </w:pPr>
          </w:p>
          <w:p w:rsidR="000D6405" w:rsidRDefault="00581C4E" w:rsidP="00246FD1">
            <w:pPr>
              <w:rPr>
                <w:rFonts w:asciiTheme="majorHAnsi" w:hAnsiTheme="majorHAnsi"/>
                <w:sz w:val="20"/>
                <w:szCs w:val="22"/>
              </w:rPr>
            </w:pPr>
            <w:r w:rsidRPr="00581C4E">
              <w:rPr>
                <w:rFonts w:asciiTheme="majorHAnsi" w:hAnsiTheme="majorHAnsi"/>
                <w:sz w:val="20"/>
                <w:szCs w:val="22"/>
              </w:rPr>
              <w:t>At a minimum, ICANN should encourage each new gTLD registry to require this improved RAA for any registrar distributing or managing domain names in the new gTLDs.</w:t>
            </w:r>
          </w:p>
        </w:tc>
        <w:tc>
          <w:tcPr>
            <w:tcW w:w="5580" w:type="dxa"/>
          </w:tcPr>
          <w:p w:rsidR="00581C4E" w:rsidRPr="00581C4E" w:rsidRDefault="00581C4E" w:rsidP="00581C4E">
            <w:pPr>
              <w:rPr>
                <w:rFonts w:asciiTheme="majorHAnsi" w:hAnsiTheme="majorHAnsi"/>
                <w:sz w:val="20"/>
                <w:szCs w:val="22"/>
              </w:rPr>
            </w:pPr>
            <w:r>
              <w:rPr>
                <w:rFonts w:asciiTheme="majorHAnsi" w:hAnsiTheme="majorHAnsi"/>
                <w:sz w:val="20"/>
                <w:szCs w:val="22"/>
              </w:rPr>
              <w:lastRenderedPageBreak/>
              <w:t xml:space="preserve">There is no </w:t>
            </w:r>
            <w:r w:rsidRPr="00581C4E">
              <w:rPr>
                <w:rFonts w:asciiTheme="majorHAnsi" w:hAnsiTheme="majorHAnsi"/>
                <w:sz w:val="20"/>
                <w:szCs w:val="22"/>
              </w:rPr>
              <w:t>formally adopted position on th</w:t>
            </w:r>
            <w:r>
              <w:rPr>
                <w:rFonts w:asciiTheme="majorHAnsi" w:hAnsiTheme="majorHAnsi"/>
                <w:sz w:val="20"/>
                <w:szCs w:val="22"/>
              </w:rPr>
              <w:t xml:space="preserve">e topic of amended RAA and new gTLDs.   However, </w:t>
            </w:r>
            <w:r w:rsidRPr="00581C4E">
              <w:rPr>
                <w:rFonts w:asciiTheme="majorHAnsi" w:hAnsiTheme="majorHAnsi"/>
                <w:sz w:val="20"/>
                <w:szCs w:val="22"/>
              </w:rPr>
              <w:t xml:space="preserve">the BC has frequently cited need </w:t>
            </w:r>
            <w:r w:rsidRPr="00581C4E">
              <w:rPr>
                <w:rFonts w:asciiTheme="majorHAnsi" w:hAnsiTheme="majorHAnsi"/>
                <w:sz w:val="20"/>
                <w:szCs w:val="22"/>
              </w:rPr>
              <w:lastRenderedPageBreak/>
              <w:t xml:space="preserve">for stronger requirements on registrars, incl WHOIS accuracy, WHOIS Access, transfers, tasting, etc. </w:t>
            </w:r>
          </w:p>
          <w:p w:rsidR="00246FD1" w:rsidRPr="00246FD1" w:rsidRDefault="00246FD1" w:rsidP="00246FD1">
            <w:pPr>
              <w:rPr>
                <w:rFonts w:asciiTheme="majorHAnsi" w:hAnsiTheme="majorHAnsi"/>
                <w:sz w:val="20"/>
                <w:szCs w:val="22"/>
              </w:rPr>
            </w:pPr>
          </w:p>
        </w:tc>
        <w:tc>
          <w:tcPr>
            <w:tcW w:w="1350" w:type="dxa"/>
          </w:tcPr>
          <w:p w:rsidR="00246FD1" w:rsidRPr="00F0792C" w:rsidRDefault="00075E26" w:rsidP="00F0792C">
            <w:pPr>
              <w:jc w:val="center"/>
              <w:rPr>
                <w:rFonts w:asciiTheme="majorHAnsi" w:hAnsiTheme="majorHAnsi"/>
                <w:sz w:val="20"/>
                <w:szCs w:val="22"/>
              </w:rPr>
            </w:pPr>
            <w:r>
              <w:rPr>
                <w:rFonts w:asciiTheme="majorHAnsi" w:hAnsiTheme="majorHAnsi"/>
                <w:sz w:val="20"/>
                <w:szCs w:val="22"/>
              </w:rPr>
              <w:lastRenderedPageBreak/>
              <w:t>Y</w:t>
            </w:r>
          </w:p>
        </w:tc>
        <w:tc>
          <w:tcPr>
            <w:tcW w:w="3150" w:type="dxa"/>
          </w:tcPr>
          <w:p w:rsidR="00246FD1" w:rsidRPr="00F0792C" w:rsidRDefault="007E78CE">
            <w:pPr>
              <w:rPr>
                <w:rFonts w:asciiTheme="majorHAnsi" w:hAnsiTheme="majorHAnsi"/>
                <w:sz w:val="20"/>
                <w:szCs w:val="22"/>
              </w:rPr>
            </w:pPr>
            <w:r>
              <w:rPr>
                <w:rFonts w:asciiTheme="majorHAnsi" w:hAnsiTheme="majorHAnsi"/>
                <w:sz w:val="20"/>
                <w:szCs w:val="22"/>
              </w:rPr>
              <w:t xml:space="preserve">Any new registry (and underlying registrars) should be required to </w:t>
            </w:r>
            <w:r>
              <w:rPr>
                <w:rFonts w:asciiTheme="majorHAnsi" w:hAnsiTheme="majorHAnsi"/>
                <w:sz w:val="20"/>
                <w:szCs w:val="22"/>
              </w:rPr>
              <w:lastRenderedPageBreak/>
              <w:t>comply with the RAA in whatever form and the new RAA will hopefully have the new safeguards for law enforcement, consumer protection etc.</w:t>
            </w:r>
          </w:p>
        </w:tc>
      </w:tr>
      <w:tr w:rsidR="009F6AB0" w:rsidRPr="00F0792C">
        <w:tc>
          <w:tcPr>
            <w:tcW w:w="4230" w:type="dxa"/>
          </w:tcPr>
          <w:p w:rsidR="009F6AB0" w:rsidRDefault="009F6AB0" w:rsidP="00581C4E">
            <w:pPr>
              <w:rPr>
                <w:rFonts w:asciiTheme="majorHAnsi" w:hAnsiTheme="majorHAnsi"/>
                <w:sz w:val="20"/>
                <w:szCs w:val="22"/>
              </w:rPr>
            </w:pPr>
          </w:p>
          <w:p w:rsidR="009F6AB0" w:rsidRPr="000D6405" w:rsidRDefault="009F6AB0" w:rsidP="000D6405">
            <w:pPr>
              <w:rPr>
                <w:rFonts w:asciiTheme="majorHAnsi" w:hAnsiTheme="majorHAnsi"/>
                <w:sz w:val="20"/>
                <w:szCs w:val="22"/>
              </w:rPr>
            </w:pPr>
            <w:r>
              <w:rPr>
                <w:rFonts w:asciiTheme="majorHAnsi" w:hAnsiTheme="majorHAnsi"/>
                <w:sz w:val="20"/>
                <w:szCs w:val="22"/>
              </w:rPr>
              <w:t xml:space="preserve">(5) </w:t>
            </w:r>
            <w:r w:rsidRPr="000D6405">
              <w:rPr>
                <w:rFonts w:asciiTheme="majorHAnsi" w:hAnsiTheme="majorHAnsi"/>
                <w:sz w:val="20"/>
                <w:szCs w:val="22"/>
              </w:rPr>
              <w:t xml:space="preserve">Review the criteria for community facing TLDs to avoid sending such applications to auction mechanisms, particularly in the instances of not for profit, charitable names </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7065C6" w:rsidRDefault="00075E26" w:rsidP="00581C4E">
            <w:pPr>
              <w:jc w:val="center"/>
              <w:rPr>
                <w:rFonts w:asciiTheme="majorHAnsi" w:hAnsiTheme="majorHAnsi"/>
                <w:sz w:val="20"/>
                <w:szCs w:val="22"/>
              </w:rPr>
            </w:pPr>
            <w:r w:rsidRPr="007065C6">
              <w:rPr>
                <w:rFonts w:asciiTheme="majorHAnsi" w:hAnsiTheme="majorHAnsi"/>
                <w:sz w:val="20"/>
                <w:szCs w:val="22"/>
              </w:rPr>
              <w:t>Y</w:t>
            </w:r>
          </w:p>
        </w:tc>
        <w:tc>
          <w:tcPr>
            <w:tcW w:w="3150" w:type="dxa"/>
          </w:tcPr>
          <w:p w:rsidR="00B03E19" w:rsidRPr="0090718B" w:rsidRDefault="007065C6" w:rsidP="007065C6">
            <w:pPr>
              <w:rPr>
                <w:rFonts w:asciiTheme="majorHAnsi" w:hAnsiTheme="majorHAnsi"/>
                <w:sz w:val="20"/>
                <w:szCs w:val="22"/>
              </w:rPr>
            </w:pPr>
            <w:r>
              <w:rPr>
                <w:rFonts w:asciiTheme="majorHAnsi" w:hAnsiTheme="majorHAnsi"/>
                <w:sz w:val="20"/>
                <w:szCs w:val="22"/>
              </w:rPr>
              <w:t xml:space="preserve"> </w:t>
            </w:r>
            <w:r w:rsidR="007E78CE">
              <w:rPr>
                <w:rFonts w:asciiTheme="majorHAnsi" w:hAnsiTheme="majorHAnsi"/>
                <w:sz w:val="20"/>
                <w:szCs w:val="22"/>
              </w:rPr>
              <w:t>Agree but I also believe the commercial auctions are a similar revenue-generation scheme with little correlation to who is best suited to operate as a registry</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(6) </w:t>
            </w:r>
            <w:r w:rsidRPr="000D6405">
              <w:rPr>
                <w:rFonts w:asciiTheme="majorHAnsi" w:hAnsiTheme="majorHAnsi"/>
                <w:sz w:val="20"/>
                <w:szCs w:val="22"/>
              </w:rPr>
              <w:t>Review the conditions under which a trademark name might end up being sent to auction mechanisms, and improve other options</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9F6AB0" w:rsidP="00581C4E">
            <w:pPr>
              <w:rPr>
                <w:rFonts w:asciiTheme="majorHAnsi" w:hAnsiTheme="majorHAnsi"/>
                <w:sz w:val="20"/>
                <w:szCs w:val="22"/>
              </w:rPr>
            </w:pP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(7) </w:t>
            </w:r>
            <w:r w:rsidRPr="000D6405">
              <w:rPr>
                <w:rFonts w:asciiTheme="majorHAnsi" w:hAnsiTheme="majorHAnsi"/>
                <w:sz w:val="20"/>
                <w:szCs w:val="22"/>
              </w:rPr>
              <w:t>WHOIS Accuracy – improve the requirement of validation of WHOIS data for new gTLDs. [Thick WHOIS does not equate to accurate WHOIS data]</w:t>
            </w:r>
            <w:r>
              <w:rPr>
                <w:rFonts w:asciiTheme="majorHAnsi" w:hAnsiTheme="majorHAnsi"/>
                <w:sz w:val="20"/>
                <w:szCs w:val="22"/>
              </w:rPr>
              <w:t xml:space="preserve"> </w:t>
            </w:r>
          </w:p>
          <w:p w:rsidR="009F6AB0" w:rsidRDefault="009F6AB0" w:rsidP="00581C4E">
            <w:pPr>
              <w:rPr>
                <w:rFonts w:asciiTheme="majorHAnsi" w:hAnsiTheme="majorHAnsi"/>
                <w:sz w:val="20"/>
                <w:szCs w:val="22"/>
              </w:rPr>
            </w:pP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F0792C" w:rsidRDefault="0090718B" w:rsidP="00581C4E">
            <w:pPr>
              <w:jc w:val="center"/>
              <w:rPr>
                <w:rFonts w:asciiTheme="majorHAnsi" w:hAnsiTheme="majorHAnsi"/>
                <w:sz w:val="20"/>
                <w:szCs w:val="22"/>
              </w:rPr>
            </w:pPr>
            <w:r>
              <w:rPr>
                <w:rFonts w:asciiTheme="majorHAnsi" w:hAnsiTheme="majorHAnsi"/>
                <w:sz w:val="20"/>
                <w:szCs w:val="22"/>
              </w:rPr>
              <w:t>Y</w:t>
            </w:r>
          </w:p>
        </w:tc>
        <w:tc>
          <w:tcPr>
            <w:tcW w:w="3150" w:type="dxa"/>
          </w:tcPr>
          <w:p w:rsidR="009F6AB0" w:rsidRPr="0090718B" w:rsidRDefault="007E78CE" w:rsidP="00B10F1A">
            <w:pPr>
              <w:rPr>
                <w:rFonts w:asciiTheme="majorHAnsi" w:hAnsiTheme="majorHAnsi"/>
                <w:sz w:val="20"/>
                <w:szCs w:val="22"/>
              </w:rPr>
            </w:pPr>
            <w:r>
              <w:rPr>
                <w:rFonts w:asciiTheme="majorHAnsi" w:hAnsiTheme="majorHAnsi"/>
                <w:sz w:val="20"/>
                <w:szCs w:val="22"/>
              </w:rPr>
              <w:t xml:space="preserve">Although I agree that thick WHOIS does not always equate with accurate WHOIS, the BC has always been in support of more accurate WHOIS so we should support stronger WHOIS authentication, especially where domain names are registered </w:t>
            </w:r>
            <w:proofErr w:type="gramStart"/>
            <w:r>
              <w:rPr>
                <w:rFonts w:asciiTheme="majorHAnsi" w:hAnsiTheme="majorHAnsi"/>
                <w:sz w:val="20"/>
                <w:szCs w:val="22"/>
              </w:rPr>
              <w:t xml:space="preserve">through  </w:t>
            </w:r>
            <w:proofErr w:type="spellStart"/>
            <w:r>
              <w:rPr>
                <w:rFonts w:asciiTheme="majorHAnsi" w:hAnsiTheme="majorHAnsi"/>
                <w:sz w:val="20"/>
                <w:szCs w:val="22"/>
              </w:rPr>
              <w:t>a</w:t>
            </w:r>
            <w:proofErr w:type="spellEnd"/>
            <w:proofErr w:type="gramEnd"/>
            <w:r>
              <w:rPr>
                <w:rFonts w:asciiTheme="majorHAnsi" w:hAnsiTheme="majorHAnsi"/>
                <w:sz w:val="20"/>
                <w:szCs w:val="22"/>
              </w:rPr>
              <w:t xml:space="preserve"> privacy service.  Registrars should warn potential registrants who search for a new domain name using a “domain spinner tool” that the name they are searching may be similar to a third party’s trademarks and have them acknowledge receipt of the warning when registering a name along with a </w:t>
            </w:r>
            <w:r>
              <w:rPr>
                <w:rFonts w:asciiTheme="majorHAnsi" w:hAnsiTheme="majorHAnsi"/>
                <w:sz w:val="20"/>
                <w:szCs w:val="22"/>
              </w:rPr>
              <w:lastRenderedPageBreak/>
              <w:t>good faith belief that they are not violating the rights of third parties</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lastRenderedPageBreak/>
              <w:t xml:space="preserve">(8) </w:t>
            </w:r>
            <w:r w:rsidRPr="000D6405">
              <w:rPr>
                <w:rFonts w:asciiTheme="majorHAnsi" w:hAnsiTheme="majorHAnsi"/>
                <w:sz w:val="20"/>
                <w:szCs w:val="22"/>
              </w:rPr>
              <w:t xml:space="preserve">Add a “do not register/registry block” service to the Trademark Clearinghouse, allowing any trademark holder to pay a one time fee to permanently prevent registration of names that are an identical match or include the identical match trademark name.  </w:t>
            </w:r>
          </w:p>
          <w:p w:rsidR="009F6AB0" w:rsidRDefault="009F6AB0" w:rsidP="00581C4E">
            <w:pPr>
              <w:rPr>
                <w:rFonts w:asciiTheme="majorHAnsi" w:hAnsiTheme="majorHAnsi"/>
                <w:sz w:val="20"/>
                <w:szCs w:val="22"/>
              </w:rPr>
            </w:pPr>
            <w:r w:rsidRPr="000D6405">
              <w:rPr>
                <w:rFonts w:asciiTheme="majorHAnsi" w:hAnsiTheme="majorHAnsi"/>
                <w:sz w:val="20"/>
                <w:szCs w:val="22"/>
              </w:rPr>
              <w:t xml:space="preserve">Operate this for two years, </w:t>
            </w:r>
            <w:r>
              <w:rPr>
                <w:rFonts w:asciiTheme="majorHAnsi" w:hAnsiTheme="majorHAnsi"/>
                <w:sz w:val="20"/>
                <w:szCs w:val="22"/>
              </w:rPr>
              <w:t>then evaluate continuation of</w:t>
            </w:r>
            <w:r w:rsidRPr="000D6405">
              <w:rPr>
                <w:rFonts w:asciiTheme="majorHAnsi" w:hAnsiTheme="majorHAnsi"/>
                <w:sz w:val="20"/>
                <w:szCs w:val="22"/>
              </w:rPr>
              <w:t xml:space="preserve"> this service.  </w:t>
            </w:r>
          </w:p>
          <w:p w:rsidR="009F6AB0" w:rsidRDefault="009F6AB0" w:rsidP="00DD7A9C">
            <w:pPr>
              <w:rPr>
                <w:rFonts w:asciiTheme="majorHAnsi" w:hAnsiTheme="majorHAnsi"/>
                <w:sz w:val="20"/>
                <w:szCs w:val="22"/>
              </w:rPr>
            </w:pPr>
            <w:r>
              <w:rPr>
                <w:rFonts w:asciiTheme="majorHAnsi" w:hAnsiTheme="majorHAnsi"/>
                <w:sz w:val="20"/>
                <w:szCs w:val="22"/>
              </w:rPr>
              <w:t>The</w:t>
            </w:r>
            <w:r w:rsidRPr="000D6405">
              <w:rPr>
                <w:rFonts w:asciiTheme="majorHAnsi" w:hAnsiTheme="majorHAnsi"/>
                <w:sz w:val="20"/>
                <w:szCs w:val="22"/>
              </w:rPr>
              <w:t xml:space="preserve"> fee per name should be a one time fee that covers all new gTLDs, and creates a database of ‘reserve names’ which meet certain criteria. </w:t>
            </w:r>
          </w:p>
        </w:tc>
        <w:tc>
          <w:tcPr>
            <w:tcW w:w="5580" w:type="dxa"/>
          </w:tcPr>
          <w:p w:rsidR="009F6AB0" w:rsidRDefault="002216D5" w:rsidP="00DD7A9C">
            <w:pPr>
              <w:rPr>
                <w:rFonts w:asciiTheme="majorHAnsi" w:hAnsiTheme="majorHAnsi"/>
                <w:sz w:val="20"/>
                <w:szCs w:val="22"/>
              </w:rPr>
            </w:pPr>
            <w:hyperlink r:id="rId20" w:history="1">
              <w:r w:rsidR="009F6AB0" w:rsidRPr="00C10B53">
                <w:rPr>
                  <w:rStyle w:val="Hyperlink"/>
                  <w:rFonts w:asciiTheme="majorHAnsi" w:hAnsiTheme="majorHAnsi"/>
                  <w:sz w:val="20"/>
                  <w:szCs w:val="22"/>
                </w:rPr>
                <w:t>BC position ICANN Staff Recommendations for RPMs</w:t>
              </w:r>
            </w:hyperlink>
            <w:r w:rsidR="009F6AB0" w:rsidRPr="00C10B53">
              <w:rPr>
                <w:rFonts w:asciiTheme="majorHAnsi" w:hAnsiTheme="majorHAnsi"/>
                <w:sz w:val="20"/>
                <w:szCs w:val="22"/>
              </w:rPr>
              <w:t>, Nov-2009</w:t>
            </w:r>
            <w:r w:rsidR="009F6AB0">
              <w:rPr>
                <w:rFonts w:asciiTheme="majorHAnsi" w:hAnsiTheme="majorHAnsi"/>
                <w:sz w:val="20"/>
                <w:szCs w:val="22"/>
              </w:rPr>
              <w:t xml:space="preserve"> </w:t>
            </w:r>
          </w:p>
          <w:p w:rsidR="009F6AB0" w:rsidRDefault="009F6AB0" w:rsidP="00DD7A9C">
            <w:pPr>
              <w:rPr>
                <w:rFonts w:asciiTheme="majorHAnsi" w:hAnsiTheme="majorHAnsi"/>
                <w:sz w:val="20"/>
                <w:szCs w:val="22"/>
              </w:rPr>
            </w:pPr>
            <w:r w:rsidRPr="00DD7A9C">
              <w:rPr>
                <w:rFonts w:asciiTheme="majorHAnsi" w:hAnsiTheme="majorHAnsi"/>
                <w:sz w:val="20"/>
                <w:szCs w:val="22"/>
              </w:rPr>
              <w:t>The BC sees the rejection of the GPML as a major setback as it leaves open the issue of defensive registrations without any solution being made available to address or remedy this problem related to the launch of new gTLDs.</w:t>
            </w:r>
          </w:p>
          <w:p w:rsidR="009F6AB0" w:rsidRPr="00DD7A9C" w:rsidRDefault="009F6AB0" w:rsidP="00DD7A9C">
            <w:pPr>
              <w:rPr>
                <w:rFonts w:asciiTheme="majorHAnsi" w:hAnsiTheme="majorHAnsi"/>
                <w:sz w:val="20"/>
                <w:szCs w:val="22"/>
              </w:rPr>
            </w:pPr>
          </w:p>
          <w:p w:rsidR="009F6AB0" w:rsidRPr="00DD7A9C" w:rsidRDefault="009F6AB0" w:rsidP="00DD7A9C">
            <w:pPr>
              <w:rPr>
                <w:rFonts w:asciiTheme="majorHAnsi" w:hAnsiTheme="majorHAnsi"/>
                <w:sz w:val="20"/>
                <w:szCs w:val="22"/>
              </w:rPr>
            </w:pPr>
            <w:r w:rsidRPr="00DD7A9C">
              <w:rPr>
                <w:rFonts w:asciiTheme="majorHAnsi" w:hAnsiTheme="majorHAnsi"/>
                <w:sz w:val="20"/>
                <w:szCs w:val="22"/>
              </w:rPr>
              <w:t>Absence of this from the Proposed RPMS means that TM holders and Businesses will HAVE TO undertake Defensive Registrations. Effectively PAY for unwanted domains in EVERY new gTLD.</w:t>
            </w:r>
          </w:p>
          <w:p w:rsidR="009F6AB0" w:rsidRPr="00246FD1" w:rsidRDefault="009F6AB0" w:rsidP="00DD7A9C">
            <w:pPr>
              <w:rPr>
                <w:rFonts w:asciiTheme="majorHAnsi" w:hAnsiTheme="majorHAnsi"/>
                <w:sz w:val="20"/>
                <w:szCs w:val="22"/>
              </w:rPr>
            </w:pPr>
          </w:p>
        </w:tc>
        <w:tc>
          <w:tcPr>
            <w:tcW w:w="1350" w:type="dxa"/>
          </w:tcPr>
          <w:p w:rsidR="009F6AB0" w:rsidRPr="0090718B" w:rsidRDefault="0090718B" w:rsidP="00581C4E">
            <w:pPr>
              <w:jc w:val="center"/>
              <w:rPr>
                <w:rFonts w:asciiTheme="majorHAnsi" w:hAnsiTheme="majorHAnsi"/>
                <w:sz w:val="20"/>
                <w:szCs w:val="22"/>
              </w:rPr>
            </w:pPr>
            <w:r w:rsidRPr="0090718B">
              <w:rPr>
                <w:rFonts w:asciiTheme="majorHAnsi" w:hAnsiTheme="majorHAnsi"/>
                <w:sz w:val="20"/>
                <w:szCs w:val="22"/>
              </w:rPr>
              <w:t>Y</w:t>
            </w:r>
          </w:p>
        </w:tc>
        <w:tc>
          <w:tcPr>
            <w:tcW w:w="3150" w:type="dxa"/>
          </w:tcPr>
          <w:p w:rsidR="00CE3355" w:rsidRPr="0090718B" w:rsidRDefault="007E78CE" w:rsidP="00AD6A81">
            <w:pPr>
              <w:rPr>
                <w:rFonts w:asciiTheme="majorHAnsi" w:hAnsiTheme="majorHAnsi"/>
                <w:sz w:val="20"/>
                <w:szCs w:val="22"/>
              </w:rPr>
            </w:pPr>
            <w:r>
              <w:rPr>
                <w:rFonts w:asciiTheme="majorHAnsi" w:hAnsiTheme="majorHAnsi"/>
                <w:sz w:val="20"/>
                <w:szCs w:val="22"/>
              </w:rPr>
              <w:t xml:space="preserve">Trademark owners should have a one-stop opt-out option for either low fee or </w:t>
            </w:r>
            <w:proofErr w:type="gramStart"/>
            <w:r>
              <w:rPr>
                <w:rFonts w:asciiTheme="majorHAnsi" w:hAnsiTheme="majorHAnsi"/>
                <w:sz w:val="20"/>
                <w:szCs w:val="22"/>
              </w:rPr>
              <w:t>no</w:t>
            </w:r>
            <w:r w:rsidR="00AD6A81">
              <w:rPr>
                <w:rFonts w:asciiTheme="majorHAnsi" w:hAnsiTheme="majorHAnsi"/>
                <w:sz w:val="20"/>
                <w:szCs w:val="22"/>
              </w:rPr>
              <w:t>-</w:t>
            </w:r>
            <w:r>
              <w:rPr>
                <w:rFonts w:asciiTheme="majorHAnsi" w:hAnsiTheme="majorHAnsi"/>
                <w:sz w:val="20"/>
                <w:szCs w:val="22"/>
              </w:rPr>
              <w:t xml:space="preserve"> cost </w:t>
            </w:r>
            <w:r w:rsidR="00AD6A81">
              <w:rPr>
                <w:rFonts w:asciiTheme="majorHAnsi" w:hAnsiTheme="majorHAnsi"/>
                <w:sz w:val="20"/>
                <w:szCs w:val="22"/>
              </w:rPr>
              <w:t>“</w:t>
            </w:r>
            <w:r>
              <w:rPr>
                <w:rFonts w:asciiTheme="majorHAnsi" w:hAnsiTheme="majorHAnsi"/>
                <w:sz w:val="20"/>
                <w:szCs w:val="22"/>
              </w:rPr>
              <w:t>do not register</w:t>
            </w:r>
            <w:r w:rsidR="00AD6A81">
              <w:rPr>
                <w:rFonts w:asciiTheme="majorHAnsi" w:hAnsiTheme="majorHAnsi"/>
                <w:sz w:val="20"/>
                <w:szCs w:val="22"/>
              </w:rPr>
              <w:t>”</w:t>
            </w:r>
            <w:proofErr w:type="gramEnd"/>
            <w:r w:rsidR="00AD6A81">
              <w:rPr>
                <w:rFonts w:asciiTheme="majorHAnsi" w:hAnsiTheme="majorHAnsi"/>
                <w:sz w:val="20"/>
                <w:szCs w:val="22"/>
              </w:rPr>
              <w:t xml:space="preserve"> service</w:t>
            </w:r>
            <w:bookmarkStart w:id="0" w:name="_GoBack"/>
            <w:bookmarkEnd w:id="0"/>
            <w:r>
              <w:rPr>
                <w:rFonts w:asciiTheme="majorHAnsi" w:hAnsiTheme="majorHAnsi"/>
                <w:sz w:val="20"/>
                <w:szCs w:val="22"/>
              </w:rPr>
              <w:t xml:space="preserve">.  In the case of disputes, there could be an administrative process similar to the UDRP. Governments, NGOs, nonprofits, </w:t>
            </w:r>
            <w:proofErr w:type="spellStart"/>
            <w:r>
              <w:rPr>
                <w:rFonts w:asciiTheme="majorHAnsi" w:hAnsiTheme="majorHAnsi"/>
                <w:sz w:val="20"/>
                <w:szCs w:val="22"/>
              </w:rPr>
              <w:t>etc</w:t>
            </w:r>
            <w:proofErr w:type="spellEnd"/>
            <w:r>
              <w:rPr>
                <w:rFonts w:asciiTheme="majorHAnsi" w:hAnsiTheme="majorHAnsi"/>
                <w:sz w:val="20"/>
                <w:szCs w:val="22"/>
              </w:rPr>
              <w:t xml:space="preserve"> should all have equal access to this remedy.</w:t>
            </w:r>
          </w:p>
        </w:tc>
      </w:tr>
      <w:tr w:rsidR="009F6AB0" w:rsidRPr="00F0792C">
        <w:tc>
          <w:tcPr>
            <w:tcW w:w="4230" w:type="dxa"/>
          </w:tcPr>
          <w:p w:rsidR="009F6AB0" w:rsidRDefault="009F6AB0" w:rsidP="00581C4E">
            <w:pPr>
              <w:rPr>
                <w:rFonts w:asciiTheme="majorHAnsi" w:hAnsiTheme="majorHAnsi"/>
                <w:sz w:val="20"/>
                <w:szCs w:val="22"/>
              </w:rPr>
            </w:pPr>
            <w:r>
              <w:rPr>
                <w:rFonts w:asciiTheme="majorHAnsi" w:hAnsiTheme="majorHAnsi"/>
                <w:sz w:val="20"/>
                <w:szCs w:val="22"/>
              </w:rPr>
              <w:t xml:space="preserve">(10) </w:t>
            </w:r>
            <w:r w:rsidRPr="000D6405">
              <w:rPr>
                <w:rFonts w:asciiTheme="majorHAnsi" w:hAnsiTheme="majorHAnsi"/>
                <w:sz w:val="20"/>
                <w:szCs w:val="22"/>
              </w:rPr>
              <w:t>Second Round: Board has committed to second Round</w:t>
            </w:r>
            <w:r>
              <w:rPr>
                <w:rFonts w:asciiTheme="majorHAnsi" w:hAnsiTheme="majorHAnsi"/>
                <w:sz w:val="20"/>
                <w:szCs w:val="22"/>
              </w:rPr>
              <w:t xml:space="preserve"> after a</w:t>
            </w:r>
            <w:r w:rsidRPr="000D6405">
              <w:rPr>
                <w:rFonts w:asciiTheme="majorHAnsi" w:hAnsiTheme="majorHAnsi"/>
                <w:sz w:val="20"/>
                <w:szCs w:val="22"/>
              </w:rPr>
              <w:t xml:space="preserve"> trademark study which would start 1 year </w:t>
            </w:r>
            <w:r>
              <w:rPr>
                <w:rFonts w:asciiTheme="majorHAnsi" w:hAnsiTheme="majorHAnsi"/>
                <w:sz w:val="20"/>
                <w:szCs w:val="22"/>
              </w:rPr>
              <w:t>after 75 new gTLDs in the root.</w:t>
            </w:r>
          </w:p>
          <w:p w:rsidR="009F6AB0" w:rsidRDefault="009F6AB0" w:rsidP="00581C4E">
            <w:pPr>
              <w:rPr>
                <w:rFonts w:asciiTheme="majorHAnsi" w:hAnsiTheme="majorHAnsi"/>
                <w:sz w:val="20"/>
                <w:szCs w:val="22"/>
              </w:rPr>
            </w:pPr>
          </w:p>
        </w:tc>
        <w:tc>
          <w:tcPr>
            <w:tcW w:w="5580" w:type="dxa"/>
          </w:tcPr>
          <w:p w:rsidR="009F6AB0" w:rsidRPr="00246FD1" w:rsidRDefault="009F6AB0" w:rsidP="00581C4E">
            <w:pPr>
              <w:rPr>
                <w:rFonts w:asciiTheme="majorHAnsi" w:hAnsiTheme="majorHAnsi"/>
                <w:sz w:val="20"/>
                <w:szCs w:val="22"/>
              </w:rPr>
            </w:pPr>
          </w:p>
        </w:tc>
        <w:tc>
          <w:tcPr>
            <w:tcW w:w="1350" w:type="dxa"/>
          </w:tcPr>
          <w:p w:rsidR="009F6AB0" w:rsidRPr="006B3E10" w:rsidRDefault="006B3E10" w:rsidP="00581C4E">
            <w:pPr>
              <w:jc w:val="center"/>
              <w:rPr>
                <w:rFonts w:asciiTheme="majorHAnsi" w:hAnsiTheme="majorHAnsi"/>
                <w:sz w:val="20"/>
                <w:szCs w:val="22"/>
              </w:rPr>
            </w:pPr>
            <w:r w:rsidRPr="006B3E10">
              <w:rPr>
                <w:rFonts w:asciiTheme="majorHAnsi" w:hAnsiTheme="majorHAnsi"/>
                <w:sz w:val="20"/>
                <w:szCs w:val="22"/>
              </w:rPr>
              <w:t>Y</w:t>
            </w:r>
          </w:p>
        </w:tc>
        <w:tc>
          <w:tcPr>
            <w:tcW w:w="3150" w:type="dxa"/>
          </w:tcPr>
          <w:p w:rsidR="00CE3355" w:rsidRPr="006B3E10" w:rsidRDefault="00AD6A81" w:rsidP="00CE3355">
            <w:pPr>
              <w:rPr>
                <w:rFonts w:asciiTheme="majorHAnsi" w:hAnsiTheme="majorHAnsi"/>
                <w:sz w:val="20"/>
                <w:szCs w:val="22"/>
              </w:rPr>
            </w:pPr>
            <w:r>
              <w:rPr>
                <w:rFonts w:asciiTheme="majorHAnsi" w:hAnsiTheme="majorHAnsi"/>
                <w:sz w:val="20"/>
                <w:szCs w:val="22"/>
              </w:rPr>
              <w:t>YES BUT if initial launch proves to be a failure, I would urge re-examination of the entire scheme before Internet security and stability is further jeopardized.</w:t>
            </w:r>
          </w:p>
        </w:tc>
      </w:tr>
    </w:tbl>
    <w:p w:rsidR="00F0792C" w:rsidRPr="00F0792C" w:rsidRDefault="00F0792C">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To verify voting qualification</w:t>
      </w:r>
      <w:r w:rsidR="00BD6161">
        <w:rPr>
          <w:rFonts w:asciiTheme="majorHAnsi" w:hAnsiTheme="majorHAnsi"/>
          <w:sz w:val="22"/>
          <w:szCs w:val="22"/>
        </w:rPr>
        <w:t>,</w:t>
      </w:r>
      <w:r w:rsidRPr="00625870">
        <w:rPr>
          <w:rFonts w:asciiTheme="majorHAnsi" w:hAnsiTheme="majorHAnsi"/>
          <w:sz w:val="22"/>
          <w:szCs w:val="22"/>
        </w:rPr>
        <w:t xml:space="preserve"> please indicate your name and organisation below:</w:t>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Name:</w:t>
      </w:r>
      <w:r w:rsidRPr="00625870">
        <w:rPr>
          <w:rFonts w:asciiTheme="majorHAnsi" w:hAnsiTheme="majorHAnsi"/>
          <w:sz w:val="22"/>
          <w:szCs w:val="22"/>
        </w:rPr>
        <w:tab/>
      </w:r>
      <w:r w:rsidRPr="00625870">
        <w:rPr>
          <w:rFonts w:asciiTheme="majorHAnsi" w:hAnsiTheme="majorHAnsi"/>
          <w:sz w:val="22"/>
          <w:szCs w:val="22"/>
        </w:rPr>
        <w:tab/>
      </w:r>
      <w:r w:rsidR="00AD6A81">
        <w:rPr>
          <w:rFonts w:asciiTheme="majorHAnsi" w:hAnsiTheme="majorHAnsi"/>
          <w:sz w:val="22"/>
          <w:szCs w:val="22"/>
        </w:rPr>
        <w:t xml:space="preserve">Sarah Deutsch </w:t>
      </w:r>
    </w:p>
    <w:p w:rsidR="00625870" w:rsidRPr="00625870" w:rsidRDefault="00625870" w:rsidP="00625870">
      <w:pPr>
        <w:rPr>
          <w:rFonts w:asciiTheme="majorHAnsi" w:hAnsiTheme="majorHAnsi"/>
          <w:sz w:val="22"/>
          <w:szCs w:val="22"/>
        </w:rPr>
      </w:pPr>
      <w:proofErr w:type="spellStart"/>
      <w:r w:rsidRPr="00625870">
        <w:rPr>
          <w:rFonts w:asciiTheme="majorHAnsi" w:hAnsiTheme="majorHAnsi"/>
          <w:sz w:val="22"/>
          <w:szCs w:val="22"/>
        </w:rPr>
        <w:t>Organisation</w:t>
      </w:r>
      <w:proofErr w:type="spellEnd"/>
      <w:r w:rsidRPr="00625870">
        <w:rPr>
          <w:rFonts w:asciiTheme="majorHAnsi" w:hAnsiTheme="majorHAnsi"/>
          <w:sz w:val="22"/>
          <w:szCs w:val="22"/>
        </w:rPr>
        <w:t>:</w:t>
      </w:r>
      <w:r w:rsidRPr="00625870">
        <w:rPr>
          <w:rFonts w:asciiTheme="majorHAnsi" w:hAnsiTheme="majorHAnsi"/>
          <w:sz w:val="22"/>
          <w:szCs w:val="22"/>
        </w:rPr>
        <w:tab/>
      </w:r>
      <w:r w:rsidR="00AD6A81">
        <w:rPr>
          <w:rFonts w:asciiTheme="majorHAnsi" w:hAnsiTheme="majorHAnsi"/>
          <w:sz w:val="22"/>
          <w:szCs w:val="22"/>
        </w:rPr>
        <w:t>Verizon</w:t>
      </w:r>
    </w:p>
    <w:p w:rsidR="00F0792C" w:rsidRPr="00F0792C" w:rsidRDefault="00F0792C">
      <w:pPr>
        <w:rPr>
          <w:rFonts w:asciiTheme="majorHAnsi" w:hAnsiTheme="majorHAnsi"/>
          <w:sz w:val="22"/>
          <w:szCs w:val="22"/>
        </w:rPr>
      </w:pPr>
    </w:p>
    <w:sectPr w:rsidR="00F0792C" w:rsidRPr="00F0792C" w:rsidSect="000D6405">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1A" w:rsidRDefault="00B10F1A" w:rsidP="00C10B53">
      <w:r>
        <w:separator/>
      </w:r>
    </w:p>
  </w:endnote>
  <w:endnote w:type="continuationSeparator" w:id="0">
    <w:p w:rsidR="00B10F1A" w:rsidRDefault="00B10F1A" w:rsidP="00C1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1A" w:rsidRPr="002216D5" w:rsidRDefault="00B10F1A" w:rsidP="0022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1A" w:rsidRPr="002216D5" w:rsidRDefault="00B10F1A" w:rsidP="0022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D5" w:rsidRDefault="0022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1A" w:rsidRDefault="00B10F1A" w:rsidP="00C10B53">
      <w:r>
        <w:separator/>
      </w:r>
    </w:p>
  </w:footnote>
  <w:footnote w:type="continuationSeparator" w:id="0">
    <w:p w:rsidR="00B10F1A" w:rsidRDefault="00B10F1A" w:rsidP="00C1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D5" w:rsidRDefault="0022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D5" w:rsidRDefault="0022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D5" w:rsidRDefault="0022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5287A"/>
    <w:multiLevelType w:val="multilevel"/>
    <w:tmpl w:val="00000001"/>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526E0"/>
    <w:multiLevelType w:val="hybridMultilevel"/>
    <w:tmpl w:val="42180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E2C9C"/>
    <w:multiLevelType w:val="multilevel"/>
    <w:tmpl w:val="0C86E30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F5C664E"/>
    <w:multiLevelType w:val="hybridMultilevel"/>
    <w:tmpl w:val="941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742F7"/>
    <w:multiLevelType w:val="multilevel"/>
    <w:tmpl w:val="6012251C"/>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352386D"/>
    <w:multiLevelType w:val="multilevel"/>
    <w:tmpl w:val="ECBCA820"/>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5F30BA"/>
    <w:multiLevelType w:val="hybridMultilevel"/>
    <w:tmpl w:val="2BBE5C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C594D"/>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67E2A19"/>
    <w:multiLevelType w:val="multilevel"/>
    <w:tmpl w:val="6A8612E2"/>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C500C46"/>
    <w:multiLevelType w:val="hybridMultilevel"/>
    <w:tmpl w:val="FCC24C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529E0"/>
    <w:multiLevelType w:val="hybridMultilevel"/>
    <w:tmpl w:val="D8BA1550"/>
    <w:lvl w:ilvl="0" w:tplc="4DC03FD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3"/>
  </w:num>
  <w:num w:numId="5">
    <w:abstractNumId w:val="11"/>
  </w:num>
  <w:num w:numId="6">
    <w:abstractNumId w:val="4"/>
  </w:num>
  <w:num w:numId="7">
    <w:abstractNumId w:val="10"/>
  </w:num>
  <w:num w:numId="8">
    <w:abstractNumId w:val="6"/>
  </w:num>
  <w:num w:numId="9">
    <w:abstractNumId w:val="7"/>
  </w:num>
  <w:num w:numId="10">
    <w:abstractNumId w:val="9"/>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2C"/>
    <w:rsid w:val="00024D9B"/>
    <w:rsid w:val="00075E26"/>
    <w:rsid w:val="00076DE7"/>
    <w:rsid w:val="000D6405"/>
    <w:rsid w:val="000E1FF1"/>
    <w:rsid w:val="001F4B06"/>
    <w:rsid w:val="002216D5"/>
    <w:rsid w:val="00246FD1"/>
    <w:rsid w:val="002C44DD"/>
    <w:rsid w:val="002D740B"/>
    <w:rsid w:val="003C1B13"/>
    <w:rsid w:val="004318A4"/>
    <w:rsid w:val="004F2A5C"/>
    <w:rsid w:val="00522C0A"/>
    <w:rsid w:val="005608E3"/>
    <w:rsid w:val="00581C4E"/>
    <w:rsid w:val="005834BB"/>
    <w:rsid w:val="00587F68"/>
    <w:rsid w:val="00625870"/>
    <w:rsid w:val="006B3E10"/>
    <w:rsid w:val="007065C6"/>
    <w:rsid w:val="00714327"/>
    <w:rsid w:val="0072429B"/>
    <w:rsid w:val="00726518"/>
    <w:rsid w:val="007445C5"/>
    <w:rsid w:val="00772B50"/>
    <w:rsid w:val="0078449E"/>
    <w:rsid w:val="007E78CE"/>
    <w:rsid w:val="00873EAA"/>
    <w:rsid w:val="0090718B"/>
    <w:rsid w:val="00911849"/>
    <w:rsid w:val="009D4468"/>
    <w:rsid w:val="009D4797"/>
    <w:rsid w:val="009F5CA1"/>
    <w:rsid w:val="009F6AB0"/>
    <w:rsid w:val="00A32A10"/>
    <w:rsid w:val="00A56C08"/>
    <w:rsid w:val="00AD6A81"/>
    <w:rsid w:val="00B03E19"/>
    <w:rsid w:val="00B07E26"/>
    <w:rsid w:val="00B10F1A"/>
    <w:rsid w:val="00B51F8A"/>
    <w:rsid w:val="00BD6161"/>
    <w:rsid w:val="00C10B53"/>
    <w:rsid w:val="00CE3355"/>
    <w:rsid w:val="00D476FA"/>
    <w:rsid w:val="00DB3E12"/>
    <w:rsid w:val="00DD7A9C"/>
    <w:rsid w:val="00F0792C"/>
    <w:rsid w:val="00F36F34"/>
    <w:rsid w:val="00F37FB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 w:type="character" w:styleId="CommentReference">
    <w:name w:val="annotation reference"/>
    <w:basedOn w:val="DefaultParagraphFont"/>
    <w:uiPriority w:val="99"/>
    <w:semiHidden/>
    <w:unhideWhenUsed/>
    <w:rsid w:val="000E1FF1"/>
    <w:rPr>
      <w:sz w:val="18"/>
      <w:szCs w:val="18"/>
    </w:rPr>
  </w:style>
  <w:style w:type="paragraph" w:styleId="CommentText">
    <w:name w:val="annotation text"/>
    <w:basedOn w:val="Normal"/>
    <w:link w:val="CommentTextChar"/>
    <w:uiPriority w:val="99"/>
    <w:semiHidden/>
    <w:unhideWhenUsed/>
    <w:rsid w:val="000E1FF1"/>
  </w:style>
  <w:style w:type="character" w:customStyle="1" w:styleId="CommentTextChar">
    <w:name w:val="Comment Text Char"/>
    <w:basedOn w:val="DefaultParagraphFont"/>
    <w:link w:val="CommentText"/>
    <w:uiPriority w:val="99"/>
    <w:semiHidden/>
    <w:rsid w:val="000E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63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zconst.org/Positions-Statements/Position-11-2009_Staff_Proposals_Rights_Protection_Mechanism_New_gTLDs.pdf" TargetMode="External"/><Relationship Id="rId13" Type="http://schemas.openxmlformats.org/officeDocument/2006/relationships/hyperlink" Target="http://www.bizconst.org/Positions-Statements/Position_01_2009_draft_guidebook_TLDs.doc" TargetMode="External"/><Relationship Id="rId18" Type="http://schemas.openxmlformats.org/officeDocument/2006/relationships/hyperlink" Target="http://forum.icann.org/lists/bc-gnso/msg01352.html"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izconst.org/Positions-Statements/BC+on+Final+App+Guidebook+May+2011+v3.pdf" TargetMode="External"/><Relationship Id="rId17" Type="http://schemas.openxmlformats.org/officeDocument/2006/relationships/hyperlink" Target="http://www.bizconst.org/Positions-Statements/BC+on+Final+App+Guidebook+May+2011+v3.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bizconst.org/Positions-Statements/BC+on+Final+App+Guidebook+May+2011+v3.pdf" TargetMode="External"/><Relationship Id="rId20" Type="http://schemas.openxmlformats.org/officeDocument/2006/relationships/hyperlink" Target="http://www.bizconst.org/Positions-Statements/Position-11-2009_Staff_Proposals_Rights_Protection_Mechanism_New_gTLD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zconst.org/Positions-Statements/BC+on+Final+App+Guidebook+May+2011+v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zconst.org/Positions-Statements/Position-11-2009_Staff_Proposals_Rights_Protection_Mechanism_New_gTLD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izconst.org/Positions-Statements/BC+on+Final+App+Guidebook+May+2011+v3.pdf" TargetMode="External"/><Relationship Id="rId19" Type="http://schemas.openxmlformats.org/officeDocument/2006/relationships/hyperlink" Target="http://www.bizconst.org/Positions-Statements/Position-11-2009_Staff_Proposals_Rights_Protection_Mechanism_New_gTLDs.pdf" TargetMode="External"/><Relationship Id="rId4" Type="http://schemas.openxmlformats.org/officeDocument/2006/relationships/settings" Target="settings.xml"/><Relationship Id="rId9" Type="http://schemas.openxmlformats.org/officeDocument/2006/relationships/hyperlink" Target="http://forum.icann.org/lists/bc-gnso/msg01352.html" TargetMode="External"/><Relationship Id="rId14" Type="http://schemas.openxmlformats.org/officeDocument/2006/relationships/hyperlink" Target="http://forum.icann.org/lists/bc-gnso/msg01352.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11659</Characters>
  <Application>Microsoft Office Word</Application>
  <DocSecurity>0</DocSecurity>
  <Lines>97</Lines>
  <Paragraphs>27</Paragraphs>
  <ScaleCrop>false</ScaleCrop>
  <LinksUpToDate>false</LinksUpToDate>
  <CharactersWithSpaces>13677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2012-02-17T01:10:00Z</dcterms:created>
  <dcterms:modified xsi:type="dcterms:W3CDTF">2012-02-17T01:10:00Z</dcterms:modified>
</cp:coreProperties>
</file>