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16" w:rsidRDefault="00B24816"/>
    <w:p w:rsidR="00B24816" w:rsidRDefault="00B2481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"/>
        <w:gridCol w:w="2411"/>
        <w:gridCol w:w="1414"/>
        <w:gridCol w:w="1147"/>
        <w:gridCol w:w="1350"/>
        <w:gridCol w:w="1375"/>
        <w:gridCol w:w="1351"/>
        <w:gridCol w:w="1440"/>
        <w:gridCol w:w="1080"/>
        <w:gridCol w:w="2276"/>
      </w:tblGrid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Main Issues</w:t>
            </w: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NCSG</w:t>
            </w: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ALAC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Registry</w:t>
            </w: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Registrar</w:t>
            </w: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BC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IPC</w:t>
            </w: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ISPC</w:t>
            </w: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Out of the Box</w:t>
            </w: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:rsidR="00B24816" w:rsidRPr="00234384" w:rsidRDefault="00B24816" w:rsidP="00234384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234384">
              <w:rPr>
                <w:b/>
                <w:bCs/>
                <w:sz w:val="26"/>
                <w:szCs w:val="26"/>
              </w:rPr>
              <w:t>IP CLEARING HOUSE</w:t>
            </w:r>
          </w:p>
          <w:p w:rsidR="00B24816" w:rsidRPr="00234384" w:rsidRDefault="00B24816" w:rsidP="0023438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193EA4">
            <w:pPr>
              <w:spacing w:after="0" w:line="240" w:lineRule="auto"/>
            </w:pPr>
            <w:r>
              <w:t>Separation into two parts: Review/Approval</w:t>
            </w:r>
            <w:r w:rsidR="009A694C">
              <w:t>/Repository</w:t>
            </w:r>
            <w:r>
              <w:t xml:space="preserve"> </w:t>
            </w: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 xml:space="preserve">Yes </w:t>
            </w: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D51EFF">
            <w:pPr>
              <w:spacing w:after="0" w:line="240" w:lineRule="auto"/>
            </w:pPr>
            <w:r w:rsidRPr="00234384">
              <w:t>Centralised Database</w:t>
            </w:r>
            <w:r>
              <w:t xml:space="preserve"> for maintaining the TMs and providing Sunrise and TM Claim services to the Registries; </w:t>
            </w:r>
            <w:r w:rsidRPr="00234384">
              <w:t xml:space="preserve">Change Name to </w:t>
            </w:r>
            <w:r>
              <w:t>“</w:t>
            </w:r>
            <w:r w:rsidRPr="00234384">
              <w:t>Trade Mark Database</w:t>
            </w:r>
            <w:r>
              <w:t xml:space="preserve">” </w:t>
            </w: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Regional Marks Validation Service Providers (VSP)</w:t>
            </w: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Validation vs. Database – Split Roles</w:t>
            </w:r>
            <w:r>
              <w:t xml:space="preserve"> (above- as a first step)</w:t>
            </w: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VSP to adhere to minimum Standards/requirements under contract with ICANN</w:t>
            </w: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Centralised Database to have contract with ICANN</w:t>
            </w: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Identical – Matches means:</w:t>
            </w: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>‘identical match’ means that the domain name consists of the complete and identical</w:t>
            </w:r>
          </w:p>
          <w:p w:rsidR="00B24816" w:rsidRPr="00234384" w:rsidRDefault="00B24816" w:rsidP="00234384">
            <w:pPr>
              <w:spacing w:after="0" w:line="240" w:lineRule="auto"/>
            </w:pPr>
            <w:proofErr w:type="gramStart"/>
            <w:r w:rsidRPr="00234384">
              <w:t>textual</w:t>
            </w:r>
            <w:proofErr w:type="gramEnd"/>
            <w:r w:rsidRPr="00234384">
              <w:t xml:space="preserve"> elements of the Mark.  In this regard: (a) spaces contained within a mark that are replaced by hyphens (and vice versa), (b) spaces, hyphens, punctuation or special characters contained within a trademark that are spelt out with appropriate words describing it (Including but not limited to ~ @ # ! § % ^ © and &amp;.),  (c) punctuation or special characters contained within a mark that are omitted or replaced by spaces or hyphens will be considered identical matches, and (d) also the singular and plural of the mark (and vice versa)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414" w:type="dxa"/>
          </w:tcPr>
          <w:p w:rsidR="00B24816" w:rsidRPr="00234384" w:rsidRDefault="00B24816" w:rsidP="00193EA4">
            <w:pPr>
              <w:spacing w:after="0" w:line="240" w:lineRule="auto"/>
            </w:pPr>
            <w:r>
              <w:lastRenderedPageBreak/>
              <w:t xml:space="preserve">Under review </w:t>
            </w: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>Should also include Typographical errors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>And aural and meaning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Eligibility of Mark: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234384">
              <w:t>Nationally Registered Mark</w:t>
            </w:r>
          </w:p>
          <w:p w:rsidR="00B24816" w:rsidRPr="00234384" w:rsidRDefault="00B24816" w:rsidP="00234384">
            <w:pPr>
              <w:pStyle w:val="ListParagraph"/>
              <w:spacing w:after="0" w:line="240" w:lineRule="auto"/>
              <w:ind w:left="360"/>
            </w:pPr>
          </w:p>
          <w:p w:rsidR="00B24816" w:rsidRPr="00234384" w:rsidRDefault="00B24816" w:rsidP="00234384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234384">
              <w:t xml:space="preserve">Court Validated Mark (through final judgement) </w:t>
            </w: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>VSP &amp; Database should be able to validate and repose data with respect to other Rights if the Registry so chooses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 xml:space="preserve">can we speak about letting in addition to this the Registry also seeking other rights that can be </w:t>
            </w:r>
            <w:proofErr w:type="spellStart"/>
            <w:r w:rsidRPr="00234384">
              <w:t>reposited</w:t>
            </w:r>
            <w:proofErr w:type="spellEnd"/>
            <w:r w:rsidRPr="00234384">
              <w:t xml:space="preserve"> in the Database</w:t>
            </w: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 xml:space="preserve">Post Launch </w:t>
            </w: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 xml:space="preserve">IP Claims Service </w:t>
            </w: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rPr>
                <w:highlight w:val="yellow"/>
              </w:rPr>
              <w:t>No</w:t>
            </w: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rPr>
                <w:highlight w:val="yellow"/>
              </w:rPr>
              <w:t>No</w:t>
            </w: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If IP Claims is only pre-launch a bad actor can game the solution by simply waiting until launch and then register.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 xml:space="preserve">The notice advantage in terms of a URS will not be available in such a case.  If this is gamed en mass, it will practically make IP Claims redundant and </w:t>
            </w:r>
            <w:r w:rsidRPr="00234384">
              <w:lastRenderedPageBreak/>
              <w:t xml:space="preserve">ineffective </w:t>
            </w: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As clear information as possible on the IP Claims service so that the notice is a binding one</w:t>
            </w: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>A set of minimum requirements  for inclusion by Registries and Registrars in the TM Claims process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>•</w:t>
            </w:r>
            <w:r w:rsidRPr="00234384">
              <w:tab/>
              <w:t xml:space="preserve">Clear notice to the potential registrant of the description of goods or services being claimed by an existing TM owner (not just the international class, but the TM owner's own </w:t>
            </w:r>
            <w:r w:rsidRPr="00234384">
              <w:lastRenderedPageBreak/>
              <w:t xml:space="preserve">description). This is good for both TM owners (a mere International Class listing, to an ordinary registrant, would be unlikely to be considered fair notice as few would understand it); </w:t>
            </w: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>•</w:t>
            </w:r>
            <w:r w:rsidRPr="00234384">
              <w:tab/>
              <w:t xml:space="preserve">A link to the underlying TM registrations being referenced – a link into the specific listings of the </w:t>
            </w:r>
            <w:r>
              <w:t xml:space="preserve">TM </w:t>
            </w:r>
            <w:r w:rsidRPr="00234384">
              <w:t xml:space="preserve">Database. This will be particularly important, </w:t>
            </w:r>
            <w:r w:rsidRPr="00234384">
              <w:lastRenderedPageBreak/>
              <w:t>for commercial entities, especially in developing countries, seeking to name new services, new brands, and wanting to explore and understand what exists already – and where the room is for them.</w:t>
            </w: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>•</w:t>
            </w:r>
            <w:r w:rsidRPr="00234384">
              <w:tab/>
              <w:t xml:space="preserve">A solid notice of rights: that the rights being claimed above may or may not limit the ability of the registrant to register the domain name, particularly if </w:t>
            </w:r>
            <w:r w:rsidRPr="00234384">
              <w:lastRenderedPageBreak/>
              <w:t>the use is non-commercial, generic, highly descriptive, or in a completely non-infringing commercial manner</w:t>
            </w:r>
            <w:r>
              <w:t>; all reduce chilling effects.</w:t>
            </w: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lastRenderedPageBreak/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 xml:space="preserve">It should be clearly stated in mandate of the TM Database that simply inclusion of a </w:t>
            </w:r>
            <w:r>
              <w:t xml:space="preserve">reviewed </w:t>
            </w:r>
            <w:r w:rsidRPr="00234384">
              <w:t xml:space="preserve"> mark into the Database is not proof of any right nor does it confer any legal rights on the Rights Owner </w:t>
            </w: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:rsidR="00B24816" w:rsidRPr="00234384" w:rsidRDefault="00B24816" w:rsidP="00234384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234384">
              <w:rPr>
                <w:b/>
                <w:bCs/>
                <w:sz w:val="26"/>
                <w:szCs w:val="26"/>
              </w:rPr>
              <w:t>URSS</w:t>
            </w:r>
          </w:p>
          <w:p w:rsidR="00B24816" w:rsidRPr="00234384" w:rsidRDefault="00B24816" w:rsidP="0023438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Mandatory</w:t>
            </w: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C90A09" w:rsidRDefault="00B24816" w:rsidP="008C42E4">
            <w:pPr>
              <w:spacing w:after="0" w:line="240" w:lineRule="auto"/>
              <w:rPr>
                <w:highlight w:val="yellow"/>
              </w:rPr>
            </w:pPr>
            <w:r>
              <w:t xml:space="preserve">Purpose: </w:t>
            </w:r>
            <w:r w:rsidRPr="00C90A09">
              <w:rPr>
                <w:highlight w:val="yellow"/>
              </w:rPr>
              <w:t xml:space="preserve">Garden variety Cyber squatting with no genuine contestable issue, clear and convincing (clear-cut) </w:t>
            </w:r>
            <w:r w:rsidRPr="00C90A09">
              <w:rPr>
                <w:highlight w:val="yellow"/>
              </w:rPr>
              <w:lastRenderedPageBreak/>
              <w:t>cases of infringement (Class B)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414" w:type="dxa"/>
          </w:tcPr>
          <w:p w:rsidR="00B24816" w:rsidRDefault="00B24816" w:rsidP="00234384">
            <w:pPr>
              <w:spacing w:after="0" w:line="240" w:lineRule="auto"/>
            </w:pPr>
            <w:r>
              <w:lastRenderedPageBreak/>
              <w:t>Yes</w:t>
            </w:r>
            <w:r w:rsidR="003A527A">
              <w:rPr>
                <w:rStyle w:val="CommentReference"/>
              </w:rPr>
              <w:commentReference w:id="0"/>
            </w:r>
          </w:p>
          <w:p w:rsidR="00B24816" w:rsidRPr="00234384" w:rsidRDefault="00B24816" w:rsidP="00234384">
            <w:pPr>
              <w:spacing w:after="0" w:line="240" w:lineRule="auto"/>
            </w:pPr>
            <w:r>
              <w:t xml:space="preserve">(If fair notice is fair and at least 20 days, process </w:t>
            </w:r>
            <w:r>
              <w:lastRenderedPageBreak/>
              <w:t>and appeals provided, and forum shopping eliminated)</w:t>
            </w: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>
              <w:lastRenderedPageBreak/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  <w:r>
              <w:t>Yes</w:t>
            </w: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  <w:r>
              <w:t xml:space="preserve">Yes </w:t>
            </w: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>
              <w:t>Yes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  <w:r>
              <w:t>Yes</w:t>
            </w: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5330CA">
            <w:pPr>
              <w:spacing w:after="0" w:line="240" w:lineRule="auto"/>
              <w:rPr>
                <w:highlight w:val="yellow"/>
              </w:rPr>
            </w:pPr>
            <w:r w:rsidRPr="00234384">
              <w:rPr>
                <w:highlight w:val="yellow"/>
              </w:rPr>
              <w:t>Domain Lock on Complaint passing Initial Examination</w:t>
            </w:r>
          </w:p>
          <w:p w:rsidR="00B24816" w:rsidRPr="00234384" w:rsidRDefault="00B24816" w:rsidP="005330CA">
            <w:pPr>
              <w:spacing w:after="0" w:line="240" w:lineRule="auto"/>
              <w:rPr>
                <w:highlight w:val="yellow"/>
              </w:rPr>
            </w:pPr>
          </w:p>
          <w:p w:rsidR="00B24816" w:rsidRPr="00234384" w:rsidRDefault="00B24816" w:rsidP="005330CA">
            <w:pPr>
              <w:spacing w:after="0" w:line="240" w:lineRule="auto"/>
              <w:rPr>
                <w:i/>
                <w:iCs/>
                <w:highlight w:val="yellow"/>
              </w:rPr>
            </w:pPr>
            <w:r w:rsidRPr="00234384">
              <w:rPr>
                <w:highlight w:val="yellow"/>
              </w:rPr>
              <w:t xml:space="preserve">Notice period 14 or 20 </w:t>
            </w:r>
            <w:r w:rsidRPr="00234384">
              <w:rPr>
                <w:highlight w:val="yellow"/>
              </w:rPr>
              <w:lastRenderedPageBreak/>
              <w:t xml:space="preserve">days </w:t>
            </w:r>
            <w:r w:rsidRPr="00234384">
              <w:rPr>
                <w:i/>
                <w:iCs/>
                <w:highlight w:val="yellow"/>
              </w:rPr>
              <w:t xml:space="preserve">(14 days if restoration to be made available – 20 days if restoration not to be made available) </w:t>
            </w:r>
          </w:p>
          <w:p w:rsidR="00B24816" w:rsidRPr="00234384" w:rsidRDefault="00B24816" w:rsidP="005330CA">
            <w:pPr>
              <w:spacing w:after="0" w:line="240" w:lineRule="auto"/>
              <w:rPr>
                <w:highlight w:val="yellow"/>
              </w:rPr>
            </w:pPr>
          </w:p>
          <w:p w:rsidR="00B24816" w:rsidRPr="00234384" w:rsidRDefault="00B24816" w:rsidP="005330CA">
            <w:pPr>
              <w:spacing w:after="0" w:line="240" w:lineRule="auto"/>
              <w:rPr>
                <w:highlight w:val="yellow"/>
              </w:rPr>
            </w:pPr>
          </w:p>
          <w:p w:rsidR="00B24816" w:rsidRPr="00234384" w:rsidRDefault="00B24816" w:rsidP="005330CA">
            <w:pPr>
              <w:spacing w:after="0" w:line="240" w:lineRule="auto"/>
              <w:rPr>
                <w:highlight w:val="yellow"/>
              </w:rPr>
            </w:pPr>
            <w:r w:rsidRPr="00234384">
              <w:rPr>
                <w:highlight w:val="yellow"/>
              </w:rPr>
              <w:t>basis of claim to be Garden variety Cyber squatting</w:t>
            </w:r>
          </w:p>
          <w:p w:rsidR="00B24816" w:rsidRPr="00234384" w:rsidRDefault="00B24816" w:rsidP="005330CA">
            <w:pPr>
              <w:spacing w:after="0" w:line="240" w:lineRule="auto"/>
              <w:rPr>
                <w:highlight w:val="yellow"/>
              </w:rPr>
            </w:pPr>
          </w:p>
          <w:p w:rsidR="00B24816" w:rsidRPr="00234384" w:rsidRDefault="00B24816" w:rsidP="005330CA">
            <w:pPr>
              <w:spacing w:after="0" w:line="240" w:lineRule="auto"/>
              <w:rPr>
                <w:highlight w:val="yellow"/>
              </w:rPr>
            </w:pPr>
            <w:r w:rsidRPr="00234384">
              <w:rPr>
                <w:highlight w:val="yellow"/>
              </w:rPr>
              <w:t xml:space="preserve">Standard of proof to be prima facie case having no genuine contestable issue, clear and convincing (clear-cut) case </w:t>
            </w:r>
          </w:p>
          <w:p w:rsidR="00B24816" w:rsidRPr="00234384" w:rsidRDefault="00B24816" w:rsidP="005330CA">
            <w:pPr>
              <w:spacing w:after="0" w:line="240" w:lineRule="auto"/>
              <w:rPr>
                <w:highlight w:val="yellow"/>
              </w:rPr>
            </w:pPr>
          </w:p>
          <w:p w:rsidR="00B24816" w:rsidRPr="00234384" w:rsidRDefault="00B24816" w:rsidP="005330CA">
            <w:pPr>
              <w:spacing w:after="0" w:line="240" w:lineRule="auto"/>
              <w:rPr>
                <w:highlight w:val="yellow"/>
              </w:rPr>
            </w:pPr>
            <w:r w:rsidRPr="00234384">
              <w:rPr>
                <w:highlight w:val="yellow"/>
              </w:rPr>
              <w:t>Emails on the domain still function</w:t>
            </w:r>
          </w:p>
          <w:p w:rsidR="00B24816" w:rsidRPr="00234384" w:rsidRDefault="00B24816" w:rsidP="005330CA">
            <w:pPr>
              <w:spacing w:after="0" w:line="240" w:lineRule="auto"/>
              <w:rPr>
                <w:highlight w:val="yellow"/>
              </w:rPr>
            </w:pPr>
          </w:p>
          <w:p w:rsidR="00B24816" w:rsidRPr="00234384" w:rsidRDefault="00B24816" w:rsidP="005330CA">
            <w:pPr>
              <w:spacing w:after="0" w:line="240" w:lineRule="auto"/>
              <w:rPr>
                <w:highlight w:val="yellow"/>
              </w:rPr>
            </w:pPr>
            <w:r w:rsidRPr="00234384">
              <w:rPr>
                <w:highlight w:val="yellow"/>
              </w:rPr>
              <w:t>Even after default the Respondent can come back and restore the process to the Answer stage – site should go back up.</w:t>
            </w:r>
          </w:p>
          <w:p w:rsidR="00B24816" w:rsidRPr="00234384" w:rsidRDefault="00B24816" w:rsidP="005330CA">
            <w:pPr>
              <w:spacing w:after="0" w:line="240" w:lineRule="auto"/>
              <w:rPr>
                <w:i/>
                <w:iCs/>
                <w:highlight w:val="yellow"/>
              </w:rPr>
            </w:pPr>
            <w:r w:rsidRPr="00234384">
              <w:rPr>
                <w:i/>
                <w:iCs/>
                <w:highlight w:val="yellow"/>
              </w:rPr>
              <w:t>(this would only be available if the notice period is 14 days)</w:t>
            </w:r>
          </w:p>
          <w:p w:rsidR="00B24816" w:rsidRPr="00234384" w:rsidRDefault="00B24816" w:rsidP="005330CA">
            <w:pPr>
              <w:spacing w:after="0" w:line="240" w:lineRule="auto"/>
              <w:rPr>
                <w:highlight w:val="yellow"/>
              </w:rPr>
            </w:pPr>
          </w:p>
          <w:p w:rsidR="00B24816" w:rsidRPr="00234384" w:rsidRDefault="00B24816" w:rsidP="005330CA">
            <w:pPr>
              <w:spacing w:after="0" w:line="240" w:lineRule="auto"/>
              <w:rPr>
                <w:highlight w:val="yellow"/>
              </w:rPr>
            </w:pPr>
            <w:r w:rsidRPr="00234384">
              <w:rPr>
                <w:highlight w:val="yellow"/>
              </w:rPr>
              <w:t xml:space="preserve">In case of Answer matter goes to </w:t>
            </w:r>
            <w:r w:rsidRPr="00234384">
              <w:rPr>
                <w:highlight w:val="yellow"/>
              </w:rPr>
              <w:lastRenderedPageBreak/>
              <w:t>substantive review</w:t>
            </w:r>
          </w:p>
          <w:p w:rsidR="00B24816" w:rsidRPr="00234384" w:rsidRDefault="00B24816" w:rsidP="005330CA">
            <w:pPr>
              <w:spacing w:after="0" w:line="240" w:lineRule="auto"/>
              <w:rPr>
                <w:highlight w:val="yellow"/>
              </w:rPr>
            </w:pPr>
          </w:p>
          <w:p w:rsidR="00B24816" w:rsidRPr="00234384" w:rsidRDefault="00B24816" w:rsidP="005330CA">
            <w:pPr>
              <w:spacing w:after="0" w:line="240" w:lineRule="auto"/>
              <w:rPr>
                <w:highlight w:val="yellow"/>
              </w:rPr>
            </w:pPr>
          </w:p>
          <w:p w:rsidR="00B24816" w:rsidRPr="00234384" w:rsidRDefault="00B24816" w:rsidP="005330CA">
            <w:pPr>
              <w:spacing w:after="0" w:line="240" w:lineRule="auto"/>
              <w:rPr>
                <w:highlight w:val="yellow"/>
              </w:rPr>
            </w:pPr>
            <w:r w:rsidRPr="00234384">
              <w:rPr>
                <w:highlight w:val="yellow"/>
              </w:rPr>
              <w:t xml:space="preserve">Complainant and Respondent to have right of de novo Appeal </w:t>
            </w:r>
          </w:p>
          <w:p w:rsidR="00B24816" w:rsidRPr="00234384" w:rsidRDefault="00B24816" w:rsidP="005330CA">
            <w:pPr>
              <w:spacing w:after="0" w:line="240" w:lineRule="auto"/>
            </w:pPr>
            <w:r w:rsidRPr="00234384">
              <w:rPr>
                <w:i/>
                <w:iCs/>
                <w:highlight w:val="yellow"/>
              </w:rPr>
              <w:t>(this right would also  be available in case of default if notice period to be 14 days and no restoration available</w:t>
            </w: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193EA4" w:rsidRDefault="00B24816" w:rsidP="00234384">
            <w:pPr>
              <w:spacing w:after="0" w:line="240" w:lineRule="auto"/>
            </w:pPr>
            <w:r w:rsidRPr="00234384">
              <w:t>De novo Appeal</w:t>
            </w:r>
          </w:p>
          <w:p w:rsidR="00193EA4" w:rsidRDefault="00193EA4" w:rsidP="00234384">
            <w:pPr>
              <w:spacing w:after="0" w:line="240" w:lineRule="auto"/>
            </w:pPr>
          </w:p>
          <w:p w:rsidR="00193EA4" w:rsidRDefault="00193EA4" w:rsidP="00234384">
            <w:pPr>
              <w:spacing w:after="0" w:line="240" w:lineRule="auto"/>
            </w:pPr>
            <w:r>
              <w:t>&amp;</w:t>
            </w:r>
          </w:p>
          <w:p w:rsidR="00193EA4" w:rsidRDefault="00193EA4" w:rsidP="00193EA4">
            <w:pPr>
              <w:spacing w:after="0" w:line="240" w:lineRule="auto"/>
            </w:pPr>
          </w:p>
          <w:p w:rsidR="00B24816" w:rsidRPr="00234384" w:rsidRDefault="00B24816" w:rsidP="00193EA4">
            <w:pPr>
              <w:spacing w:after="0" w:line="240" w:lineRule="auto"/>
            </w:pPr>
            <w:r>
              <w:t>Sanctions</w:t>
            </w: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 xml:space="preserve">(a) review on the merits, 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 xml:space="preserve">(b) questioning the impartiality or abuse of discretion of the Examiner, 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 xml:space="preserve">(c ) abusive Claim by the Claimant, or 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 xml:space="preserve">(d) Perjury by the Claimant </w:t>
            </w:r>
            <w:r w:rsidRPr="00234384">
              <w:lastRenderedPageBreak/>
              <w:t xml:space="preserve">(lying about facts; lying about TM rights). 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>Panel should be a 3-Judge Panel comprised of a rounded group of experts: a Fair Use Attorney; an Academic in this Field; and a TM Attorney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</w:p>
          <w:p w:rsidR="00193EA4" w:rsidRDefault="00193EA4" w:rsidP="00234384">
            <w:pPr>
              <w:spacing w:after="0" w:line="240" w:lineRule="auto"/>
            </w:pPr>
            <w:r>
              <w:t>Sanctions:</w:t>
            </w:r>
          </w:p>
          <w:p w:rsidR="00193EA4" w:rsidRDefault="00193EA4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>Sanctions by Appeals Panel:</w:t>
            </w: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>•</w:t>
            </w:r>
            <w:r w:rsidRPr="00234384">
              <w:tab/>
              <w:t xml:space="preserve">One finding of perjury (lying to the tribunal) and the Claimant, and its </w:t>
            </w:r>
            <w:r w:rsidRPr="00234384">
              <w:lastRenderedPageBreak/>
              <w:t>related entities, are barred from the URS process.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>•</w:t>
            </w:r>
            <w:r w:rsidRPr="00234384">
              <w:tab/>
              <w:t xml:space="preserve">Two findings of abusive Claims and the Claimant </w:t>
            </w:r>
            <w:proofErr w:type="gramStart"/>
            <w:r w:rsidRPr="00234384">
              <w:t>is</w:t>
            </w:r>
            <w:proofErr w:type="gramEnd"/>
            <w:r w:rsidRPr="00234384">
              <w:t xml:space="preserve"> barred from the URS process for a period of multiple years.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proofErr w:type="gramStart"/>
            <w:r w:rsidRPr="00234384">
              <w:t>•  Three</w:t>
            </w:r>
            <w:proofErr w:type="gramEnd"/>
            <w:r w:rsidRPr="00234384">
              <w:t xml:space="preserve"> findings of abuse of discretion (or perhaps merely 3 reversals) and the Examiner is removed.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lastRenderedPageBreak/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 xml:space="preserve">Notice to Respondent should be clear  </w:t>
            </w: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  <w:r>
              <w:t>Yes</w:t>
            </w:r>
          </w:p>
        </w:tc>
        <w:tc>
          <w:tcPr>
            <w:tcW w:w="1147" w:type="dxa"/>
          </w:tcPr>
          <w:p w:rsidR="00B24816" w:rsidRPr="00234384" w:rsidRDefault="00193EA4" w:rsidP="00234384">
            <w:pPr>
              <w:spacing w:after="0" w:line="240" w:lineRule="auto"/>
            </w:pPr>
            <w:r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B24816" w:rsidRPr="00234384" w:rsidRDefault="00193EA4" w:rsidP="00234384">
            <w:pPr>
              <w:spacing w:after="0" w:line="240" w:lineRule="auto"/>
            </w:pPr>
            <w:r>
              <w:t>Yes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 xml:space="preserve">Panellists / dispute resolution providers – </w:t>
            </w:r>
            <w:r w:rsidRPr="00234384">
              <w:lastRenderedPageBreak/>
              <w:t>randomised and no choice of which to be available to Complainant to avoid overzealous TM holder gaming.</w:t>
            </w: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lastRenderedPageBreak/>
              <w:t>Yes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lastRenderedPageBreak/>
              <w:t>In case Panellists examination are being overturned then the Panellist loses Accreditation to be a URS Panellist</w:t>
            </w: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lastRenderedPageBreak/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 xml:space="preserve">Yes (acceptable </w:t>
            </w:r>
            <w:r w:rsidRPr="00234384">
              <w:lastRenderedPageBreak/>
              <w:t xml:space="preserve">in exchange for Post Launch IP Claims &amp; Domain Transfer) 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Notice time to be increased from 14 to 20 days</w:t>
            </w:r>
          </w:p>
        </w:tc>
        <w:tc>
          <w:tcPr>
            <w:tcW w:w="1414" w:type="dxa"/>
          </w:tcPr>
          <w:p w:rsidR="00B24816" w:rsidRDefault="00B24816" w:rsidP="00234384">
            <w:pPr>
              <w:spacing w:after="0" w:line="240" w:lineRule="auto"/>
            </w:pPr>
            <w:r w:rsidRPr="00234384">
              <w:t>Yes</w:t>
            </w:r>
          </w:p>
          <w:p w:rsidR="00B24816" w:rsidRPr="00234384" w:rsidRDefault="00B24816" w:rsidP="00234384">
            <w:pPr>
              <w:spacing w:after="0" w:line="240" w:lineRule="auto"/>
            </w:pPr>
            <w:r>
              <w:t>Fairness of notice/response to the Registrant, and a Rapid Review and (upon successful decision) rapid end to the resolution of the domain name for the TM owner. By UDRP standards, a very rapid response.</w:t>
            </w: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 (acceptable in exchange for Post Launch IP Claims &amp; Domain Name Transfer)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 xml:space="preserve">Either an extension in time from 14 to 20 days 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 xml:space="preserve">Or 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 xml:space="preserve">Right of Registrant to come back to </w:t>
            </w:r>
            <w:r w:rsidRPr="00234384">
              <w:lastRenderedPageBreak/>
              <w:t xml:space="preserve">restore the process to pre-default (website /domain goes back up) 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  <w:r w:rsidRPr="00234384">
              <w:t>But not both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Garden variety Cyber squatting to get 14 days with possibility of 7 day extension.  Note the time taken to issue a decision by the Examiner will also add to the time available in addition to the 14 days</w:t>
            </w:r>
            <w:r>
              <w:t>, but review time is expected to be far less than UDRP Panel (URS= “Rapid Review”)</w:t>
            </w:r>
          </w:p>
          <w:p w:rsidR="00B24816" w:rsidRPr="00234384" w:rsidRDefault="00B24816" w:rsidP="00234384">
            <w:pPr>
              <w:spacing w:after="0" w:line="240" w:lineRule="auto"/>
            </w:pPr>
          </w:p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Modes of Notice through email, fax, hardcopy</w:t>
            </w: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Prefer email &amp; fax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Upon a Successful Decision by a  Complaint, option to transfer Domain Name for a fee</w:t>
            </w:r>
          </w:p>
        </w:tc>
        <w:tc>
          <w:tcPr>
            <w:tcW w:w="1414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?</w:t>
            </w: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B24816" w:rsidRPr="00234384" w:rsidRDefault="00B24816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44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</w:pPr>
          </w:p>
        </w:tc>
      </w:tr>
      <w:tr w:rsidR="00B24816" w:rsidRPr="00234384">
        <w:tc>
          <w:tcPr>
            <w:tcW w:w="330" w:type="dxa"/>
          </w:tcPr>
          <w:p w:rsidR="00B24816" w:rsidRPr="00234384" w:rsidRDefault="00B24816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B24816" w:rsidRDefault="00B24816" w:rsidP="00234384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Complaint and Answer should be limited and as formulaic as possible: </w:t>
            </w:r>
          </w:p>
          <w:p w:rsidR="00B24816" w:rsidRDefault="00B24816" w:rsidP="00234384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Limited Complaint with website attachment; Limited Response with website attachment. </w:t>
            </w:r>
          </w:p>
          <w:p w:rsidR="00B24816" w:rsidRDefault="00B24816" w:rsidP="00234384">
            <w:pPr>
              <w:spacing w:after="0" w:line="240" w:lineRule="auto"/>
              <w:rPr>
                <w:highlight w:val="yellow"/>
              </w:rPr>
            </w:pPr>
          </w:p>
          <w:p w:rsidR="00B24816" w:rsidRPr="00234384" w:rsidRDefault="00B24816" w:rsidP="00234384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IRT forms of Complaint and Answer to provide some guidance.</w:t>
            </w:r>
          </w:p>
        </w:tc>
        <w:tc>
          <w:tcPr>
            <w:tcW w:w="1414" w:type="dxa"/>
          </w:tcPr>
          <w:p w:rsidR="00B24816" w:rsidRDefault="00B24816" w:rsidP="00234384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Yes</w:t>
            </w:r>
          </w:p>
          <w:p w:rsidR="00B24816" w:rsidRDefault="00B24816" w:rsidP="00234384">
            <w:pPr>
              <w:spacing w:after="0" w:line="240" w:lineRule="auto"/>
              <w:rPr>
                <w:highlight w:val="yellow"/>
              </w:rPr>
            </w:pPr>
          </w:p>
          <w:p w:rsidR="00B24816" w:rsidRDefault="00B24816" w:rsidP="00234384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Consider fair for both Complaint and Answer to be limited and of equal length, e.g., one page each with one or a few attachments of website or other use/abuse </w:t>
            </w:r>
            <w:r>
              <w:rPr>
                <w:highlight w:val="yellow"/>
              </w:rPr>
              <w:lastRenderedPageBreak/>
              <w:t>exhibits. Forms may be helpful here; but not to replace textual comments completely.</w:t>
            </w:r>
          </w:p>
          <w:p w:rsidR="00B24816" w:rsidRPr="00234384" w:rsidRDefault="00B24816" w:rsidP="00434ED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47" w:type="dxa"/>
          </w:tcPr>
          <w:p w:rsidR="00B24816" w:rsidRPr="00234384" w:rsidRDefault="00B24816" w:rsidP="00234384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 xml:space="preserve">  </w:t>
            </w:r>
          </w:p>
        </w:tc>
        <w:tc>
          <w:tcPr>
            <w:tcW w:w="1350" w:type="dxa"/>
          </w:tcPr>
          <w:p w:rsidR="00B24816" w:rsidRPr="00234384" w:rsidRDefault="00B24816" w:rsidP="00234384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  </w:t>
            </w:r>
          </w:p>
        </w:tc>
        <w:tc>
          <w:tcPr>
            <w:tcW w:w="1375" w:type="dxa"/>
          </w:tcPr>
          <w:p w:rsidR="00B24816" w:rsidRPr="00234384" w:rsidRDefault="00B24816" w:rsidP="00234384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    </w:t>
            </w:r>
          </w:p>
        </w:tc>
        <w:tc>
          <w:tcPr>
            <w:tcW w:w="1351" w:type="dxa"/>
          </w:tcPr>
          <w:p w:rsidR="00B24816" w:rsidRDefault="00B24816" w:rsidP="00234384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Yes </w:t>
            </w:r>
          </w:p>
          <w:p w:rsidR="00B24816" w:rsidRPr="00234384" w:rsidRDefault="00B24816" w:rsidP="00193E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440" w:type="dxa"/>
          </w:tcPr>
          <w:p w:rsidR="00B24816" w:rsidRDefault="00B24816" w:rsidP="00434ED4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Yes </w:t>
            </w:r>
          </w:p>
          <w:p w:rsidR="00B24816" w:rsidRPr="00234384" w:rsidRDefault="00B24816" w:rsidP="00434ED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080" w:type="dxa"/>
          </w:tcPr>
          <w:p w:rsidR="00B24816" w:rsidRPr="00234384" w:rsidRDefault="00B24816" w:rsidP="0023438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276" w:type="dxa"/>
          </w:tcPr>
          <w:p w:rsidR="00B24816" w:rsidRPr="00234384" w:rsidRDefault="00B24816" w:rsidP="00234384">
            <w:pPr>
              <w:spacing w:after="0" w:line="240" w:lineRule="auto"/>
              <w:rPr>
                <w:highlight w:val="yellow"/>
              </w:rPr>
            </w:pPr>
          </w:p>
        </w:tc>
      </w:tr>
      <w:tr w:rsidR="00193EA4" w:rsidRPr="00234384">
        <w:tc>
          <w:tcPr>
            <w:tcW w:w="330" w:type="dxa"/>
          </w:tcPr>
          <w:p w:rsidR="00193EA4" w:rsidRPr="00234384" w:rsidRDefault="00193EA4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193EA4" w:rsidRPr="00234384" w:rsidRDefault="00193EA4" w:rsidP="00193EA4">
            <w:pPr>
              <w:spacing w:after="0" w:line="240" w:lineRule="auto"/>
            </w:pPr>
            <w:r w:rsidRPr="00234384">
              <w:t xml:space="preserve">Successful Complainant can obtain transfer of domain </w:t>
            </w:r>
            <w:r>
              <w:t xml:space="preserve">for a fee after 90 days if no appeal, UDRP or court action is filed </w:t>
            </w:r>
          </w:p>
        </w:tc>
        <w:tc>
          <w:tcPr>
            <w:tcW w:w="1414" w:type="dxa"/>
          </w:tcPr>
          <w:p w:rsidR="00193EA4" w:rsidRPr="00234384" w:rsidRDefault="00193EA4" w:rsidP="00234384">
            <w:pPr>
              <w:spacing w:after="0" w:line="240" w:lineRule="auto"/>
            </w:pPr>
            <w:r>
              <w:t>Under review</w:t>
            </w:r>
          </w:p>
        </w:tc>
        <w:tc>
          <w:tcPr>
            <w:tcW w:w="1147" w:type="dxa"/>
          </w:tcPr>
          <w:p w:rsidR="00193EA4" w:rsidRPr="00234384" w:rsidRDefault="00193EA4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0" w:type="dxa"/>
          </w:tcPr>
          <w:p w:rsidR="00193EA4" w:rsidRPr="00234384" w:rsidRDefault="00193EA4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75" w:type="dxa"/>
          </w:tcPr>
          <w:p w:rsidR="00193EA4" w:rsidRPr="00234384" w:rsidRDefault="00193EA4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1" w:type="dxa"/>
          </w:tcPr>
          <w:p w:rsidR="00193EA4" w:rsidRDefault="00193EA4" w:rsidP="00E934AE">
            <w:pPr>
              <w:spacing w:after="0" w:line="240" w:lineRule="auto"/>
            </w:pPr>
            <w:r w:rsidRPr="00234384">
              <w:t>Yes</w:t>
            </w:r>
          </w:p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40" w:type="dxa"/>
          </w:tcPr>
          <w:p w:rsidR="00193EA4" w:rsidRPr="00234384" w:rsidRDefault="00193EA4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08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</w:tr>
      <w:tr w:rsidR="00193EA4" w:rsidRPr="00234384">
        <w:tc>
          <w:tcPr>
            <w:tcW w:w="330" w:type="dxa"/>
          </w:tcPr>
          <w:p w:rsidR="00193EA4" w:rsidRPr="00234384" w:rsidRDefault="00193EA4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193EA4" w:rsidRPr="00234384" w:rsidRDefault="00193EA4" w:rsidP="00234384">
            <w:pPr>
              <w:spacing w:after="0" w:line="240" w:lineRule="auto"/>
            </w:pPr>
            <w:r w:rsidRPr="00234384">
              <w:t>Reviews of the URS at regular intervals</w:t>
            </w:r>
          </w:p>
        </w:tc>
        <w:tc>
          <w:tcPr>
            <w:tcW w:w="1414" w:type="dxa"/>
          </w:tcPr>
          <w:p w:rsidR="00193EA4" w:rsidRDefault="00193EA4" w:rsidP="00234384">
            <w:pPr>
              <w:spacing w:after="0" w:line="240" w:lineRule="auto"/>
            </w:pPr>
            <w:r w:rsidRPr="00234384">
              <w:t>Yes</w:t>
            </w:r>
          </w:p>
          <w:p w:rsidR="00193EA4" w:rsidRPr="00234384" w:rsidRDefault="00193EA4" w:rsidP="00234384">
            <w:pPr>
              <w:spacing w:after="0" w:line="240" w:lineRule="auto"/>
            </w:pPr>
            <w:r>
              <w:t>Review at 6 months, 12 months, 18 months and a GNSO sunset provision (to properly bring everything into the PDP process).</w:t>
            </w:r>
          </w:p>
        </w:tc>
        <w:tc>
          <w:tcPr>
            <w:tcW w:w="1147" w:type="dxa"/>
          </w:tcPr>
          <w:p w:rsidR="00193EA4" w:rsidRPr="00234384" w:rsidRDefault="00193EA4" w:rsidP="00234384">
            <w:pPr>
              <w:spacing w:after="0" w:line="240" w:lineRule="auto"/>
            </w:pPr>
            <w:r w:rsidRPr="00234384">
              <w:t>Yes</w:t>
            </w:r>
          </w:p>
        </w:tc>
        <w:tc>
          <w:tcPr>
            <w:tcW w:w="135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193EA4" w:rsidRPr="00234384" w:rsidRDefault="00193EA4" w:rsidP="00234384">
            <w:pPr>
              <w:spacing w:after="0" w:line="240" w:lineRule="auto"/>
            </w:pPr>
            <w:r w:rsidRPr="00234384">
              <w:t>Can consider</w:t>
            </w:r>
          </w:p>
        </w:tc>
        <w:tc>
          <w:tcPr>
            <w:tcW w:w="144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</w:tr>
      <w:tr w:rsidR="00193EA4" w:rsidRPr="00234384">
        <w:tc>
          <w:tcPr>
            <w:tcW w:w="330" w:type="dxa"/>
          </w:tcPr>
          <w:p w:rsidR="00193EA4" w:rsidRPr="00234384" w:rsidRDefault="00193EA4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14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147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4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</w:tr>
      <w:tr w:rsidR="00193EA4" w:rsidRPr="00234384">
        <w:tc>
          <w:tcPr>
            <w:tcW w:w="330" w:type="dxa"/>
          </w:tcPr>
          <w:p w:rsidR="00193EA4" w:rsidRPr="00234384" w:rsidRDefault="00193EA4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14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147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4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</w:tr>
      <w:tr w:rsidR="00193EA4" w:rsidRPr="00234384">
        <w:tc>
          <w:tcPr>
            <w:tcW w:w="330" w:type="dxa"/>
          </w:tcPr>
          <w:p w:rsidR="00193EA4" w:rsidRPr="00234384" w:rsidRDefault="00193EA4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14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147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4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</w:tr>
      <w:tr w:rsidR="00193EA4" w:rsidRPr="00234384">
        <w:tc>
          <w:tcPr>
            <w:tcW w:w="330" w:type="dxa"/>
          </w:tcPr>
          <w:p w:rsidR="00193EA4" w:rsidRPr="00234384" w:rsidRDefault="00193EA4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14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147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4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</w:tr>
      <w:tr w:rsidR="00193EA4" w:rsidRPr="00234384">
        <w:tc>
          <w:tcPr>
            <w:tcW w:w="330" w:type="dxa"/>
          </w:tcPr>
          <w:p w:rsidR="00193EA4" w:rsidRPr="00234384" w:rsidRDefault="00193EA4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14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147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4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</w:tr>
      <w:tr w:rsidR="00193EA4" w:rsidRPr="00234384">
        <w:tc>
          <w:tcPr>
            <w:tcW w:w="330" w:type="dxa"/>
          </w:tcPr>
          <w:p w:rsidR="00193EA4" w:rsidRPr="00234384" w:rsidRDefault="00193EA4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14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147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4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</w:tr>
      <w:tr w:rsidR="00193EA4" w:rsidRPr="00234384">
        <w:tc>
          <w:tcPr>
            <w:tcW w:w="330" w:type="dxa"/>
          </w:tcPr>
          <w:p w:rsidR="00193EA4" w:rsidRPr="00234384" w:rsidRDefault="00193EA4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14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147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4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</w:tr>
      <w:tr w:rsidR="00193EA4" w:rsidRPr="00234384">
        <w:tc>
          <w:tcPr>
            <w:tcW w:w="330" w:type="dxa"/>
          </w:tcPr>
          <w:p w:rsidR="00193EA4" w:rsidRPr="00234384" w:rsidRDefault="00193EA4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14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147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4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</w:tr>
      <w:tr w:rsidR="00193EA4" w:rsidRPr="00234384">
        <w:tc>
          <w:tcPr>
            <w:tcW w:w="330" w:type="dxa"/>
          </w:tcPr>
          <w:p w:rsidR="00193EA4" w:rsidRPr="00234384" w:rsidRDefault="00193EA4" w:rsidP="00234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241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14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147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75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351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44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1080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  <w:tc>
          <w:tcPr>
            <w:tcW w:w="2276" w:type="dxa"/>
          </w:tcPr>
          <w:p w:rsidR="00193EA4" w:rsidRPr="00234384" w:rsidRDefault="00193EA4" w:rsidP="00234384">
            <w:pPr>
              <w:spacing w:after="0" w:line="240" w:lineRule="auto"/>
            </w:pPr>
          </w:p>
        </w:tc>
      </w:tr>
    </w:tbl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p w:rsidR="00B24816" w:rsidRDefault="00B2481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0"/>
        <w:gridCol w:w="2276"/>
      </w:tblGrid>
      <w:tr w:rsidR="00B24816" w:rsidRPr="00234384" w:rsidTr="00634C90">
        <w:tc>
          <w:tcPr>
            <w:tcW w:w="1080" w:type="dxa"/>
          </w:tcPr>
          <w:p w:rsidR="00B24816" w:rsidRPr="00234384" w:rsidRDefault="00B24816" w:rsidP="00634C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276" w:type="dxa"/>
          </w:tcPr>
          <w:p w:rsidR="00B24816" w:rsidRPr="00234384" w:rsidRDefault="00B24816" w:rsidP="00634C90">
            <w:pPr>
              <w:spacing w:after="0" w:line="240" w:lineRule="auto"/>
              <w:rPr>
                <w:highlight w:val="yellow"/>
              </w:rPr>
            </w:pPr>
          </w:p>
          <w:p w:rsidR="00B24816" w:rsidRPr="00234384" w:rsidRDefault="00B24816" w:rsidP="00634C90">
            <w:pPr>
              <w:spacing w:after="0" w:line="240" w:lineRule="auto"/>
              <w:rPr>
                <w:i/>
                <w:iCs/>
                <w:highlight w:val="yellow"/>
              </w:rPr>
            </w:pPr>
            <w:r w:rsidRPr="00234384">
              <w:rPr>
                <w:i/>
                <w:iCs/>
                <w:highlight w:val="yellow"/>
              </w:rPr>
              <w:t>)</w:t>
            </w:r>
          </w:p>
          <w:p w:rsidR="00B24816" w:rsidRPr="00234384" w:rsidRDefault="00B24816" w:rsidP="00634C90">
            <w:pPr>
              <w:spacing w:after="0" w:line="240" w:lineRule="auto"/>
              <w:rPr>
                <w:highlight w:val="yellow"/>
              </w:rPr>
            </w:pPr>
          </w:p>
          <w:p w:rsidR="00B24816" w:rsidRPr="00234384" w:rsidRDefault="00B24816" w:rsidP="00634C90">
            <w:pPr>
              <w:spacing w:after="0" w:line="240" w:lineRule="auto"/>
              <w:rPr>
                <w:highlight w:val="yellow"/>
              </w:rPr>
            </w:pPr>
          </w:p>
        </w:tc>
      </w:tr>
    </w:tbl>
    <w:p w:rsidR="00B24816" w:rsidRDefault="00B24816"/>
    <w:sectPr w:rsidR="00B24816" w:rsidSect="00A3380B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Zahid Jamil" w:date="2009-11-03T21:06:00Z" w:initials="ZUJ">
    <w:p w:rsidR="003A527A" w:rsidRDefault="003A527A">
      <w:pPr>
        <w:pStyle w:val="CommentText"/>
      </w:pPr>
      <w:r>
        <w:rPr>
          <w:rStyle w:val="CommentReference"/>
        </w:rPr>
        <w:annotationRef/>
      </w:r>
      <w:r>
        <w:t>This reaching of common ground is probably the most meaningful in offline discussions as a result of much cooperation from the NCSG and ALAC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601F"/>
    <w:multiLevelType w:val="hybridMultilevel"/>
    <w:tmpl w:val="9E7A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E499F"/>
    <w:multiLevelType w:val="hybridMultilevel"/>
    <w:tmpl w:val="9E7A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D1F8B"/>
    <w:multiLevelType w:val="hybridMultilevel"/>
    <w:tmpl w:val="9E7A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40797"/>
    <w:multiLevelType w:val="hybridMultilevel"/>
    <w:tmpl w:val="DDE2E7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7B3496"/>
    <w:multiLevelType w:val="hybridMultilevel"/>
    <w:tmpl w:val="9E7A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34B66"/>
    <w:multiLevelType w:val="hybridMultilevel"/>
    <w:tmpl w:val="9E7A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5510F"/>
    <w:multiLevelType w:val="hybridMultilevel"/>
    <w:tmpl w:val="9E7A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61354"/>
    <w:multiLevelType w:val="hybridMultilevel"/>
    <w:tmpl w:val="5C8262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EA3999"/>
    <w:multiLevelType w:val="hybridMultilevel"/>
    <w:tmpl w:val="CE1CAD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5E4E34"/>
    <w:multiLevelType w:val="hybridMultilevel"/>
    <w:tmpl w:val="9E7A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F679A"/>
    <w:multiLevelType w:val="hybridMultilevel"/>
    <w:tmpl w:val="9E7A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A6328"/>
    <w:multiLevelType w:val="hybridMultilevel"/>
    <w:tmpl w:val="9E7A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compat/>
  <w:rsids>
    <w:rsidRoot w:val="00574681"/>
    <w:rsid w:val="00007E99"/>
    <w:rsid w:val="00054E62"/>
    <w:rsid w:val="00061CC7"/>
    <w:rsid w:val="000711E6"/>
    <w:rsid w:val="000B2D23"/>
    <w:rsid w:val="000D0AC4"/>
    <w:rsid w:val="000D2C70"/>
    <w:rsid w:val="00103B69"/>
    <w:rsid w:val="00193EA4"/>
    <w:rsid w:val="001974B0"/>
    <w:rsid w:val="001D2CD1"/>
    <w:rsid w:val="00215A75"/>
    <w:rsid w:val="00221512"/>
    <w:rsid w:val="00234384"/>
    <w:rsid w:val="002358FE"/>
    <w:rsid w:val="00270114"/>
    <w:rsid w:val="00284C62"/>
    <w:rsid w:val="002935B4"/>
    <w:rsid w:val="00297EDF"/>
    <w:rsid w:val="002C45E1"/>
    <w:rsid w:val="0030129F"/>
    <w:rsid w:val="00322FD9"/>
    <w:rsid w:val="00325FBA"/>
    <w:rsid w:val="003453BF"/>
    <w:rsid w:val="0035253E"/>
    <w:rsid w:val="003651FF"/>
    <w:rsid w:val="003A0C59"/>
    <w:rsid w:val="003A527A"/>
    <w:rsid w:val="003E7B19"/>
    <w:rsid w:val="003F502F"/>
    <w:rsid w:val="00427EC4"/>
    <w:rsid w:val="00434ED4"/>
    <w:rsid w:val="0044391C"/>
    <w:rsid w:val="00471930"/>
    <w:rsid w:val="0047608C"/>
    <w:rsid w:val="00480CE6"/>
    <w:rsid w:val="004861C1"/>
    <w:rsid w:val="004E6CD4"/>
    <w:rsid w:val="00502A68"/>
    <w:rsid w:val="005330CA"/>
    <w:rsid w:val="00534927"/>
    <w:rsid w:val="005467C8"/>
    <w:rsid w:val="00574681"/>
    <w:rsid w:val="00592794"/>
    <w:rsid w:val="005C4837"/>
    <w:rsid w:val="005F279A"/>
    <w:rsid w:val="0061593F"/>
    <w:rsid w:val="00634C90"/>
    <w:rsid w:val="006B385F"/>
    <w:rsid w:val="007010B2"/>
    <w:rsid w:val="00742CC7"/>
    <w:rsid w:val="00791D2B"/>
    <w:rsid w:val="007B69DD"/>
    <w:rsid w:val="00880C10"/>
    <w:rsid w:val="00885463"/>
    <w:rsid w:val="008B6D70"/>
    <w:rsid w:val="008C42E4"/>
    <w:rsid w:val="008E1EC1"/>
    <w:rsid w:val="0090423B"/>
    <w:rsid w:val="00927D7F"/>
    <w:rsid w:val="00966839"/>
    <w:rsid w:val="00967ABA"/>
    <w:rsid w:val="009A694C"/>
    <w:rsid w:val="009B0327"/>
    <w:rsid w:val="00A307F6"/>
    <w:rsid w:val="00A3380B"/>
    <w:rsid w:val="00A546FF"/>
    <w:rsid w:val="00A957DA"/>
    <w:rsid w:val="00AB69F0"/>
    <w:rsid w:val="00AD76FA"/>
    <w:rsid w:val="00AF65D2"/>
    <w:rsid w:val="00B24816"/>
    <w:rsid w:val="00B50B84"/>
    <w:rsid w:val="00B71F3A"/>
    <w:rsid w:val="00BC1BD8"/>
    <w:rsid w:val="00C0597E"/>
    <w:rsid w:val="00C25A3B"/>
    <w:rsid w:val="00C53110"/>
    <w:rsid w:val="00C6792A"/>
    <w:rsid w:val="00C80DFA"/>
    <w:rsid w:val="00C90A09"/>
    <w:rsid w:val="00C95EFA"/>
    <w:rsid w:val="00CA55D4"/>
    <w:rsid w:val="00CA6571"/>
    <w:rsid w:val="00CB4485"/>
    <w:rsid w:val="00CE5841"/>
    <w:rsid w:val="00CE679F"/>
    <w:rsid w:val="00D12BE0"/>
    <w:rsid w:val="00D51EFF"/>
    <w:rsid w:val="00D842D9"/>
    <w:rsid w:val="00DD1CEE"/>
    <w:rsid w:val="00E026A7"/>
    <w:rsid w:val="00E4622E"/>
    <w:rsid w:val="00ED21FF"/>
    <w:rsid w:val="00F17827"/>
    <w:rsid w:val="00F8236F"/>
    <w:rsid w:val="00F84F83"/>
    <w:rsid w:val="00F96535"/>
    <w:rsid w:val="00FE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3BF"/>
    <w:pPr>
      <w:spacing w:after="200" w:line="276" w:lineRule="auto"/>
    </w:pPr>
    <w:rPr>
      <w:rFonts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468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746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9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E87"/>
    <w:rPr>
      <w:rFonts w:ascii="Times New Roman" w:hAnsi="Times New Roman"/>
      <w:sz w:val="0"/>
      <w:szCs w:val="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0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C10"/>
    <w:rPr>
      <w:rFonts w:cs="Calibri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C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47BD7-A871-487C-AA44-F44525CF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Issues</vt:lpstr>
    </vt:vector>
  </TitlesOfParts>
  <Company>Your Company Name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Issues</dc:title>
  <dc:subject/>
  <dc:creator>Zahid Jamil</dc:creator>
  <cp:keywords/>
  <dc:description/>
  <cp:lastModifiedBy>Zahid Jamil</cp:lastModifiedBy>
  <cp:revision>7</cp:revision>
  <cp:lastPrinted>2009-11-03T15:33:00Z</cp:lastPrinted>
  <dcterms:created xsi:type="dcterms:W3CDTF">2009-11-03T16:04:00Z</dcterms:created>
  <dcterms:modified xsi:type="dcterms:W3CDTF">2009-11-03T16:13:00Z</dcterms:modified>
</cp:coreProperties>
</file>