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18128" w14:textId="77777777" w:rsidR="00B376C4" w:rsidRPr="00335F7B" w:rsidRDefault="00590DC0">
      <w:r>
        <w:rPr>
          <w:noProof/>
        </w:rPr>
        <w:drawing>
          <wp:anchor distT="0" distB="0" distL="114935" distR="114935" simplePos="0" relativeHeight="251661312" behindDoc="0" locked="0" layoutInCell="1" allowOverlap="1" wp14:anchorId="0A318A43" wp14:editId="2991DE9E">
            <wp:simplePos x="0" y="0"/>
            <wp:positionH relativeFrom="page">
              <wp:posOffset>476250</wp:posOffset>
            </wp:positionH>
            <wp:positionV relativeFrom="page">
              <wp:posOffset>542925</wp:posOffset>
            </wp:positionV>
            <wp:extent cx="6824980" cy="10953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9144" cy="1104068"/>
                    </a:xfrm>
                    <a:prstGeom prst="rect">
                      <a:avLst/>
                    </a:prstGeom>
                    <a:noFill/>
                    <a:ln>
                      <a:noFill/>
                    </a:ln>
                  </pic:spPr>
                </pic:pic>
              </a:graphicData>
            </a:graphic>
            <wp14:sizeRelH relativeFrom="page">
              <wp14:pctWidth>0</wp14:pctWidth>
            </wp14:sizeRelH>
            <wp14:sizeRelV relativeFrom="page">
              <wp14:pctHeight>0</wp14:pctHeight>
            </wp14:sizeRelV>
          </wp:anchor>
        </w:drawing>
      </w:r>
      <w:r w:rsidR="008B1093">
        <w:rPr>
          <w:noProof/>
        </w:rPr>
        <mc:AlternateContent>
          <mc:Choice Requires="wps">
            <w:drawing>
              <wp:anchor distT="0" distB="0" distL="114300" distR="114300" simplePos="0" relativeHeight="251658240" behindDoc="0" locked="0" layoutInCell="1" allowOverlap="1" wp14:anchorId="5C1628AA" wp14:editId="5922F6B8">
                <wp:simplePos x="0" y="0"/>
                <wp:positionH relativeFrom="column">
                  <wp:posOffset>2065020</wp:posOffset>
                </wp:positionH>
                <wp:positionV relativeFrom="paragraph">
                  <wp:posOffset>2002155</wp:posOffset>
                </wp:positionV>
                <wp:extent cx="4572000" cy="4681855"/>
                <wp:effectExtent l="0" t="0" r="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68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14DB2" w14:textId="77777777" w:rsidR="003B3BA0" w:rsidRDefault="003B3BA0" w:rsidP="002569A6">
                            <w:pPr>
                              <w:rPr>
                                <w:rFonts w:ascii="Arial Rounded MT Bold" w:hAnsi="Arial Rounded MT Bold"/>
                                <w:b/>
                                <w:sz w:val="72"/>
                                <w:szCs w:val="72"/>
                              </w:rPr>
                            </w:pPr>
                            <w:r>
                              <w:rPr>
                                <w:rFonts w:ascii="Arial Rounded MT Bold" w:hAnsi="Arial Rounded MT Bold"/>
                                <w:b/>
                                <w:sz w:val="72"/>
                                <w:szCs w:val="72"/>
                              </w:rPr>
                              <w:t>Inter-Registrar Transfer Policy – PART B</w:t>
                            </w:r>
                          </w:p>
                          <w:p w14:paraId="6CBE79CE" w14:textId="77777777" w:rsidR="003B3BA0" w:rsidRDefault="003B3BA0" w:rsidP="002569A6">
                            <w:pPr>
                              <w:rPr>
                                <w:rFonts w:ascii="Arial Rounded MT Bold" w:hAnsi="Arial Rounded MT Bold"/>
                                <w:b/>
                                <w:sz w:val="72"/>
                                <w:szCs w:val="72"/>
                              </w:rPr>
                            </w:pPr>
                          </w:p>
                          <w:p w14:paraId="6253D35D" w14:textId="77777777" w:rsidR="003B3BA0" w:rsidRPr="002569A6" w:rsidRDefault="003B3BA0" w:rsidP="002569A6">
                            <w:pPr>
                              <w:rPr>
                                <w:rFonts w:ascii="Arial Rounded MT Bold" w:hAnsi="Arial Rounded MT Bold"/>
                                <w:b/>
                                <w:sz w:val="72"/>
                                <w:szCs w:val="72"/>
                              </w:rPr>
                            </w:pPr>
                            <w:r>
                              <w:rPr>
                                <w:rFonts w:ascii="Arial Rounded MT Bold" w:hAnsi="Arial Rounded MT Bold"/>
                                <w:b/>
                                <w:sz w:val="72"/>
                                <w:szCs w:val="72"/>
                              </w:rPr>
                              <w:t>WG - Final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62.6pt;margin-top:157.65pt;width:5in;height:3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" filled="f" stroked="f">
                <v:textbox>
                  <w:txbxContent>
                    <w:p w14:paraId="43714DB2" w14:textId="77777777" w:rsidR="003B3BA0" w:rsidRDefault="003B3BA0" w:rsidP="002569A6">
                      <w:pPr>
                        <w:rPr>
                          <w:rFonts w:ascii="Arial Rounded MT Bold" w:hAnsi="Arial Rounded MT Bold"/>
                          <w:b/>
                          <w:sz w:val="72"/>
                          <w:szCs w:val="72"/>
                        </w:rPr>
                      </w:pPr>
                      <w:r>
                        <w:rPr>
                          <w:rFonts w:ascii="Arial Rounded MT Bold" w:hAnsi="Arial Rounded MT Bold"/>
                          <w:b/>
                          <w:sz w:val="72"/>
                          <w:szCs w:val="72"/>
                        </w:rPr>
                        <w:t>Inter-Registrar Transfer Policy – PART B</w:t>
                      </w:r>
                    </w:p>
                    <w:p w14:paraId="6CBE79CE" w14:textId="77777777" w:rsidR="003B3BA0" w:rsidRDefault="003B3BA0" w:rsidP="002569A6">
                      <w:pPr>
                        <w:rPr>
                          <w:rFonts w:ascii="Arial Rounded MT Bold" w:hAnsi="Arial Rounded MT Bold"/>
                          <w:b/>
                          <w:sz w:val="72"/>
                          <w:szCs w:val="72"/>
                        </w:rPr>
                      </w:pPr>
                    </w:p>
                    <w:p w14:paraId="6253D35D" w14:textId="77777777" w:rsidR="003B3BA0" w:rsidRPr="002569A6" w:rsidRDefault="003B3BA0" w:rsidP="002569A6">
                      <w:pPr>
                        <w:rPr>
                          <w:rFonts w:ascii="Arial Rounded MT Bold" w:hAnsi="Arial Rounded MT Bold"/>
                          <w:b/>
                          <w:sz w:val="72"/>
                          <w:szCs w:val="72"/>
                        </w:rPr>
                      </w:pPr>
                      <w:r>
                        <w:rPr>
                          <w:rFonts w:ascii="Arial Rounded MT Bold" w:hAnsi="Arial Rounded MT Bold"/>
                          <w:b/>
                          <w:sz w:val="72"/>
                          <w:szCs w:val="72"/>
                        </w:rPr>
                        <w:t>WG - Final Report</w:t>
                      </w:r>
                    </w:p>
                  </w:txbxContent>
                </v:textbox>
              </v:shape>
            </w:pict>
          </mc:Fallback>
        </mc:AlternateContent>
      </w:r>
      <w:r w:rsidR="008B1093">
        <w:rPr>
          <w:noProof/>
        </w:rPr>
        <mc:AlternateContent>
          <mc:Choice Requires="wps">
            <w:drawing>
              <wp:anchor distT="0" distB="0" distL="114300" distR="114300" simplePos="0" relativeHeight="251660288" behindDoc="0" locked="0" layoutInCell="1" allowOverlap="1" wp14:anchorId="2D5FDF70" wp14:editId="520BA96C">
                <wp:simplePos x="0" y="0"/>
                <wp:positionH relativeFrom="column">
                  <wp:posOffset>2111375</wp:posOffset>
                </wp:positionH>
                <wp:positionV relativeFrom="paragraph">
                  <wp:posOffset>6983730</wp:posOffset>
                </wp:positionV>
                <wp:extent cx="4572000" cy="1466215"/>
                <wp:effectExtent l="0" t="0" r="0" b="63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37173" w14:textId="77777777" w:rsidR="003B3BA0" w:rsidRPr="002569A6" w:rsidRDefault="003B3BA0" w:rsidP="002569A6">
                            <w:pPr>
                              <w:pStyle w:val="ListParagraph"/>
                              <w:ind w:left="0"/>
                              <w:rPr>
                                <w:rFonts w:ascii="Arial" w:hAnsi="Arial" w:cs="Arial"/>
                                <w:b/>
                                <w:sz w:val="36"/>
                                <w:szCs w:val="36"/>
                              </w:rPr>
                            </w:pPr>
                            <w:r w:rsidRPr="002569A6">
                              <w:rPr>
                                <w:rFonts w:ascii="Arial" w:hAnsi="Arial" w:cs="Arial"/>
                                <w:b/>
                                <w:sz w:val="36"/>
                                <w:szCs w:val="36"/>
                              </w:rPr>
                              <w:t xml:space="preserve">Commercial &amp; Business Users Constituency Position Statement </w:t>
                            </w:r>
                          </w:p>
                          <w:p w14:paraId="3A9431C1" w14:textId="77777777" w:rsidR="003B3BA0" w:rsidRPr="002569A6" w:rsidRDefault="003B3BA0" w:rsidP="002569A6">
                            <w:pPr>
                              <w:pStyle w:val="ListParagraph"/>
                              <w:ind w:left="0"/>
                              <w:rPr>
                                <w:rFonts w:ascii="Arial" w:hAnsi="Arial" w:cs="Arial"/>
                                <w:b/>
                                <w:sz w:val="36"/>
                                <w:szCs w:val="36"/>
                              </w:rPr>
                            </w:pPr>
                          </w:p>
                          <w:p w14:paraId="62457F05" w14:textId="77777777" w:rsidR="003B3BA0" w:rsidRPr="002569A6" w:rsidRDefault="003B3BA0" w:rsidP="002569A6">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66.25pt;margin-top:549.9pt;width:5in;height:11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" filled="f" stroked="f">
                <v:textbox>
                  <w:txbxContent>
                    <w:p w14:paraId="72337173" w14:textId="77777777" w:rsidR="003B3BA0" w:rsidRPr="002569A6" w:rsidRDefault="003B3BA0" w:rsidP="002569A6">
                      <w:pPr>
                        <w:pStyle w:val="ListParagraph"/>
                        <w:ind w:left="0"/>
                        <w:rPr>
                          <w:rFonts w:ascii="Arial" w:hAnsi="Arial" w:cs="Arial"/>
                          <w:b/>
                          <w:sz w:val="36"/>
                          <w:szCs w:val="36"/>
                        </w:rPr>
                      </w:pPr>
                      <w:r w:rsidRPr="002569A6">
                        <w:rPr>
                          <w:rFonts w:ascii="Arial" w:hAnsi="Arial" w:cs="Arial"/>
                          <w:b/>
                          <w:sz w:val="36"/>
                          <w:szCs w:val="36"/>
                        </w:rPr>
                        <w:t xml:space="preserve">Commercial &amp; Business Users Constituency Position Statement </w:t>
                      </w:r>
                    </w:p>
                    <w:p w14:paraId="3A9431C1" w14:textId="77777777" w:rsidR="003B3BA0" w:rsidRPr="002569A6" w:rsidRDefault="003B3BA0" w:rsidP="002569A6">
                      <w:pPr>
                        <w:pStyle w:val="ListParagraph"/>
                        <w:ind w:left="0"/>
                        <w:rPr>
                          <w:rFonts w:ascii="Arial" w:hAnsi="Arial" w:cs="Arial"/>
                          <w:b/>
                          <w:sz w:val="36"/>
                          <w:szCs w:val="36"/>
                        </w:rPr>
                      </w:pPr>
                    </w:p>
                    <w:p w14:paraId="62457F05" w14:textId="77777777" w:rsidR="003B3BA0" w:rsidRPr="002569A6" w:rsidRDefault="003B3BA0" w:rsidP="002569A6">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sidR="008B1093">
        <w:rPr>
          <w:noProof/>
        </w:rPr>
        <w:drawing>
          <wp:anchor distT="0" distB="0" distL="114300" distR="114300" simplePos="0" relativeHeight="251659264" behindDoc="0" locked="0" layoutInCell="1" allowOverlap="1" wp14:anchorId="246F76FE" wp14:editId="6334B12F">
            <wp:simplePos x="0" y="0"/>
            <wp:positionH relativeFrom="column">
              <wp:posOffset>66675</wp:posOffset>
            </wp:positionH>
            <wp:positionV relativeFrom="paragraph">
              <wp:posOffset>190500</wp:posOffset>
            </wp:positionV>
            <wp:extent cx="6734175" cy="895350"/>
            <wp:effectExtent l="0" t="0" r="9525" b="0"/>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41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093">
        <w:rPr>
          <w:noProof/>
        </w:rPr>
        <mc:AlternateContent>
          <mc:Choice Requires="wps">
            <w:drawing>
              <wp:anchor distT="0" distB="0" distL="114300" distR="114300" simplePos="0" relativeHeight="251657216" behindDoc="0" locked="0" layoutInCell="1" allowOverlap="1" wp14:anchorId="777E39C7" wp14:editId="407B821A">
                <wp:simplePos x="0" y="0"/>
                <wp:positionH relativeFrom="column">
                  <wp:posOffset>301625</wp:posOffset>
                </wp:positionH>
                <wp:positionV relativeFrom="paragraph">
                  <wp:posOffset>6978650</wp:posOffset>
                </wp:positionV>
                <wp:extent cx="1828800" cy="151257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50B89" w14:textId="77777777" w:rsidR="003B3BA0" w:rsidRPr="0091661B" w:rsidRDefault="003B3BA0" w:rsidP="00D04118">
                            <w:pPr>
                              <w:rPr>
                                <w:rFonts w:cs="Arial"/>
                                <w:sz w:val="32"/>
                                <w:szCs w:val="32"/>
                              </w:rPr>
                            </w:pPr>
                            <w:r w:rsidRPr="0091661B">
                              <w:rPr>
                                <w:rFonts w:cs="Arial"/>
                                <w:sz w:val="32"/>
                                <w:szCs w:val="32"/>
                              </w:rPr>
                              <w:t xml:space="preserve">Status: </w:t>
                            </w:r>
                            <w:r>
                              <w:rPr>
                                <w:rFonts w:cs="Arial"/>
                                <w:sz w:val="32"/>
                                <w:szCs w:val="32"/>
                              </w:rPr>
                              <w:t>Draft</w:t>
                            </w:r>
                          </w:p>
                          <w:p w14:paraId="59072BD1" w14:textId="318EF4B0" w:rsidR="00BA3D4A" w:rsidRDefault="00BA3D4A" w:rsidP="00D04118">
                            <w:pPr>
                              <w:rPr>
                                <w:rFonts w:cs="Arial"/>
                                <w:sz w:val="32"/>
                                <w:szCs w:val="32"/>
                              </w:rPr>
                            </w:pPr>
                            <w:r>
                              <w:rPr>
                                <w:rFonts w:cs="Arial"/>
                                <w:sz w:val="32"/>
                                <w:szCs w:val="32"/>
                              </w:rPr>
                              <w:t>Version: 1.0</w:t>
                            </w:r>
                          </w:p>
                          <w:p w14:paraId="2EA1ABC0" w14:textId="477ECCC7" w:rsidR="003B3BA0" w:rsidRPr="0091661B" w:rsidRDefault="00BA3D4A" w:rsidP="00D04118">
                            <w:pPr>
                              <w:rPr>
                                <w:rFonts w:cs="Arial"/>
                                <w:sz w:val="32"/>
                                <w:szCs w:val="32"/>
                              </w:rPr>
                            </w:pPr>
                            <w:r>
                              <w:rPr>
                                <w:rFonts w:cs="Arial"/>
                                <w:sz w:val="32"/>
                                <w:szCs w:val="32"/>
                              </w:rPr>
                              <w:t>18</w:t>
                            </w:r>
                            <w:r w:rsidR="003B3BA0">
                              <w:rPr>
                                <w:rFonts w:cs="Arial"/>
                                <w:sz w:val="32"/>
                                <w:szCs w:val="32"/>
                              </w:rPr>
                              <w:t xml:space="preserve"> MAR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3.75pt;margin-top:549.5pt;width:2in;height:1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" filled="f" stroked="f">
                <v:textbox>
                  <w:txbxContent>
                    <w:p w14:paraId="2ED50B89" w14:textId="77777777" w:rsidR="003B3BA0" w:rsidRPr="0091661B" w:rsidRDefault="003B3BA0" w:rsidP="00D04118">
                      <w:pPr>
                        <w:rPr>
                          <w:rFonts w:cs="Arial"/>
                          <w:sz w:val="32"/>
                          <w:szCs w:val="32"/>
                        </w:rPr>
                      </w:pPr>
                      <w:r w:rsidRPr="0091661B">
                        <w:rPr>
                          <w:rFonts w:cs="Arial"/>
                          <w:sz w:val="32"/>
                          <w:szCs w:val="32"/>
                        </w:rPr>
                        <w:t xml:space="preserve">Status: </w:t>
                      </w:r>
                      <w:r>
                        <w:rPr>
                          <w:rFonts w:cs="Arial"/>
                          <w:sz w:val="32"/>
                          <w:szCs w:val="32"/>
                        </w:rPr>
                        <w:t>Draft</w:t>
                      </w:r>
                    </w:p>
                    <w:p w14:paraId="59072BD1" w14:textId="318EF4B0" w:rsidR="00BA3D4A" w:rsidRDefault="00BA3D4A" w:rsidP="00D04118">
                      <w:pPr>
                        <w:rPr>
                          <w:rFonts w:cs="Arial"/>
                          <w:sz w:val="32"/>
                          <w:szCs w:val="32"/>
                        </w:rPr>
                      </w:pPr>
                      <w:r>
                        <w:rPr>
                          <w:rFonts w:cs="Arial"/>
                          <w:sz w:val="32"/>
                          <w:szCs w:val="32"/>
                        </w:rPr>
                        <w:t>Version: 1.0</w:t>
                      </w:r>
                    </w:p>
                    <w:p w14:paraId="2EA1ABC0" w14:textId="477ECCC7" w:rsidR="003B3BA0" w:rsidRPr="0091661B" w:rsidRDefault="00BA3D4A" w:rsidP="00D04118">
                      <w:pPr>
                        <w:rPr>
                          <w:rFonts w:cs="Arial"/>
                          <w:sz w:val="32"/>
                          <w:szCs w:val="32"/>
                        </w:rPr>
                      </w:pPr>
                      <w:r>
                        <w:rPr>
                          <w:rFonts w:cs="Arial"/>
                          <w:sz w:val="32"/>
                          <w:szCs w:val="32"/>
                        </w:rPr>
                        <w:t>18</w:t>
                      </w:r>
                      <w:r w:rsidR="003B3BA0">
                        <w:rPr>
                          <w:rFonts w:cs="Arial"/>
                          <w:sz w:val="32"/>
                          <w:szCs w:val="32"/>
                        </w:rPr>
                        <w:t xml:space="preserve"> MAR 2011</w:t>
                      </w:r>
                    </w:p>
                  </w:txbxContent>
                </v:textbox>
              </v:shape>
            </w:pict>
          </mc:Fallback>
        </mc:AlternateContent>
      </w:r>
      <w:r w:rsidR="008B1093">
        <w:rPr>
          <w:noProof/>
        </w:rPr>
        <mc:AlternateContent>
          <mc:Choice Requires="wps">
            <w:drawing>
              <wp:anchor distT="0" distB="0" distL="114300" distR="114300" simplePos="0" relativeHeight="251655168" behindDoc="0" locked="0" layoutInCell="1" allowOverlap="1" wp14:anchorId="5D3AEE32" wp14:editId="38D0CA55">
                <wp:simplePos x="0" y="0"/>
                <wp:positionH relativeFrom="column">
                  <wp:posOffset>12065</wp:posOffset>
                </wp:positionH>
                <wp:positionV relativeFrom="paragraph">
                  <wp:posOffset>100965</wp:posOffset>
                </wp:positionV>
                <wp:extent cx="6834505" cy="8764270"/>
                <wp:effectExtent l="0" t="0" r="23495" b="1778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4505" cy="8764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95pt;margin-top:7.95pt;width:538.15pt;height:69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" filled="f"/>
            </w:pict>
          </mc:Fallback>
        </mc:AlternateContent>
      </w:r>
      <w:r w:rsidR="008B1093">
        <w:rPr>
          <w:noProof/>
        </w:rPr>
        <mc:AlternateContent>
          <mc:Choice Requires="wps">
            <w:drawing>
              <wp:anchor distT="0" distB="0" distL="114299" distR="114299" simplePos="0" relativeHeight="251656192" behindDoc="0" locked="0" layoutInCell="1" allowOverlap="1" wp14:anchorId="3CEEF45F" wp14:editId="3621C404">
                <wp:simplePos x="0" y="0"/>
                <wp:positionH relativeFrom="column">
                  <wp:posOffset>1782444</wp:posOffset>
                </wp:positionH>
                <wp:positionV relativeFrom="paragraph">
                  <wp:posOffset>1633220</wp:posOffset>
                </wp:positionV>
                <wp:extent cx="0" cy="6858000"/>
                <wp:effectExtent l="19050" t="0" r="381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0.35pt,128.6pt" to="140.35pt,6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" strokecolor="#376092" strokeweight="5pt"/>
            </w:pict>
          </mc:Fallback>
        </mc:AlternateContent>
      </w:r>
      <w:r w:rsidR="00D04118">
        <w:t xml:space="preserve"> </w:t>
      </w:r>
      <w:r w:rsidR="00045860">
        <w:br w:type="page"/>
      </w:r>
    </w:p>
    <w:p w14:paraId="4894BD03" w14:textId="77777777" w:rsidR="00D87AEC" w:rsidRPr="00E85F9E" w:rsidRDefault="00057ED5" w:rsidP="00D87AEC">
      <w:pPr>
        <w:pStyle w:val="BodyText2"/>
        <w:pBdr>
          <w:top w:val="single" w:sz="4" w:space="1" w:color="auto"/>
          <w:left w:val="single" w:sz="4" w:space="4" w:color="auto"/>
          <w:bottom w:val="single" w:sz="4" w:space="1" w:color="auto"/>
          <w:right w:val="single" w:sz="4" w:space="4" w:color="auto"/>
        </w:pBdr>
        <w:rPr>
          <w:b/>
          <w:bCs/>
          <w:color w:val="365F91"/>
          <w:sz w:val="40"/>
          <w:szCs w:val="22"/>
        </w:rPr>
      </w:pPr>
      <w:r w:rsidRPr="00E85F9E">
        <w:rPr>
          <w:b/>
          <w:bCs/>
          <w:color w:val="365F91"/>
          <w:sz w:val="40"/>
          <w:szCs w:val="22"/>
        </w:rPr>
        <w:lastRenderedPageBreak/>
        <w:t>Position Statement</w:t>
      </w:r>
      <w:r w:rsidR="00D87AEC" w:rsidRPr="00E85F9E">
        <w:rPr>
          <w:b/>
          <w:bCs/>
          <w:color w:val="365F91"/>
          <w:sz w:val="40"/>
          <w:szCs w:val="22"/>
        </w:rPr>
        <w:t>:</w:t>
      </w:r>
    </w:p>
    <w:p w14:paraId="0D2401FF" w14:textId="77777777" w:rsidR="00D87AEC" w:rsidRDefault="00D87AEC" w:rsidP="00D87AEC">
      <w:pPr>
        <w:rPr>
          <w:rFonts w:ascii="Arial" w:hAnsi="Arial" w:cs="Arial"/>
          <w:sz w:val="20"/>
          <w:szCs w:val="20"/>
        </w:rPr>
      </w:pPr>
    </w:p>
    <w:p w14:paraId="396D4850" w14:textId="77777777" w:rsidR="00632BD7" w:rsidRDefault="00632BD7" w:rsidP="001A0F98">
      <w:pPr>
        <w:rPr>
          <w:rFonts w:ascii="Arial" w:hAnsi="Arial" w:cs="Arial"/>
          <w:sz w:val="20"/>
          <w:szCs w:val="20"/>
        </w:rPr>
      </w:pPr>
    </w:p>
    <w:p w14:paraId="307BF324" w14:textId="77777777" w:rsidR="00632BD7" w:rsidRDefault="00632BD7" w:rsidP="001A0F98">
      <w:pPr>
        <w:rPr>
          <w:rFonts w:ascii="Arial" w:hAnsi="Arial" w:cs="Arial"/>
          <w:sz w:val="20"/>
          <w:szCs w:val="20"/>
        </w:rPr>
      </w:pPr>
      <w:r>
        <w:rPr>
          <w:rFonts w:ascii="Arial" w:hAnsi="Arial" w:cs="Arial"/>
          <w:sz w:val="20"/>
          <w:szCs w:val="20"/>
        </w:rPr>
        <w:t>The IRTP aims to provide a straightforward procedure for domain name holders to transfer their names from one ICANN-accredited registrar to another should they wish to do so.  The policy also provides standardized requirements for registrar handling of such transfer requests from domain name holders.</w:t>
      </w:r>
    </w:p>
    <w:p w14:paraId="1E2B69E5" w14:textId="77777777" w:rsidR="00632BD7" w:rsidRDefault="00632BD7" w:rsidP="001A0F98">
      <w:pPr>
        <w:rPr>
          <w:rFonts w:ascii="Arial" w:hAnsi="Arial" w:cs="Arial"/>
          <w:sz w:val="20"/>
          <w:szCs w:val="20"/>
        </w:rPr>
      </w:pPr>
    </w:p>
    <w:p w14:paraId="028A4A6A" w14:textId="77777777" w:rsidR="00632BD7" w:rsidRDefault="00632BD7" w:rsidP="001A0F98">
      <w:pPr>
        <w:rPr>
          <w:rFonts w:ascii="Arial" w:hAnsi="Arial" w:cs="Arial"/>
          <w:sz w:val="20"/>
          <w:szCs w:val="20"/>
        </w:rPr>
      </w:pPr>
      <w:r>
        <w:rPr>
          <w:rFonts w:ascii="Arial" w:hAnsi="Arial" w:cs="Arial"/>
          <w:sz w:val="20"/>
          <w:szCs w:val="20"/>
        </w:rPr>
        <w:t xml:space="preserve">The Commercial Users &amp; Business Constituency (BC) would like to thank the GNSO for initiating the second in a series of five PDPs that address areas for improvements in the Inter-Registrar Transfer Policy (IRTP). </w:t>
      </w:r>
    </w:p>
    <w:p w14:paraId="0E557E48" w14:textId="77777777" w:rsidR="00632BD7" w:rsidRDefault="00632BD7" w:rsidP="001A0F98">
      <w:pPr>
        <w:rPr>
          <w:rFonts w:ascii="Arial" w:hAnsi="Arial" w:cs="Arial"/>
          <w:sz w:val="20"/>
          <w:szCs w:val="20"/>
        </w:rPr>
      </w:pPr>
    </w:p>
    <w:p w14:paraId="00DA455D" w14:textId="77777777" w:rsidR="001A0F98" w:rsidRDefault="008B1093" w:rsidP="001A0F98">
      <w:pPr>
        <w:rPr>
          <w:rFonts w:ascii="Arial" w:hAnsi="Arial" w:cs="Arial"/>
          <w:sz w:val="20"/>
          <w:szCs w:val="20"/>
        </w:rPr>
      </w:pPr>
      <w:r>
        <w:rPr>
          <w:rFonts w:ascii="Arial" w:hAnsi="Arial" w:cs="Arial"/>
          <w:sz w:val="20"/>
          <w:szCs w:val="20"/>
        </w:rPr>
        <w:t xml:space="preserve">We also applaud the efforts of the working group, their voluntary contributions as peer stakeholders, and their </w:t>
      </w:r>
      <w:r w:rsidR="00632BD7">
        <w:rPr>
          <w:rFonts w:ascii="Arial" w:hAnsi="Arial" w:cs="Arial"/>
          <w:sz w:val="20"/>
          <w:szCs w:val="20"/>
        </w:rPr>
        <w:t>collaborative</w:t>
      </w:r>
      <w:r>
        <w:rPr>
          <w:rFonts w:ascii="Arial" w:hAnsi="Arial" w:cs="Arial"/>
          <w:sz w:val="20"/>
          <w:szCs w:val="20"/>
        </w:rPr>
        <w:t xml:space="preserve"> development of the Initial Report.  </w:t>
      </w:r>
    </w:p>
    <w:p w14:paraId="50A3A38D" w14:textId="77777777" w:rsidR="00632BD7" w:rsidRDefault="00632BD7" w:rsidP="001A0F98">
      <w:pPr>
        <w:rPr>
          <w:rFonts w:ascii="Arial" w:hAnsi="Arial" w:cs="Arial"/>
          <w:sz w:val="20"/>
          <w:szCs w:val="20"/>
        </w:rPr>
      </w:pPr>
    </w:p>
    <w:p w14:paraId="30C63CDB" w14:textId="77777777" w:rsidR="00632BD7" w:rsidRDefault="00632BD7" w:rsidP="001A0F98">
      <w:pPr>
        <w:rPr>
          <w:rFonts w:ascii="Arial" w:hAnsi="Arial" w:cs="Arial"/>
          <w:sz w:val="20"/>
          <w:szCs w:val="20"/>
        </w:rPr>
      </w:pPr>
      <w:r>
        <w:rPr>
          <w:rFonts w:ascii="Arial" w:hAnsi="Arial" w:cs="Arial"/>
          <w:sz w:val="20"/>
          <w:szCs w:val="20"/>
        </w:rPr>
        <w:t>This PDP, IRTP-B, focused on the following five issues:</w:t>
      </w:r>
    </w:p>
    <w:p w14:paraId="40195A53" w14:textId="77777777" w:rsidR="00632BD7" w:rsidRDefault="00632BD7" w:rsidP="001A0F98">
      <w:pPr>
        <w:rPr>
          <w:rFonts w:ascii="Arial" w:hAnsi="Arial" w:cs="Arial"/>
          <w:sz w:val="20"/>
          <w:szCs w:val="20"/>
        </w:rPr>
      </w:pPr>
    </w:p>
    <w:p w14:paraId="27AB07E8" w14:textId="77777777" w:rsidR="00632BD7" w:rsidRPr="00F17FF8" w:rsidRDefault="00632BD7" w:rsidP="00632BD7">
      <w:pPr>
        <w:pStyle w:val="NormalWeb"/>
        <w:numPr>
          <w:ilvl w:val="1"/>
          <w:numId w:val="35"/>
        </w:numPr>
        <w:suppressAutoHyphens/>
        <w:spacing w:before="2" w:beforeAutospacing="0" w:after="2" w:afterAutospacing="0" w:line="360" w:lineRule="auto"/>
        <w:rPr>
          <w:rFonts w:ascii="Calibri" w:hAnsi="Calibri"/>
          <w:sz w:val="22"/>
        </w:rPr>
      </w:pPr>
      <w:r w:rsidRPr="00F17FF8">
        <w:rPr>
          <w:rFonts w:ascii="Calibri" w:hAnsi="Calibri"/>
          <w:sz w:val="22"/>
        </w:rPr>
        <w:t>Whether a process for urgent return/resolution of a domain name should be developed, as discussed within the SSAC hijacking report (</w:t>
      </w:r>
      <w:hyperlink r:id="rId11" w:history="1">
        <w:r w:rsidRPr="00F17FF8">
          <w:rPr>
            <w:rStyle w:val="Hyperlink"/>
            <w:rFonts w:ascii="Calibri" w:hAnsi="Calibri"/>
            <w:sz w:val="22"/>
          </w:rPr>
          <w:t>http://www.icann.org/announcements/hijacking-report-12jul05.pdf;</w:t>
        </w:r>
      </w:hyperlink>
      <w:r w:rsidRPr="00F17FF8">
        <w:rPr>
          <w:rFonts w:ascii="Calibri" w:hAnsi="Calibri"/>
          <w:sz w:val="22"/>
        </w:rPr>
        <w:t xml:space="preserve"> see also </w:t>
      </w:r>
      <w:hyperlink r:id="rId12" w:history="1">
        <w:r w:rsidRPr="00F17FF8">
          <w:rPr>
            <w:rStyle w:val="Hyperlink"/>
            <w:rFonts w:ascii="Calibri" w:hAnsi="Calibri"/>
            <w:sz w:val="22"/>
          </w:rPr>
          <w:t>http://www.icann.org/correspondence/cole-to-tonkin-14mar05.htm</w:t>
        </w:r>
      </w:hyperlink>
      <w:r w:rsidRPr="00F17FF8">
        <w:rPr>
          <w:rFonts w:ascii="Calibri" w:hAnsi="Calibri"/>
          <w:sz w:val="22"/>
        </w:rPr>
        <w:t xml:space="preserve">); </w:t>
      </w:r>
    </w:p>
    <w:p w14:paraId="675B1C61" w14:textId="77777777" w:rsidR="00632BD7" w:rsidRPr="00F17FF8" w:rsidRDefault="00632BD7" w:rsidP="00632BD7">
      <w:pPr>
        <w:pStyle w:val="NormalWeb"/>
        <w:numPr>
          <w:ilvl w:val="1"/>
          <w:numId w:val="35"/>
        </w:numPr>
        <w:suppressAutoHyphens/>
        <w:spacing w:before="2" w:beforeAutospacing="0" w:after="2" w:afterAutospacing="0" w:line="360" w:lineRule="auto"/>
        <w:rPr>
          <w:rFonts w:ascii="Calibri" w:hAnsi="Calibri"/>
          <w:sz w:val="22"/>
        </w:rPr>
      </w:pPr>
      <w:r w:rsidRPr="00F17FF8">
        <w:rPr>
          <w:rFonts w:ascii="Calibri" w:hAnsi="Calibri"/>
          <w:sz w:val="22"/>
        </w:rPr>
        <w:t xml:space="preserve">Whether additional provisions on undoing inappropriate transfers are needed, especially with regard to disputes between a Registrant and Admin Contact. The policy is clear that the Registrant can overrule the AC, but how this is implemented is currently at the discretion of the registrar; </w:t>
      </w:r>
    </w:p>
    <w:p w14:paraId="2D5CB1EC" w14:textId="77777777" w:rsidR="00632BD7" w:rsidRPr="00F17FF8" w:rsidRDefault="00632BD7" w:rsidP="00632BD7">
      <w:pPr>
        <w:pStyle w:val="NormalWeb"/>
        <w:numPr>
          <w:ilvl w:val="1"/>
          <w:numId w:val="35"/>
        </w:numPr>
        <w:suppressAutoHyphens/>
        <w:spacing w:before="2" w:beforeAutospacing="0" w:after="2" w:afterAutospacing="0" w:line="360" w:lineRule="auto"/>
        <w:rPr>
          <w:rFonts w:ascii="Calibri" w:hAnsi="Calibri"/>
          <w:sz w:val="22"/>
        </w:rPr>
      </w:pPr>
      <w:r w:rsidRPr="00F17FF8">
        <w:rPr>
          <w:rFonts w:ascii="Calibri" w:hAnsi="Calibri"/>
          <w:sz w:val="22"/>
        </w:rPr>
        <w:t xml:space="preserve">Whether special provisions are needed for a change of registrant near a change of registrar. The policy does not currently deal with change of registrant, which often figures in hijacking cases; </w:t>
      </w:r>
    </w:p>
    <w:p w14:paraId="582267CD" w14:textId="77777777" w:rsidR="00632BD7" w:rsidRPr="00F17FF8" w:rsidRDefault="00632BD7" w:rsidP="00632BD7">
      <w:pPr>
        <w:pStyle w:val="NormalWeb"/>
        <w:numPr>
          <w:ilvl w:val="1"/>
          <w:numId w:val="35"/>
        </w:numPr>
        <w:suppressAutoHyphens/>
        <w:spacing w:before="2" w:beforeAutospacing="0" w:after="2" w:afterAutospacing="0" w:line="360" w:lineRule="auto"/>
        <w:rPr>
          <w:rFonts w:ascii="Calibri" w:hAnsi="Calibri"/>
          <w:sz w:val="22"/>
        </w:rPr>
      </w:pPr>
      <w:r w:rsidRPr="00F17FF8">
        <w:rPr>
          <w:rFonts w:ascii="Calibri" w:hAnsi="Calibri"/>
          <w:sz w:val="22"/>
        </w:rPr>
        <w:t xml:space="preserve">Whether standards or best practices should be implemented regarding use of Registrar Lock status (e.g., when it may/may not, should/should not be applied); </w:t>
      </w:r>
    </w:p>
    <w:p w14:paraId="3AF4FEBC" w14:textId="77777777" w:rsidR="00632BD7" w:rsidRPr="00F17FF8" w:rsidRDefault="00632BD7" w:rsidP="00632BD7">
      <w:pPr>
        <w:pStyle w:val="NormalWeb"/>
        <w:numPr>
          <w:ilvl w:val="1"/>
          <w:numId w:val="35"/>
        </w:numPr>
        <w:suppressAutoHyphens/>
        <w:spacing w:before="2" w:beforeAutospacing="0" w:after="2" w:afterAutospacing="0" w:line="360" w:lineRule="auto"/>
        <w:rPr>
          <w:rFonts w:ascii="Calibri" w:hAnsi="Calibri"/>
          <w:sz w:val="22"/>
        </w:rPr>
      </w:pPr>
      <w:r w:rsidRPr="00F17FF8">
        <w:rPr>
          <w:rFonts w:ascii="Calibri" w:hAnsi="Calibri"/>
          <w:sz w:val="22"/>
        </w:rPr>
        <w:t>Whether, and if so, how best to clarify denial reason #7: A domain name was already in "lock status" provided that the Registrar provides a readily accessible and reasonable means for the Registered Name Holder to remove the lock status.</w:t>
      </w:r>
      <w:r>
        <w:rPr>
          <w:rFonts w:ascii="Calibri" w:hAnsi="Calibri"/>
          <w:sz w:val="22"/>
        </w:rPr>
        <w:t xml:space="preserve"> </w:t>
      </w:r>
    </w:p>
    <w:p w14:paraId="63DD5546" w14:textId="77777777" w:rsidR="00632BD7" w:rsidRDefault="00632BD7" w:rsidP="001A0F98">
      <w:pPr>
        <w:rPr>
          <w:rFonts w:ascii="Arial" w:hAnsi="Arial" w:cs="Arial"/>
          <w:sz w:val="20"/>
          <w:szCs w:val="20"/>
        </w:rPr>
      </w:pPr>
    </w:p>
    <w:p w14:paraId="3D1D5C9C" w14:textId="77777777" w:rsidR="00632BD7" w:rsidRDefault="00632BD7" w:rsidP="001A0F98">
      <w:pPr>
        <w:rPr>
          <w:rFonts w:ascii="Arial" w:hAnsi="Arial" w:cs="Arial"/>
          <w:sz w:val="20"/>
          <w:szCs w:val="20"/>
        </w:rPr>
      </w:pPr>
      <w:r>
        <w:rPr>
          <w:rFonts w:ascii="Arial" w:hAnsi="Arial" w:cs="Arial"/>
          <w:sz w:val="20"/>
          <w:szCs w:val="20"/>
        </w:rPr>
        <w:t xml:space="preserve">The Business Constituency </w:t>
      </w:r>
      <w:r w:rsidR="008B19AE">
        <w:rPr>
          <w:rFonts w:ascii="Arial" w:hAnsi="Arial" w:cs="Arial"/>
          <w:sz w:val="20"/>
          <w:szCs w:val="20"/>
        </w:rPr>
        <w:t xml:space="preserve">participated actively in the Working Group and supports the recommendations that have been proposed.  A detailed discussion of the BC position follows. </w:t>
      </w:r>
      <w:r>
        <w:rPr>
          <w:rFonts w:ascii="Arial" w:hAnsi="Arial" w:cs="Arial"/>
          <w:sz w:val="20"/>
          <w:szCs w:val="20"/>
        </w:rPr>
        <w:t xml:space="preserve"> </w:t>
      </w:r>
    </w:p>
    <w:p w14:paraId="2A76A204" w14:textId="77777777" w:rsidR="001A0F98" w:rsidRDefault="001A0F98" w:rsidP="001A0F98">
      <w:pPr>
        <w:rPr>
          <w:rFonts w:ascii="Arial" w:hAnsi="Arial" w:cs="Arial"/>
          <w:sz w:val="20"/>
          <w:szCs w:val="20"/>
        </w:rPr>
      </w:pPr>
    </w:p>
    <w:p w14:paraId="24324906" w14:textId="77777777" w:rsidR="008B1093" w:rsidRDefault="008B1093" w:rsidP="008B1093">
      <w:pPr>
        <w:rPr>
          <w:rFonts w:ascii="Arial" w:hAnsi="Arial" w:cs="Arial"/>
          <w:sz w:val="20"/>
          <w:szCs w:val="20"/>
        </w:rPr>
      </w:pPr>
    </w:p>
    <w:p w14:paraId="38282F4A" w14:textId="77777777" w:rsidR="008B1093" w:rsidRDefault="008B1093" w:rsidP="008B1093">
      <w:pPr>
        <w:ind w:left="30"/>
        <w:rPr>
          <w:rFonts w:ascii="Arial" w:hAnsi="Arial" w:cs="Arial"/>
          <w:sz w:val="20"/>
          <w:szCs w:val="20"/>
        </w:rPr>
      </w:pPr>
    </w:p>
    <w:tbl>
      <w:tblPr>
        <w:tblStyle w:val="TableGrid"/>
        <w:tblW w:w="0" w:type="auto"/>
        <w:tblLook w:val="04A0" w:firstRow="1" w:lastRow="0" w:firstColumn="1" w:lastColumn="0" w:noHBand="0" w:noVBand="1"/>
      </w:tblPr>
      <w:tblGrid>
        <w:gridCol w:w="2994"/>
        <w:gridCol w:w="549"/>
      </w:tblGrid>
      <w:tr w:rsidR="008B1093" w:rsidRPr="00AA632F" w14:paraId="478EA1F8" w14:textId="77777777" w:rsidTr="00622713">
        <w:tc>
          <w:tcPr>
            <w:tcW w:w="2994" w:type="dxa"/>
            <w:vAlign w:val="center"/>
          </w:tcPr>
          <w:p w14:paraId="78AB07FD" w14:textId="77777777" w:rsidR="008B1093" w:rsidRPr="00CA3D72" w:rsidRDefault="008B1093" w:rsidP="00622713">
            <w:pPr>
              <w:rPr>
                <w:rFonts w:ascii="Arial" w:hAnsi="Arial" w:cs="Arial"/>
                <w:sz w:val="18"/>
                <w:szCs w:val="18"/>
              </w:rPr>
            </w:pPr>
            <w:r w:rsidRPr="00CA3D72">
              <w:rPr>
                <w:rFonts w:ascii="Arial" w:hAnsi="Arial" w:cs="Arial"/>
                <w:sz w:val="18"/>
                <w:szCs w:val="18"/>
              </w:rPr>
              <w:t>Agree</w:t>
            </w:r>
            <w:r>
              <w:rPr>
                <w:rFonts w:ascii="Arial" w:hAnsi="Arial" w:cs="Arial"/>
                <w:sz w:val="18"/>
                <w:szCs w:val="18"/>
              </w:rPr>
              <w:t xml:space="preserve"> &amp; Comment</w:t>
            </w:r>
          </w:p>
        </w:tc>
        <w:tc>
          <w:tcPr>
            <w:tcW w:w="450" w:type="dxa"/>
            <w:vAlign w:val="center"/>
          </w:tcPr>
          <w:p w14:paraId="545E7A82" w14:textId="77777777" w:rsidR="008B1093" w:rsidRPr="00AA632F" w:rsidRDefault="00BA3D4A" w:rsidP="00622713">
            <w:pPr>
              <w:jc w:val="center"/>
              <w:rPr>
                <w:rFonts w:ascii="Arial" w:hAnsi="Arial" w:cs="Arial"/>
              </w:rPr>
            </w:pPr>
            <w:r>
              <w:rPr>
                <w:rFonts w:ascii="Calibri" w:eastAsia="Calibri" w:hAnsi="Calibri"/>
              </w:rPr>
              <w:pict w14:anchorId="4869A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14.65pt">
                  <v:imagedata r:id="rId13" o:title=""/>
                </v:shape>
              </w:pict>
            </w:r>
          </w:p>
        </w:tc>
      </w:tr>
      <w:tr w:rsidR="008B1093" w:rsidRPr="00AA632F" w14:paraId="4D397925" w14:textId="77777777" w:rsidTr="00622713">
        <w:tc>
          <w:tcPr>
            <w:tcW w:w="2994" w:type="dxa"/>
            <w:vAlign w:val="center"/>
          </w:tcPr>
          <w:p w14:paraId="45E891A4" w14:textId="77777777" w:rsidR="008B1093" w:rsidRPr="00CA3D72" w:rsidRDefault="008B1093" w:rsidP="00622713">
            <w:pPr>
              <w:rPr>
                <w:rFonts w:ascii="Arial" w:hAnsi="Arial" w:cs="Arial"/>
                <w:sz w:val="18"/>
                <w:szCs w:val="18"/>
              </w:rPr>
            </w:pPr>
            <w:r w:rsidRPr="00CA3D72">
              <w:rPr>
                <w:rFonts w:ascii="Arial" w:hAnsi="Arial" w:cs="Arial"/>
                <w:sz w:val="18"/>
                <w:szCs w:val="18"/>
              </w:rPr>
              <w:t>Agree &amp; Offer Suggestion</w:t>
            </w:r>
          </w:p>
        </w:tc>
        <w:tc>
          <w:tcPr>
            <w:tcW w:w="450" w:type="dxa"/>
            <w:vAlign w:val="center"/>
          </w:tcPr>
          <w:p w14:paraId="062825A9" w14:textId="77777777" w:rsidR="008B1093" w:rsidRPr="00AA632F" w:rsidRDefault="00BA3D4A" w:rsidP="00622713">
            <w:pPr>
              <w:jc w:val="center"/>
              <w:rPr>
                <w:rFonts w:ascii="Arial" w:hAnsi="Arial" w:cs="Arial"/>
              </w:rPr>
            </w:pPr>
            <w:r>
              <w:rPr>
                <w:rFonts w:ascii="Calibri" w:eastAsia="Calibri" w:hAnsi="Calibri"/>
              </w:rPr>
              <w:pict w14:anchorId="1985AB70">
                <v:shape id="_x0000_i1026" type="#_x0000_t75" style="width:15.35pt;height:13.35pt">
                  <v:imagedata r:id="rId14" o:title=""/>
                </v:shape>
              </w:pict>
            </w:r>
          </w:p>
        </w:tc>
      </w:tr>
      <w:tr w:rsidR="008B1093" w:rsidRPr="00AA632F" w14:paraId="36D11E67" w14:textId="77777777" w:rsidTr="00622713">
        <w:tc>
          <w:tcPr>
            <w:tcW w:w="2994" w:type="dxa"/>
            <w:vAlign w:val="center"/>
          </w:tcPr>
          <w:p w14:paraId="30E9557C" w14:textId="77777777" w:rsidR="008B1093" w:rsidRPr="00CA3D72" w:rsidRDefault="008B1093" w:rsidP="00622713">
            <w:pPr>
              <w:rPr>
                <w:rFonts w:ascii="Arial" w:hAnsi="Arial" w:cs="Arial"/>
                <w:sz w:val="18"/>
                <w:szCs w:val="18"/>
              </w:rPr>
            </w:pPr>
            <w:r>
              <w:rPr>
                <w:rFonts w:ascii="Arial" w:hAnsi="Arial" w:cs="Arial"/>
                <w:sz w:val="18"/>
                <w:szCs w:val="18"/>
              </w:rPr>
              <w:t>Disa</w:t>
            </w:r>
            <w:r w:rsidRPr="00CA3D72">
              <w:rPr>
                <w:rFonts w:ascii="Arial" w:hAnsi="Arial" w:cs="Arial"/>
                <w:sz w:val="18"/>
                <w:szCs w:val="18"/>
              </w:rPr>
              <w:t>gree &amp; Offer Suggestion</w:t>
            </w:r>
          </w:p>
        </w:tc>
        <w:tc>
          <w:tcPr>
            <w:tcW w:w="450" w:type="dxa"/>
            <w:vAlign w:val="center"/>
          </w:tcPr>
          <w:p w14:paraId="0281561C" w14:textId="77777777" w:rsidR="008B1093" w:rsidRPr="00AA632F" w:rsidRDefault="00BA3D4A" w:rsidP="00622713">
            <w:pPr>
              <w:jc w:val="center"/>
              <w:rPr>
                <w:rFonts w:ascii="Arial" w:hAnsi="Arial" w:cs="Arial"/>
              </w:rPr>
            </w:pPr>
            <w:r>
              <w:rPr>
                <w:rFonts w:ascii="Calibri" w:eastAsia="Calibri" w:hAnsi="Calibri"/>
              </w:rPr>
              <w:pict w14:anchorId="380E9984">
                <v:shape id="_x0000_i1027" type="#_x0000_t75" style="width:16.65pt;height:14.65pt">
                  <v:imagedata r:id="rId15" o:title=""/>
                </v:shape>
              </w:pict>
            </w:r>
          </w:p>
        </w:tc>
      </w:tr>
    </w:tbl>
    <w:p w14:paraId="0F883209" w14:textId="77777777" w:rsidR="008B1093" w:rsidRDefault="008B1093" w:rsidP="008B1093">
      <w:pPr>
        <w:ind w:left="30"/>
        <w:rPr>
          <w:rFonts w:ascii="Arial" w:hAnsi="Arial" w:cs="Arial"/>
          <w:sz w:val="20"/>
          <w:szCs w:val="20"/>
        </w:rPr>
      </w:pPr>
    </w:p>
    <w:p w14:paraId="76F43ADD" w14:textId="77777777" w:rsidR="004D011A" w:rsidRDefault="004D011A">
      <w:pPr>
        <w:spacing w:line="240" w:lineRule="auto"/>
        <w:rPr>
          <w:rFonts w:ascii="Arial" w:hAnsi="Arial" w:cs="Arial"/>
          <w:sz w:val="20"/>
          <w:szCs w:val="20"/>
        </w:rPr>
      </w:pPr>
      <w:r>
        <w:rPr>
          <w:rFonts w:ascii="Arial" w:hAnsi="Arial" w:cs="Arial"/>
          <w:sz w:val="20"/>
          <w:szCs w:val="20"/>
        </w:rPr>
        <w:br w:type="page"/>
      </w:r>
    </w:p>
    <w:p w14:paraId="128327F3" w14:textId="77777777" w:rsidR="008B1093" w:rsidRDefault="008B1093" w:rsidP="008B1093">
      <w:pPr>
        <w:ind w:left="30"/>
        <w:rPr>
          <w:rFonts w:ascii="Arial" w:hAnsi="Arial" w:cs="Arial"/>
          <w:sz w:val="20"/>
          <w:szCs w:val="20"/>
        </w:rPr>
      </w:pPr>
    </w:p>
    <w:tbl>
      <w:tblPr>
        <w:tblStyle w:val="TableGrid"/>
        <w:tblW w:w="0" w:type="auto"/>
        <w:jc w:val="center"/>
        <w:tblCellMar>
          <w:left w:w="115" w:type="dxa"/>
          <w:right w:w="115" w:type="dxa"/>
        </w:tblCellMar>
        <w:tblLook w:val="04A0" w:firstRow="1" w:lastRow="0" w:firstColumn="1" w:lastColumn="0" w:noHBand="0" w:noVBand="1"/>
      </w:tblPr>
      <w:tblGrid>
        <w:gridCol w:w="4735"/>
        <w:gridCol w:w="1398"/>
        <w:gridCol w:w="4897"/>
      </w:tblGrid>
      <w:tr w:rsidR="001A0F98" w:rsidRPr="00AA632F" w14:paraId="08D04D5E" w14:textId="77777777" w:rsidTr="00734628">
        <w:trPr>
          <w:cantSplit/>
          <w:tblHeader/>
          <w:jc w:val="center"/>
        </w:trPr>
        <w:tc>
          <w:tcPr>
            <w:tcW w:w="4735" w:type="dxa"/>
            <w:tcBorders>
              <w:bottom w:val="single" w:sz="4" w:space="0" w:color="auto"/>
            </w:tcBorders>
            <w:shd w:val="clear" w:color="auto" w:fill="D9D9D9"/>
            <w:vAlign w:val="center"/>
          </w:tcPr>
          <w:p w14:paraId="4CA04BE6" w14:textId="77777777" w:rsidR="008B1093" w:rsidRDefault="008B1093" w:rsidP="00622713">
            <w:pPr>
              <w:jc w:val="center"/>
              <w:rPr>
                <w:rFonts w:ascii="Arial" w:hAnsi="Arial" w:cs="Arial"/>
                <w:b/>
              </w:rPr>
            </w:pPr>
          </w:p>
          <w:p w14:paraId="3C8CA05B" w14:textId="77777777" w:rsidR="008B1093" w:rsidRDefault="001A0F98" w:rsidP="00622713">
            <w:pPr>
              <w:jc w:val="center"/>
              <w:rPr>
                <w:rFonts w:ascii="Arial" w:hAnsi="Arial" w:cs="Arial"/>
                <w:b/>
              </w:rPr>
            </w:pPr>
            <w:r>
              <w:rPr>
                <w:rFonts w:ascii="Arial" w:hAnsi="Arial" w:cs="Arial"/>
                <w:b/>
              </w:rPr>
              <w:t>IRTP Recommendation</w:t>
            </w:r>
          </w:p>
          <w:p w14:paraId="79F088D0" w14:textId="77777777" w:rsidR="008B1093" w:rsidRPr="00AA632F" w:rsidRDefault="008B1093" w:rsidP="00622713">
            <w:pPr>
              <w:jc w:val="center"/>
              <w:rPr>
                <w:rFonts w:ascii="Arial" w:hAnsi="Arial" w:cs="Arial"/>
                <w:b/>
              </w:rPr>
            </w:pPr>
          </w:p>
        </w:tc>
        <w:tc>
          <w:tcPr>
            <w:tcW w:w="1398" w:type="dxa"/>
            <w:tcBorders>
              <w:bottom w:val="single" w:sz="4" w:space="0" w:color="auto"/>
            </w:tcBorders>
            <w:shd w:val="clear" w:color="auto" w:fill="D9D9D9"/>
            <w:vAlign w:val="center"/>
          </w:tcPr>
          <w:p w14:paraId="1BBD97E3" w14:textId="77777777" w:rsidR="008B1093" w:rsidRPr="00AA632F" w:rsidRDefault="008B1093" w:rsidP="00622713">
            <w:pPr>
              <w:jc w:val="center"/>
              <w:rPr>
                <w:rFonts w:ascii="Arial" w:hAnsi="Arial" w:cs="Arial"/>
                <w:b/>
              </w:rPr>
            </w:pPr>
            <w:r>
              <w:rPr>
                <w:rFonts w:ascii="Arial" w:hAnsi="Arial" w:cs="Arial"/>
                <w:b/>
              </w:rPr>
              <w:t>BC Rating</w:t>
            </w:r>
          </w:p>
        </w:tc>
        <w:tc>
          <w:tcPr>
            <w:tcW w:w="4897" w:type="dxa"/>
            <w:tcBorders>
              <w:bottom w:val="single" w:sz="4" w:space="0" w:color="auto"/>
            </w:tcBorders>
            <w:shd w:val="clear" w:color="auto" w:fill="D9D9D9"/>
          </w:tcPr>
          <w:p w14:paraId="5378B0E9" w14:textId="77777777" w:rsidR="008B1093" w:rsidRDefault="008B1093" w:rsidP="00622713">
            <w:pPr>
              <w:jc w:val="center"/>
              <w:rPr>
                <w:rFonts w:ascii="Arial" w:hAnsi="Arial" w:cs="Arial"/>
                <w:b/>
              </w:rPr>
            </w:pPr>
          </w:p>
          <w:p w14:paraId="5827C57E" w14:textId="77777777" w:rsidR="008B1093" w:rsidRDefault="008B1093" w:rsidP="00622713">
            <w:pPr>
              <w:jc w:val="center"/>
              <w:rPr>
                <w:rFonts w:ascii="Arial" w:hAnsi="Arial" w:cs="Arial"/>
                <w:b/>
              </w:rPr>
            </w:pPr>
            <w:r>
              <w:rPr>
                <w:rFonts w:ascii="Arial" w:hAnsi="Arial" w:cs="Arial"/>
                <w:b/>
              </w:rPr>
              <w:t>BC Comment</w:t>
            </w:r>
          </w:p>
        </w:tc>
      </w:tr>
      <w:tr w:rsidR="00734628" w:rsidRPr="00AA632F" w14:paraId="395C6478" w14:textId="77777777" w:rsidTr="00734628">
        <w:trPr>
          <w:cantSplit/>
          <w:jc w:val="center"/>
        </w:trPr>
        <w:tc>
          <w:tcPr>
            <w:tcW w:w="11030" w:type="dxa"/>
            <w:gridSpan w:val="3"/>
            <w:shd w:val="clear" w:color="auto" w:fill="FFCC99"/>
            <w:vAlign w:val="center"/>
          </w:tcPr>
          <w:p w14:paraId="38EEB9D8" w14:textId="17B191BA" w:rsidR="00734628" w:rsidRPr="001A0F98" w:rsidRDefault="00734628" w:rsidP="00186C2A">
            <w:pPr>
              <w:rPr>
                <w:rFonts w:ascii="Arial" w:hAnsi="Arial" w:cs="Arial"/>
                <w:sz w:val="20"/>
                <w:szCs w:val="20"/>
              </w:rPr>
            </w:pPr>
            <w:r w:rsidRPr="00F17FF8">
              <w:rPr>
                <w:rFonts w:ascii="Calibri" w:hAnsi="Calibri"/>
                <w:b/>
              </w:rPr>
              <w:t>Issue A: Whether a process for urgent return/resolution of a domain name should be developed, as discussed within the SSAC hijacking report</w:t>
            </w:r>
            <w:r w:rsidRPr="00F17FF8">
              <w:rPr>
                <w:rFonts w:ascii="Calibri" w:hAnsi="Calibri"/>
              </w:rPr>
              <w:t xml:space="preserve"> (</w:t>
            </w:r>
            <w:hyperlink r:id="rId16" w:history="1">
              <w:r w:rsidRPr="00F17FF8">
                <w:rPr>
                  <w:rStyle w:val="Hyperlink"/>
                  <w:rFonts w:ascii="Calibri" w:hAnsi="Calibri"/>
                </w:rPr>
                <w:t>http://www.icann.org/announcements/hijacking-report-12jul05.pdf;</w:t>
              </w:r>
            </w:hyperlink>
            <w:r w:rsidRPr="00F17FF8">
              <w:rPr>
                <w:rFonts w:ascii="Calibri" w:hAnsi="Calibri"/>
              </w:rPr>
              <w:t xml:space="preserve"> see also </w:t>
            </w:r>
            <w:hyperlink r:id="rId17" w:history="1">
              <w:r w:rsidRPr="00F17FF8">
                <w:rPr>
                  <w:rStyle w:val="Hyperlink"/>
                  <w:rFonts w:ascii="Calibri" w:hAnsi="Calibri"/>
                </w:rPr>
                <w:t>http://www.icann.org/correspondence/cole-to-tonkin-14mar05.htm</w:t>
              </w:r>
            </w:hyperlink>
            <w:r>
              <w:rPr>
                <w:rFonts w:ascii="Calibri" w:hAnsi="Calibri"/>
              </w:rPr>
              <w:t>)</w:t>
            </w:r>
          </w:p>
        </w:tc>
      </w:tr>
      <w:tr w:rsidR="00186C2A" w:rsidRPr="00AA632F" w14:paraId="31A2A41E" w14:textId="77777777" w:rsidTr="00734628">
        <w:trPr>
          <w:cantSplit/>
          <w:jc w:val="center"/>
        </w:trPr>
        <w:tc>
          <w:tcPr>
            <w:tcW w:w="4735" w:type="dxa"/>
            <w:vAlign w:val="center"/>
          </w:tcPr>
          <w:p w14:paraId="449B425A" w14:textId="3B9B32FC" w:rsidR="00186C2A" w:rsidRPr="000621CC" w:rsidRDefault="00186C2A" w:rsidP="006209F1">
            <w:pPr>
              <w:spacing w:line="360" w:lineRule="auto"/>
              <w:rPr>
                <w:b/>
              </w:rPr>
            </w:pPr>
            <w:r w:rsidRPr="000621CC">
              <w:rPr>
                <w:rFonts w:ascii="Calibri" w:hAnsi="Calibri"/>
                <w:b/>
              </w:rPr>
              <w:t>Recommendation #1</w:t>
            </w:r>
            <w:r>
              <w:rPr>
                <w:rFonts w:ascii="Calibri" w:hAnsi="Calibri"/>
              </w:rPr>
              <w:t xml:space="preserve"> – The WG is considering recommending requiring registrars to provide a</w:t>
            </w:r>
            <w:r w:rsidRPr="009B6341">
              <w:rPr>
                <w:rFonts w:ascii="Calibri" w:hAnsi="Calibri"/>
              </w:rPr>
              <w:t xml:space="preserve">n Emergency Action Channel </w:t>
            </w:r>
            <w:r>
              <w:rPr>
                <w:rFonts w:ascii="Calibri" w:hAnsi="Calibri"/>
              </w:rPr>
              <w:t>(as described</w:t>
            </w:r>
            <w:r w:rsidRPr="009B6341">
              <w:rPr>
                <w:rFonts w:ascii="Calibri" w:hAnsi="Calibri"/>
              </w:rPr>
              <w:t xml:space="preserve"> in </w:t>
            </w:r>
            <w:hyperlink r:id="rId18" w:history="1">
              <w:r w:rsidRPr="00D045A1">
                <w:rPr>
                  <w:rStyle w:val="Hyperlink"/>
                  <w:rFonts w:ascii="Calibri" w:hAnsi="Calibri"/>
                </w:rPr>
                <w:t>SAC007</w:t>
              </w:r>
            </w:hyperlink>
            <w:r>
              <w:rPr>
                <w:rFonts w:ascii="Calibri" w:hAnsi="Calibri"/>
              </w:rPr>
              <w:t xml:space="preserve">). </w:t>
            </w:r>
          </w:p>
        </w:tc>
        <w:tc>
          <w:tcPr>
            <w:tcW w:w="1398" w:type="dxa"/>
            <w:vAlign w:val="center"/>
          </w:tcPr>
          <w:p w14:paraId="134D558F" w14:textId="2DF8997E" w:rsidR="00186C2A" w:rsidRPr="001A0F98" w:rsidRDefault="00BA3D4A" w:rsidP="00622713">
            <w:pPr>
              <w:jc w:val="center"/>
              <w:rPr>
                <w:sz w:val="20"/>
                <w:szCs w:val="20"/>
              </w:rPr>
            </w:pPr>
            <w:r>
              <w:rPr>
                <w:rFonts w:ascii="Calibri" w:eastAsia="Calibri" w:hAnsi="Calibri"/>
                <w:sz w:val="20"/>
                <w:szCs w:val="20"/>
              </w:rPr>
              <w:pict w14:anchorId="4BFFC36A">
                <v:shape id="_x0000_i1028" type="#_x0000_t75" style="width:15.35pt;height:14.65pt">
                  <v:imagedata r:id="rId19" o:title=""/>
                </v:shape>
              </w:pict>
            </w:r>
          </w:p>
        </w:tc>
        <w:tc>
          <w:tcPr>
            <w:tcW w:w="4897" w:type="dxa"/>
          </w:tcPr>
          <w:p w14:paraId="35254466" w14:textId="77777777" w:rsidR="00186C2A" w:rsidRPr="001A0F98" w:rsidRDefault="00186C2A" w:rsidP="00186C2A">
            <w:pPr>
              <w:rPr>
                <w:rFonts w:ascii="Arial" w:hAnsi="Arial" w:cs="Arial"/>
                <w:sz w:val="20"/>
                <w:szCs w:val="20"/>
              </w:rPr>
            </w:pPr>
          </w:p>
          <w:p w14:paraId="71BDDDC9" w14:textId="77777777" w:rsidR="00186C2A" w:rsidRPr="001A0F98" w:rsidRDefault="00186C2A" w:rsidP="00186C2A">
            <w:pPr>
              <w:rPr>
                <w:rFonts w:ascii="Arial" w:hAnsi="Arial" w:cs="Arial"/>
                <w:b/>
                <w:sz w:val="20"/>
                <w:szCs w:val="20"/>
              </w:rPr>
            </w:pPr>
            <w:r>
              <w:rPr>
                <w:rFonts w:ascii="Arial" w:hAnsi="Arial" w:cs="Arial"/>
                <w:b/>
                <w:sz w:val="20"/>
                <w:szCs w:val="20"/>
              </w:rPr>
              <w:t>Comment:</w:t>
            </w:r>
          </w:p>
          <w:p w14:paraId="1BF254F8" w14:textId="77777777" w:rsidR="00186C2A" w:rsidRPr="001A0F98" w:rsidRDefault="00186C2A" w:rsidP="00186C2A">
            <w:pPr>
              <w:rPr>
                <w:rFonts w:ascii="Arial" w:hAnsi="Arial" w:cs="Arial"/>
                <w:sz w:val="20"/>
                <w:szCs w:val="20"/>
              </w:rPr>
            </w:pPr>
            <w:r>
              <w:rPr>
                <w:rFonts w:ascii="Arial" w:hAnsi="Arial" w:cs="Arial"/>
                <w:sz w:val="20"/>
                <w:szCs w:val="20"/>
              </w:rPr>
              <w:t>This proposal, drafted over six years ago, addresses the need for an urgent-return mechanism when a domain is hijacked or transferred by mistake.</w:t>
            </w:r>
          </w:p>
          <w:p w14:paraId="3AB265C4" w14:textId="77777777" w:rsidR="00186C2A" w:rsidRPr="001A0F98" w:rsidRDefault="00186C2A" w:rsidP="00186C2A">
            <w:pPr>
              <w:rPr>
                <w:rFonts w:ascii="Arial" w:hAnsi="Arial" w:cs="Arial"/>
                <w:sz w:val="20"/>
                <w:szCs w:val="20"/>
              </w:rPr>
            </w:pPr>
          </w:p>
          <w:p w14:paraId="68F6E877" w14:textId="77777777" w:rsidR="00186C2A" w:rsidRPr="001A0F98" w:rsidRDefault="00186C2A" w:rsidP="00186C2A">
            <w:pPr>
              <w:rPr>
                <w:rFonts w:ascii="Arial" w:hAnsi="Arial" w:cs="Arial"/>
                <w:b/>
                <w:sz w:val="20"/>
                <w:szCs w:val="20"/>
              </w:rPr>
            </w:pPr>
            <w:r w:rsidRPr="001A0F98">
              <w:rPr>
                <w:rFonts w:ascii="Arial" w:hAnsi="Arial" w:cs="Arial"/>
                <w:b/>
                <w:sz w:val="20"/>
                <w:szCs w:val="20"/>
              </w:rPr>
              <w:t>BC Position:</w:t>
            </w:r>
          </w:p>
          <w:p w14:paraId="63411C62" w14:textId="77777777" w:rsidR="00186C2A" w:rsidRPr="001A0F98" w:rsidRDefault="00186C2A" w:rsidP="00186C2A">
            <w:pPr>
              <w:rPr>
                <w:rFonts w:ascii="Arial" w:hAnsi="Arial" w:cs="Arial"/>
                <w:i/>
                <w:sz w:val="20"/>
                <w:szCs w:val="20"/>
              </w:rPr>
            </w:pPr>
            <w:r w:rsidRPr="001A0F98">
              <w:rPr>
                <w:rFonts w:ascii="Arial" w:hAnsi="Arial" w:cs="Arial"/>
                <w:i/>
                <w:sz w:val="20"/>
                <w:szCs w:val="20"/>
              </w:rPr>
              <w:t xml:space="preserve">The BC supports </w:t>
            </w:r>
            <w:r>
              <w:rPr>
                <w:rFonts w:ascii="Arial" w:hAnsi="Arial" w:cs="Arial"/>
                <w:i/>
                <w:sz w:val="20"/>
                <w:szCs w:val="20"/>
              </w:rPr>
              <w:t>this proposal</w:t>
            </w:r>
          </w:p>
          <w:p w14:paraId="18D800C7" w14:textId="77777777" w:rsidR="00186C2A" w:rsidRPr="001A0F98" w:rsidRDefault="00186C2A" w:rsidP="00622713">
            <w:pPr>
              <w:rPr>
                <w:rFonts w:ascii="Arial" w:hAnsi="Arial" w:cs="Arial"/>
                <w:sz w:val="20"/>
                <w:szCs w:val="20"/>
              </w:rPr>
            </w:pPr>
          </w:p>
        </w:tc>
      </w:tr>
      <w:tr w:rsidR="00186C2A" w:rsidRPr="00AA632F" w14:paraId="7AA6F605" w14:textId="77777777" w:rsidTr="00734628">
        <w:trPr>
          <w:cantSplit/>
          <w:jc w:val="center"/>
        </w:trPr>
        <w:tc>
          <w:tcPr>
            <w:tcW w:w="4735" w:type="dxa"/>
            <w:vAlign w:val="center"/>
          </w:tcPr>
          <w:p w14:paraId="5D1E18F2" w14:textId="77777777" w:rsidR="00186C2A" w:rsidRDefault="00186C2A" w:rsidP="00186C2A">
            <w:pPr>
              <w:suppressAutoHyphens/>
              <w:spacing w:line="360" w:lineRule="auto"/>
              <w:rPr>
                <w:rFonts w:ascii="Calibri" w:hAnsi="Calibri"/>
              </w:rPr>
            </w:pPr>
            <w:r w:rsidRPr="000621CC">
              <w:rPr>
                <w:rFonts w:ascii="Calibri" w:hAnsi="Calibri"/>
                <w:b/>
              </w:rPr>
              <w:t>Recommendation #1</w:t>
            </w:r>
            <w:r>
              <w:rPr>
                <w:rFonts w:ascii="Calibri" w:hAnsi="Calibri"/>
                <w:b/>
              </w:rPr>
              <w:t xml:space="preserve"> question 1</w:t>
            </w:r>
            <w:r>
              <w:rPr>
                <w:rFonts w:ascii="Calibri" w:hAnsi="Calibri"/>
              </w:rPr>
              <w:t xml:space="preserve"> </w:t>
            </w:r>
            <w:r>
              <w:rPr>
                <w:rFonts w:ascii="Calibri" w:hAnsi="Calibri"/>
              </w:rPr>
              <w:br/>
              <w:t xml:space="preserve">Within what time should a response </w:t>
            </w:r>
            <w:proofErr w:type="gramStart"/>
            <w:r>
              <w:rPr>
                <w:rFonts w:ascii="Calibri" w:hAnsi="Calibri"/>
              </w:rPr>
              <w:t>be</w:t>
            </w:r>
            <w:proofErr w:type="gramEnd"/>
            <w:r>
              <w:rPr>
                <w:rFonts w:ascii="Calibri" w:hAnsi="Calibri"/>
              </w:rPr>
              <w:t xml:space="preserve"> received after an issue has been raised through the Emergency Action Channel (for example, 24 hours – 3 days has been the range discussed by the WG)?</w:t>
            </w:r>
          </w:p>
          <w:p w14:paraId="5E739E18" w14:textId="77777777" w:rsidR="00186C2A" w:rsidRPr="000621CC" w:rsidRDefault="00186C2A" w:rsidP="00186C2A">
            <w:pPr>
              <w:suppressAutoHyphens/>
              <w:spacing w:line="360" w:lineRule="auto"/>
              <w:rPr>
                <w:b/>
              </w:rPr>
            </w:pPr>
          </w:p>
        </w:tc>
        <w:tc>
          <w:tcPr>
            <w:tcW w:w="1398" w:type="dxa"/>
            <w:vAlign w:val="center"/>
          </w:tcPr>
          <w:p w14:paraId="1484F40F" w14:textId="0251E2AB" w:rsidR="00186C2A" w:rsidRPr="001A0F98" w:rsidRDefault="00BA3D4A" w:rsidP="00622713">
            <w:pPr>
              <w:jc w:val="center"/>
              <w:rPr>
                <w:sz w:val="20"/>
                <w:szCs w:val="20"/>
              </w:rPr>
            </w:pPr>
            <w:r>
              <w:rPr>
                <w:rFonts w:ascii="Calibri" w:eastAsia="Calibri" w:hAnsi="Calibri"/>
                <w:sz w:val="20"/>
                <w:szCs w:val="20"/>
              </w:rPr>
              <w:pict w14:anchorId="66AFD381">
                <v:shape id="_x0000_i1029" type="#_x0000_t75" style="width:15.35pt;height:14.65pt">
                  <v:imagedata r:id="rId20" o:title=""/>
                </v:shape>
              </w:pict>
            </w:r>
          </w:p>
        </w:tc>
        <w:tc>
          <w:tcPr>
            <w:tcW w:w="4897" w:type="dxa"/>
          </w:tcPr>
          <w:p w14:paraId="1A7175B1" w14:textId="77777777" w:rsidR="00186C2A" w:rsidRPr="001A0F98" w:rsidRDefault="00186C2A" w:rsidP="00186C2A">
            <w:pPr>
              <w:rPr>
                <w:rFonts w:ascii="Arial" w:hAnsi="Arial" w:cs="Arial"/>
                <w:sz w:val="20"/>
                <w:szCs w:val="20"/>
              </w:rPr>
            </w:pPr>
          </w:p>
          <w:p w14:paraId="0DBCCA4B" w14:textId="77777777" w:rsidR="00186C2A" w:rsidRPr="001A0F98" w:rsidRDefault="00186C2A" w:rsidP="00186C2A">
            <w:pPr>
              <w:rPr>
                <w:rFonts w:ascii="Arial" w:hAnsi="Arial" w:cs="Arial"/>
                <w:b/>
                <w:sz w:val="20"/>
                <w:szCs w:val="20"/>
              </w:rPr>
            </w:pPr>
            <w:r>
              <w:rPr>
                <w:rFonts w:ascii="Arial" w:hAnsi="Arial" w:cs="Arial"/>
                <w:b/>
                <w:sz w:val="20"/>
                <w:szCs w:val="20"/>
              </w:rPr>
              <w:t>Comment:</w:t>
            </w:r>
          </w:p>
          <w:p w14:paraId="1EA95233" w14:textId="77777777" w:rsidR="00186C2A" w:rsidRPr="001A0F98" w:rsidRDefault="00186C2A" w:rsidP="00186C2A">
            <w:pPr>
              <w:rPr>
                <w:rFonts w:ascii="Arial" w:hAnsi="Arial" w:cs="Arial"/>
                <w:sz w:val="20"/>
                <w:szCs w:val="20"/>
              </w:rPr>
            </w:pPr>
            <w:r>
              <w:rPr>
                <w:rFonts w:ascii="Arial" w:hAnsi="Arial" w:cs="Arial"/>
                <w:sz w:val="20"/>
                <w:szCs w:val="20"/>
              </w:rPr>
              <w:t>Domain-name hijacking can result in substantial harm to a business and the BC would support measures that lead to a quick response.</w:t>
            </w:r>
          </w:p>
          <w:p w14:paraId="60C335C8" w14:textId="77777777" w:rsidR="00186C2A" w:rsidRPr="001A0F98" w:rsidRDefault="00186C2A" w:rsidP="00186C2A">
            <w:pPr>
              <w:rPr>
                <w:rFonts w:ascii="Arial" w:hAnsi="Arial" w:cs="Arial"/>
                <w:sz w:val="20"/>
                <w:szCs w:val="20"/>
              </w:rPr>
            </w:pPr>
          </w:p>
          <w:p w14:paraId="3BF32FE5" w14:textId="77777777" w:rsidR="00186C2A" w:rsidRPr="001A0F98" w:rsidRDefault="00186C2A" w:rsidP="00186C2A">
            <w:pPr>
              <w:rPr>
                <w:rFonts w:ascii="Arial" w:hAnsi="Arial" w:cs="Arial"/>
                <w:b/>
                <w:sz w:val="20"/>
                <w:szCs w:val="20"/>
              </w:rPr>
            </w:pPr>
            <w:r w:rsidRPr="001A0F98">
              <w:rPr>
                <w:rFonts w:ascii="Arial" w:hAnsi="Arial" w:cs="Arial"/>
                <w:b/>
                <w:sz w:val="20"/>
                <w:szCs w:val="20"/>
              </w:rPr>
              <w:t>BC Position:</w:t>
            </w:r>
          </w:p>
          <w:p w14:paraId="7B812FCA" w14:textId="77777777" w:rsidR="00186C2A" w:rsidRPr="001A0F98" w:rsidRDefault="00186C2A" w:rsidP="00186C2A">
            <w:pPr>
              <w:rPr>
                <w:rFonts w:ascii="Arial" w:hAnsi="Arial" w:cs="Arial"/>
                <w:i/>
                <w:sz w:val="20"/>
                <w:szCs w:val="20"/>
              </w:rPr>
            </w:pPr>
            <w:r>
              <w:rPr>
                <w:rFonts w:ascii="Arial" w:hAnsi="Arial" w:cs="Arial"/>
                <w:i/>
                <w:sz w:val="20"/>
                <w:szCs w:val="20"/>
              </w:rPr>
              <w:t>The shorter the better – the BC would support as short an interval as is practical and would prefer to see something on the order of 6 – 12 hours.</w:t>
            </w:r>
          </w:p>
          <w:p w14:paraId="4B93A828" w14:textId="77777777" w:rsidR="00186C2A" w:rsidRPr="001A0F98" w:rsidRDefault="00186C2A" w:rsidP="00622713">
            <w:pPr>
              <w:rPr>
                <w:rFonts w:ascii="Arial" w:hAnsi="Arial" w:cs="Arial"/>
                <w:sz w:val="20"/>
                <w:szCs w:val="20"/>
              </w:rPr>
            </w:pPr>
          </w:p>
        </w:tc>
      </w:tr>
      <w:tr w:rsidR="00186C2A" w:rsidRPr="00AA632F" w14:paraId="0E81FCF4" w14:textId="77777777" w:rsidTr="00734628">
        <w:trPr>
          <w:cantSplit/>
          <w:jc w:val="center"/>
        </w:trPr>
        <w:tc>
          <w:tcPr>
            <w:tcW w:w="4735" w:type="dxa"/>
            <w:vAlign w:val="center"/>
          </w:tcPr>
          <w:p w14:paraId="2061ECCF" w14:textId="70F148B2" w:rsidR="00186C2A" w:rsidRDefault="00186C2A" w:rsidP="00186C2A">
            <w:pPr>
              <w:suppressAutoHyphens/>
              <w:spacing w:line="360" w:lineRule="auto"/>
              <w:rPr>
                <w:rFonts w:ascii="Calibri" w:hAnsi="Calibri"/>
              </w:rPr>
            </w:pPr>
            <w:r w:rsidRPr="000621CC">
              <w:rPr>
                <w:rFonts w:ascii="Calibri" w:hAnsi="Calibri"/>
                <w:b/>
              </w:rPr>
              <w:t>Recommendation #1</w:t>
            </w:r>
            <w:r>
              <w:rPr>
                <w:rFonts w:ascii="Calibri" w:hAnsi="Calibri"/>
                <w:b/>
              </w:rPr>
              <w:t xml:space="preserve"> question 2</w:t>
            </w:r>
            <w:r>
              <w:rPr>
                <w:rFonts w:ascii="Calibri" w:hAnsi="Calibri"/>
              </w:rPr>
              <w:t xml:space="preserve"> </w:t>
            </w:r>
            <w:r>
              <w:rPr>
                <w:rFonts w:ascii="Calibri" w:hAnsi="Calibri"/>
              </w:rPr>
              <w:br/>
              <w:t>What qualifies as ‘a response’? Is an auto-response sufficient?</w:t>
            </w:r>
          </w:p>
          <w:p w14:paraId="67C69438" w14:textId="77777777" w:rsidR="00186C2A" w:rsidRPr="000621CC" w:rsidRDefault="00186C2A" w:rsidP="00186C2A">
            <w:pPr>
              <w:suppressAutoHyphens/>
              <w:spacing w:line="360" w:lineRule="auto"/>
              <w:rPr>
                <w:b/>
              </w:rPr>
            </w:pPr>
          </w:p>
        </w:tc>
        <w:tc>
          <w:tcPr>
            <w:tcW w:w="1398" w:type="dxa"/>
            <w:vAlign w:val="center"/>
          </w:tcPr>
          <w:p w14:paraId="48310C13" w14:textId="77777777" w:rsidR="00186C2A" w:rsidRPr="001A0F98" w:rsidRDefault="00BA3D4A" w:rsidP="00186C2A">
            <w:pPr>
              <w:jc w:val="center"/>
              <w:rPr>
                <w:sz w:val="20"/>
                <w:szCs w:val="20"/>
              </w:rPr>
            </w:pPr>
            <w:r>
              <w:rPr>
                <w:rFonts w:ascii="Calibri" w:eastAsia="Calibri" w:hAnsi="Calibri"/>
                <w:sz w:val="20"/>
                <w:szCs w:val="20"/>
              </w:rPr>
              <w:pict w14:anchorId="18B63026">
                <v:shape id="_x0000_i1030" type="#_x0000_t75" style="width:15.35pt;height:14.65pt">
                  <v:imagedata r:id="rId21" o:title=""/>
                </v:shape>
              </w:pict>
            </w:r>
          </w:p>
        </w:tc>
        <w:tc>
          <w:tcPr>
            <w:tcW w:w="4897" w:type="dxa"/>
          </w:tcPr>
          <w:p w14:paraId="1CA905AD" w14:textId="77777777" w:rsidR="00186C2A" w:rsidRPr="001A0F98" w:rsidRDefault="00186C2A" w:rsidP="00186C2A">
            <w:pPr>
              <w:rPr>
                <w:rFonts w:ascii="Arial" w:hAnsi="Arial" w:cs="Arial"/>
                <w:sz w:val="20"/>
                <w:szCs w:val="20"/>
              </w:rPr>
            </w:pPr>
          </w:p>
          <w:p w14:paraId="1B4B9059" w14:textId="77777777" w:rsidR="00186C2A" w:rsidRPr="001A0F98" w:rsidRDefault="00186C2A" w:rsidP="00186C2A">
            <w:pPr>
              <w:rPr>
                <w:rFonts w:ascii="Arial" w:hAnsi="Arial" w:cs="Arial"/>
                <w:b/>
                <w:sz w:val="20"/>
                <w:szCs w:val="20"/>
              </w:rPr>
            </w:pPr>
            <w:r>
              <w:rPr>
                <w:rFonts w:ascii="Arial" w:hAnsi="Arial" w:cs="Arial"/>
                <w:b/>
                <w:sz w:val="20"/>
                <w:szCs w:val="20"/>
              </w:rPr>
              <w:t>Comment:</w:t>
            </w:r>
          </w:p>
          <w:p w14:paraId="3CED5949" w14:textId="72068414" w:rsidR="00186C2A" w:rsidRPr="001A0F98" w:rsidRDefault="00186C2A" w:rsidP="00186C2A">
            <w:pPr>
              <w:rPr>
                <w:rFonts w:ascii="Arial" w:hAnsi="Arial" w:cs="Arial"/>
                <w:sz w:val="20"/>
                <w:szCs w:val="20"/>
              </w:rPr>
            </w:pPr>
            <w:r>
              <w:rPr>
                <w:rFonts w:ascii="Arial" w:hAnsi="Arial" w:cs="Arial"/>
                <w:sz w:val="20"/>
                <w:szCs w:val="20"/>
              </w:rPr>
              <w:t xml:space="preserve">The objective of this policy is to get the gaining and losing registrars communicating with each other quickly in the event of an emergency.  An automated response is unsatisfactory because it may not lead to action or provide accountability. </w:t>
            </w:r>
          </w:p>
          <w:p w14:paraId="78870CC6" w14:textId="77777777" w:rsidR="00186C2A" w:rsidRPr="001A0F98" w:rsidRDefault="00186C2A" w:rsidP="00186C2A">
            <w:pPr>
              <w:rPr>
                <w:rFonts w:ascii="Arial" w:hAnsi="Arial" w:cs="Arial"/>
                <w:sz w:val="20"/>
                <w:szCs w:val="20"/>
              </w:rPr>
            </w:pPr>
          </w:p>
          <w:p w14:paraId="7001FE2A" w14:textId="77777777" w:rsidR="00186C2A" w:rsidRPr="001A0F98" w:rsidRDefault="00186C2A" w:rsidP="00186C2A">
            <w:pPr>
              <w:rPr>
                <w:rFonts w:ascii="Arial" w:hAnsi="Arial" w:cs="Arial"/>
                <w:b/>
                <w:sz w:val="20"/>
                <w:szCs w:val="20"/>
              </w:rPr>
            </w:pPr>
            <w:r w:rsidRPr="001A0F98">
              <w:rPr>
                <w:rFonts w:ascii="Arial" w:hAnsi="Arial" w:cs="Arial"/>
                <w:b/>
                <w:sz w:val="20"/>
                <w:szCs w:val="20"/>
              </w:rPr>
              <w:t>BC Position:</w:t>
            </w:r>
          </w:p>
          <w:p w14:paraId="17808360" w14:textId="214A0685" w:rsidR="00186C2A" w:rsidRPr="001A0F98" w:rsidRDefault="00186C2A" w:rsidP="00186C2A">
            <w:pPr>
              <w:rPr>
                <w:rFonts w:ascii="Arial" w:hAnsi="Arial" w:cs="Arial"/>
                <w:i/>
                <w:sz w:val="20"/>
                <w:szCs w:val="20"/>
              </w:rPr>
            </w:pPr>
            <w:r>
              <w:rPr>
                <w:rFonts w:ascii="Arial" w:hAnsi="Arial" w:cs="Arial"/>
                <w:i/>
                <w:sz w:val="20"/>
                <w:szCs w:val="20"/>
              </w:rPr>
              <w:t xml:space="preserve">The BC supports non-automated responses to emergency-action requests but would defer to registrars and registries in determining what qualifies as “a response” (email, phone call, fax, etc.).  </w:t>
            </w:r>
          </w:p>
          <w:p w14:paraId="383CC5EE" w14:textId="77777777" w:rsidR="00186C2A" w:rsidRPr="001A0F98" w:rsidRDefault="00186C2A" w:rsidP="00186C2A">
            <w:pPr>
              <w:rPr>
                <w:rFonts w:ascii="Arial" w:hAnsi="Arial" w:cs="Arial"/>
                <w:sz w:val="20"/>
                <w:szCs w:val="20"/>
              </w:rPr>
            </w:pPr>
          </w:p>
        </w:tc>
      </w:tr>
      <w:tr w:rsidR="00186C2A" w:rsidRPr="00AA632F" w14:paraId="5B1A171F" w14:textId="77777777" w:rsidTr="00734628">
        <w:trPr>
          <w:cantSplit/>
          <w:jc w:val="center"/>
        </w:trPr>
        <w:tc>
          <w:tcPr>
            <w:tcW w:w="4735" w:type="dxa"/>
            <w:vAlign w:val="center"/>
          </w:tcPr>
          <w:p w14:paraId="4BE91926" w14:textId="56428E82" w:rsidR="00186C2A" w:rsidRDefault="00186C2A" w:rsidP="00186C2A">
            <w:pPr>
              <w:suppressAutoHyphens/>
              <w:spacing w:line="360" w:lineRule="auto"/>
              <w:rPr>
                <w:rFonts w:ascii="Calibri" w:hAnsi="Calibri"/>
              </w:rPr>
            </w:pPr>
            <w:r w:rsidRPr="000621CC">
              <w:rPr>
                <w:rFonts w:ascii="Calibri" w:hAnsi="Calibri"/>
                <w:b/>
              </w:rPr>
              <w:lastRenderedPageBreak/>
              <w:t>Recommendation #1</w:t>
            </w:r>
            <w:r>
              <w:rPr>
                <w:rFonts w:ascii="Calibri" w:hAnsi="Calibri"/>
                <w:b/>
              </w:rPr>
              <w:t xml:space="preserve"> question </w:t>
            </w:r>
            <w:r w:rsidR="00CC1D7B">
              <w:rPr>
                <w:rFonts w:ascii="Calibri" w:hAnsi="Calibri"/>
                <w:b/>
              </w:rPr>
              <w:t>3</w:t>
            </w:r>
            <w:r>
              <w:rPr>
                <w:rFonts w:ascii="Calibri" w:hAnsi="Calibri"/>
              </w:rPr>
              <w:t xml:space="preserve"> Should there be any consequences when a response is not received within the required timeframe? </w:t>
            </w:r>
          </w:p>
          <w:p w14:paraId="741420A8" w14:textId="77777777" w:rsidR="00186C2A" w:rsidRPr="000621CC" w:rsidRDefault="00186C2A" w:rsidP="00186C2A">
            <w:pPr>
              <w:suppressAutoHyphens/>
              <w:spacing w:line="360" w:lineRule="auto"/>
              <w:rPr>
                <w:b/>
              </w:rPr>
            </w:pPr>
          </w:p>
        </w:tc>
        <w:tc>
          <w:tcPr>
            <w:tcW w:w="1398" w:type="dxa"/>
            <w:vAlign w:val="center"/>
          </w:tcPr>
          <w:p w14:paraId="4335B302" w14:textId="003FEAD8" w:rsidR="00186C2A" w:rsidRPr="001A0F98" w:rsidRDefault="00BA3D4A" w:rsidP="00622713">
            <w:pPr>
              <w:jc w:val="center"/>
              <w:rPr>
                <w:sz w:val="20"/>
                <w:szCs w:val="20"/>
              </w:rPr>
            </w:pPr>
            <w:r>
              <w:rPr>
                <w:rFonts w:ascii="Calibri" w:eastAsia="Calibri" w:hAnsi="Calibri"/>
                <w:sz w:val="20"/>
                <w:szCs w:val="20"/>
              </w:rPr>
              <w:pict w14:anchorId="782360A7">
                <v:shape id="_x0000_i1031" type="#_x0000_t75" style="width:15.35pt;height:14.65pt">
                  <v:imagedata r:id="rId22" o:title=""/>
                </v:shape>
              </w:pict>
            </w:r>
          </w:p>
        </w:tc>
        <w:tc>
          <w:tcPr>
            <w:tcW w:w="4897" w:type="dxa"/>
          </w:tcPr>
          <w:p w14:paraId="2F2123D5" w14:textId="77777777" w:rsidR="00186C2A" w:rsidRPr="001A0F98" w:rsidRDefault="00186C2A" w:rsidP="00186C2A">
            <w:pPr>
              <w:rPr>
                <w:rFonts w:ascii="Arial" w:hAnsi="Arial" w:cs="Arial"/>
                <w:sz w:val="20"/>
                <w:szCs w:val="20"/>
              </w:rPr>
            </w:pPr>
          </w:p>
          <w:p w14:paraId="2568612C" w14:textId="77777777" w:rsidR="00186C2A" w:rsidRPr="001A0F98" w:rsidRDefault="00186C2A" w:rsidP="00186C2A">
            <w:pPr>
              <w:rPr>
                <w:rFonts w:ascii="Arial" w:hAnsi="Arial" w:cs="Arial"/>
                <w:b/>
                <w:sz w:val="20"/>
                <w:szCs w:val="20"/>
              </w:rPr>
            </w:pPr>
            <w:r>
              <w:rPr>
                <w:rFonts w:ascii="Arial" w:hAnsi="Arial" w:cs="Arial"/>
                <w:b/>
                <w:sz w:val="20"/>
                <w:szCs w:val="20"/>
              </w:rPr>
              <w:t>Comment:</w:t>
            </w:r>
          </w:p>
          <w:p w14:paraId="30649F17" w14:textId="06B7428F" w:rsidR="00186C2A" w:rsidRPr="001A0F98" w:rsidRDefault="00CC1D7B" w:rsidP="00186C2A">
            <w:pPr>
              <w:rPr>
                <w:rFonts w:ascii="Arial" w:hAnsi="Arial" w:cs="Arial"/>
                <w:sz w:val="20"/>
                <w:szCs w:val="20"/>
              </w:rPr>
            </w:pPr>
            <w:r>
              <w:rPr>
                <w:rFonts w:ascii="Arial" w:hAnsi="Arial" w:cs="Arial"/>
                <w:sz w:val="20"/>
                <w:szCs w:val="20"/>
              </w:rPr>
              <w:t>The emergency-action channel is emerging as a tool that may be useful to address a range of issues including, but not limited to, domain hijacking.  These comments will only address the hijacking case – and in that case the goal is to quickly restore the domain to its prior state in order to halt the harm quickly, but allow time for dispute resolution to proceed in an orderly manner.</w:t>
            </w:r>
          </w:p>
          <w:p w14:paraId="1F38017C" w14:textId="77777777" w:rsidR="00186C2A" w:rsidRPr="001A0F98" w:rsidRDefault="00186C2A" w:rsidP="00186C2A">
            <w:pPr>
              <w:rPr>
                <w:rFonts w:ascii="Arial" w:hAnsi="Arial" w:cs="Arial"/>
                <w:sz w:val="20"/>
                <w:szCs w:val="20"/>
              </w:rPr>
            </w:pPr>
          </w:p>
          <w:p w14:paraId="7E2135CE" w14:textId="35371DC5" w:rsidR="00186C2A" w:rsidRPr="00CC1D7B" w:rsidRDefault="00186C2A" w:rsidP="00CC1D7B">
            <w:pPr>
              <w:rPr>
                <w:rFonts w:ascii="Arial" w:hAnsi="Arial" w:cs="Arial"/>
                <w:b/>
                <w:sz w:val="20"/>
                <w:szCs w:val="20"/>
              </w:rPr>
            </w:pPr>
            <w:r w:rsidRPr="001A0F98">
              <w:rPr>
                <w:rFonts w:ascii="Arial" w:hAnsi="Arial" w:cs="Arial"/>
                <w:b/>
                <w:sz w:val="20"/>
                <w:szCs w:val="20"/>
              </w:rPr>
              <w:t>BC Position:</w:t>
            </w:r>
            <w:r w:rsidR="00CC1D7B">
              <w:rPr>
                <w:rFonts w:ascii="Arial" w:hAnsi="Arial" w:cs="Arial"/>
                <w:b/>
                <w:sz w:val="20"/>
                <w:szCs w:val="20"/>
              </w:rPr>
              <w:br/>
            </w:r>
            <w:r>
              <w:rPr>
                <w:rFonts w:ascii="Arial" w:hAnsi="Arial" w:cs="Arial"/>
                <w:i/>
                <w:sz w:val="20"/>
                <w:szCs w:val="20"/>
              </w:rPr>
              <w:t xml:space="preserve">The BC </w:t>
            </w:r>
            <w:r w:rsidR="00CC1D7B">
              <w:rPr>
                <w:rFonts w:ascii="Arial" w:hAnsi="Arial" w:cs="Arial"/>
                <w:i/>
                <w:sz w:val="20"/>
                <w:szCs w:val="20"/>
              </w:rPr>
              <w:t xml:space="preserve">supports a modification of the IRTP to mandate a transfer-undo in cases where the gaining registrar does not respond in a timely way to an emergency-action request regarding a suspected domain hijacking. </w:t>
            </w:r>
          </w:p>
        </w:tc>
      </w:tr>
      <w:tr w:rsidR="008458FB" w:rsidRPr="00AA632F" w14:paraId="2CDA3304" w14:textId="77777777" w:rsidTr="00734628">
        <w:trPr>
          <w:cantSplit/>
          <w:jc w:val="center"/>
        </w:trPr>
        <w:tc>
          <w:tcPr>
            <w:tcW w:w="4735" w:type="dxa"/>
            <w:vAlign w:val="center"/>
          </w:tcPr>
          <w:p w14:paraId="207893CD" w14:textId="1A6DF794" w:rsidR="008458FB" w:rsidRDefault="008458FB" w:rsidP="008458FB">
            <w:pPr>
              <w:suppressAutoHyphens/>
              <w:spacing w:line="360" w:lineRule="auto"/>
              <w:rPr>
                <w:rFonts w:ascii="Calibri" w:hAnsi="Calibri"/>
              </w:rPr>
            </w:pPr>
            <w:r w:rsidRPr="000621CC">
              <w:rPr>
                <w:rFonts w:ascii="Calibri" w:hAnsi="Calibri"/>
                <w:b/>
              </w:rPr>
              <w:t>Recommendation #1</w:t>
            </w:r>
            <w:r>
              <w:rPr>
                <w:rFonts w:ascii="Calibri" w:hAnsi="Calibri"/>
                <w:b/>
              </w:rPr>
              <w:t xml:space="preserve"> question </w:t>
            </w:r>
            <w:r w:rsidR="008C3F29">
              <w:rPr>
                <w:rFonts w:ascii="Calibri" w:hAnsi="Calibri"/>
                <w:b/>
              </w:rPr>
              <w:t>4</w:t>
            </w:r>
            <w:r>
              <w:rPr>
                <w:rFonts w:ascii="Calibri" w:hAnsi="Calibri"/>
              </w:rPr>
              <w:t xml:space="preserve"> Is there a limited time following a transfer during </w:t>
            </w:r>
            <w:proofErr w:type="gramStart"/>
            <w:r>
              <w:rPr>
                <w:rFonts w:ascii="Calibri" w:hAnsi="Calibri"/>
              </w:rPr>
              <w:t>which</w:t>
            </w:r>
            <w:proofErr w:type="gramEnd"/>
            <w:r>
              <w:rPr>
                <w:rFonts w:ascii="Calibri" w:hAnsi="Calibri"/>
              </w:rPr>
              <w:t xml:space="preserve"> the Emergency Action Channel can be used?</w:t>
            </w:r>
          </w:p>
          <w:p w14:paraId="3EDD2C60" w14:textId="77777777" w:rsidR="008458FB" w:rsidRPr="000621CC" w:rsidRDefault="008458FB" w:rsidP="008458FB">
            <w:pPr>
              <w:suppressAutoHyphens/>
              <w:spacing w:line="360" w:lineRule="auto"/>
              <w:rPr>
                <w:b/>
              </w:rPr>
            </w:pPr>
          </w:p>
        </w:tc>
        <w:tc>
          <w:tcPr>
            <w:tcW w:w="1398" w:type="dxa"/>
            <w:vAlign w:val="center"/>
          </w:tcPr>
          <w:p w14:paraId="45FC42AE" w14:textId="1251E7A5" w:rsidR="008458FB" w:rsidRPr="001A0F98" w:rsidRDefault="00BA3D4A" w:rsidP="00622713">
            <w:pPr>
              <w:jc w:val="center"/>
              <w:rPr>
                <w:sz w:val="20"/>
                <w:szCs w:val="20"/>
              </w:rPr>
            </w:pPr>
            <w:r>
              <w:rPr>
                <w:rFonts w:ascii="Calibri" w:eastAsia="Calibri" w:hAnsi="Calibri"/>
                <w:sz w:val="20"/>
                <w:szCs w:val="20"/>
              </w:rPr>
              <w:pict w14:anchorId="478D49B8">
                <v:shape id="_x0000_i1032" type="#_x0000_t75" style="width:15.35pt;height:14.65pt">
                  <v:imagedata r:id="rId23" o:title=""/>
                </v:shape>
              </w:pict>
            </w:r>
          </w:p>
        </w:tc>
        <w:tc>
          <w:tcPr>
            <w:tcW w:w="4897" w:type="dxa"/>
          </w:tcPr>
          <w:p w14:paraId="6B306993" w14:textId="77777777" w:rsidR="008458FB" w:rsidRPr="001A0F98" w:rsidRDefault="008458FB" w:rsidP="008458FB">
            <w:pPr>
              <w:rPr>
                <w:rFonts w:ascii="Arial" w:hAnsi="Arial" w:cs="Arial"/>
                <w:sz w:val="20"/>
                <w:szCs w:val="20"/>
              </w:rPr>
            </w:pPr>
          </w:p>
          <w:p w14:paraId="3B4F14EE" w14:textId="77777777" w:rsidR="008458FB" w:rsidRPr="001A0F98" w:rsidRDefault="008458FB" w:rsidP="008458FB">
            <w:pPr>
              <w:rPr>
                <w:rFonts w:ascii="Arial" w:hAnsi="Arial" w:cs="Arial"/>
                <w:b/>
                <w:sz w:val="20"/>
                <w:szCs w:val="20"/>
              </w:rPr>
            </w:pPr>
            <w:r>
              <w:rPr>
                <w:rFonts w:ascii="Arial" w:hAnsi="Arial" w:cs="Arial"/>
                <w:b/>
                <w:sz w:val="20"/>
                <w:szCs w:val="20"/>
              </w:rPr>
              <w:t>Comment:</w:t>
            </w:r>
          </w:p>
          <w:p w14:paraId="63E2B0EC" w14:textId="6E1F891C" w:rsidR="008458FB" w:rsidRPr="001A0F98" w:rsidRDefault="008C3F29" w:rsidP="008458FB">
            <w:pPr>
              <w:rPr>
                <w:rFonts w:ascii="Arial" w:hAnsi="Arial" w:cs="Arial"/>
                <w:sz w:val="20"/>
                <w:szCs w:val="20"/>
              </w:rPr>
            </w:pPr>
            <w:r>
              <w:rPr>
                <w:rFonts w:ascii="Arial" w:hAnsi="Arial" w:cs="Arial"/>
                <w:sz w:val="20"/>
                <w:szCs w:val="20"/>
              </w:rPr>
              <w:t xml:space="preserve">The problem here is to find a balance so that the time allowed is not so short that the registrant doesn’t have time to notice that their name has been stolen (more </w:t>
            </w:r>
            <w:r w:rsidR="003D6CEC">
              <w:rPr>
                <w:rFonts w:ascii="Arial" w:hAnsi="Arial" w:cs="Arial"/>
                <w:sz w:val="20"/>
                <w:szCs w:val="20"/>
              </w:rPr>
              <w:t>likely</w:t>
            </w:r>
            <w:r>
              <w:rPr>
                <w:rFonts w:ascii="Arial" w:hAnsi="Arial" w:cs="Arial"/>
                <w:sz w:val="20"/>
                <w:szCs w:val="20"/>
              </w:rPr>
              <w:t xml:space="preserve"> the case for large-portfolio managers) but not so long as to open up the possibility of gaming by domain-sellers wishing to use this as a mechanism to claw back a name when they suffer from seller’s remorse.</w:t>
            </w:r>
          </w:p>
          <w:p w14:paraId="0AAA2BFF" w14:textId="77777777" w:rsidR="008458FB" w:rsidRPr="001A0F98" w:rsidRDefault="008458FB" w:rsidP="008458FB">
            <w:pPr>
              <w:rPr>
                <w:rFonts w:ascii="Arial" w:hAnsi="Arial" w:cs="Arial"/>
                <w:sz w:val="20"/>
                <w:szCs w:val="20"/>
              </w:rPr>
            </w:pPr>
          </w:p>
          <w:p w14:paraId="7996E4F3" w14:textId="1827945E" w:rsidR="008458FB" w:rsidRPr="001A0F98" w:rsidRDefault="008458FB" w:rsidP="003D6CEC">
            <w:pPr>
              <w:rPr>
                <w:rFonts w:ascii="Arial" w:hAnsi="Arial" w:cs="Arial"/>
                <w:sz w:val="20"/>
                <w:szCs w:val="20"/>
              </w:rPr>
            </w:pPr>
            <w:r w:rsidRPr="001A0F98">
              <w:rPr>
                <w:rFonts w:ascii="Arial" w:hAnsi="Arial" w:cs="Arial"/>
                <w:b/>
                <w:sz w:val="20"/>
                <w:szCs w:val="20"/>
              </w:rPr>
              <w:t>BC Position:</w:t>
            </w:r>
            <w:r>
              <w:rPr>
                <w:rFonts w:ascii="Arial" w:hAnsi="Arial" w:cs="Arial"/>
                <w:b/>
                <w:sz w:val="20"/>
                <w:szCs w:val="20"/>
              </w:rPr>
              <w:br/>
            </w:r>
            <w:r w:rsidR="003D6CEC">
              <w:rPr>
                <w:rFonts w:ascii="Arial" w:hAnsi="Arial" w:cs="Arial"/>
                <w:i/>
                <w:sz w:val="20"/>
                <w:szCs w:val="20"/>
              </w:rPr>
              <w:t>The BC supports fairly long “eligibility” windows (perhaps in the range of 60 to 180 days). The risk of the claw-back case is mitigated by the ease with which the gaining registrar can short-circuit the claw-back attempt – by merely responding to the emergency-action request.</w:t>
            </w:r>
          </w:p>
        </w:tc>
      </w:tr>
      <w:tr w:rsidR="003D6CEC" w:rsidRPr="00AA632F" w14:paraId="32FCB711" w14:textId="77777777" w:rsidTr="00734628">
        <w:trPr>
          <w:cantSplit/>
          <w:jc w:val="center"/>
        </w:trPr>
        <w:tc>
          <w:tcPr>
            <w:tcW w:w="4735" w:type="dxa"/>
            <w:vAlign w:val="center"/>
          </w:tcPr>
          <w:p w14:paraId="78F5D028" w14:textId="6CE85299" w:rsidR="003D6CEC" w:rsidRDefault="003D6CEC" w:rsidP="003D6CEC">
            <w:pPr>
              <w:suppressAutoHyphens/>
              <w:spacing w:line="360" w:lineRule="auto"/>
              <w:rPr>
                <w:rFonts w:ascii="Calibri" w:hAnsi="Calibri"/>
              </w:rPr>
            </w:pPr>
            <w:r w:rsidRPr="000621CC">
              <w:rPr>
                <w:rFonts w:ascii="Calibri" w:hAnsi="Calibri"/>
                <w:b/>
              </w:rPr>
              <w:t>Recommendation #1</w:t>
            </w:r>
            <w:r>
              <w:rPr>
                <w:rFonts w:ascii="Calibri" w:hAnsi="Calibri"/>
                <w:b/>
              </w:rPr>
              <w:t xml:space="preserve"> question 5</w:t>
            </w:r>
            <w:r>
              <w:rPr>
                <w:rFonts w:ascii="Calibri" w:hAnsi="Calibri"/>
              </w:rPr>
              <w:t xml:space="preserve"> Which issues may be raised through the Emergency Action Channel?</w:t>
            </w:r>
          </w:p>
          <w:p w14:paraId="49E3FA4B" w14:textId="77777777" w:rsidR="003D6CEC" w:rsidRPr="000621CC" w:rsidRDefault="003D6CEC" w:rsidP="00186C2A">
            <w:pPr>
              <w:suppressAutoHyphens/>
              <w:spacing w:line="360" w:lineRule="auto"/>
              <w:rPr>
                <w:b/>
              </w:rPr>
            </w:pPr>
          </w:p>
        </w:tc>
        <w:tc>
          <w:tcPr>
            <w:tcW w:w="1398" w:type="dxa"/>
            <w:vAlign w:val="center"/>
          </w:tcPr>
          <w:p w14:paraId="4A05E0EB" w14:textId="02DD3CC5" w:rsidR="003D6CEC" w:rsidRPr="001A0F98" w:rsidRDefault="00BA3D4A" w:rsidP="00622713">
            <w:pPr>
              <w:jc w:val="center"/>
              <w:rPr>
                <w:sz w:val="20"/>
                <w:szCs w:val="20"/>
              </w:rPr>
            </w:pPr>
            <w:r>
              <w:rPr>
                <w:rFonts w:ascii="Calibri" w:eastAsia="Calibri" w:hAnsi="Calibri"/>
                <w:sz w:val="20"/>
                <w:szCs w:val="20"/>
              </w:rPr>
              <w:pict w14:anchorId="2243172F">
                <v:shape id="_x0000_i1033" type="#_x0000_t75" style="width:15.35pt;height:14.65pt">
                  <v:imagedata r:id="rId24" o:title=""/>
                </v:shape>
              </w:pict>
            </w:r>
          </w:p>
        </w:tc>
        <w:tc>
          <w:tcPr>
            <w:tcW w:w="4897" w:type="dxa"/>
          </w:tcPr>
          <w:p w14:paraId="7C710B1C" w14:textId="77777777" w:rsidR="003D6CEC" w:rsidRPr="001A0F98" w:rsidRDefault="003D6CEC" w:rsidP="003D6CEC">
            <w:pPr>
              <w:rPr>
                <w:rFonts w:ascii="Arial" w:hAnsi="Arial" w:cs="Arial"/>
                <w:sz w:val="20"/>
                <w:szCs w:val="20"/>
              </w:rPr>
            </w:pPr>
          </w:p>
          <w:p w14:paraId="17C41E33" w14:textId="77777777" w:rsidR="003D6CEC" w:rsidRPr="001A0F98" w:rsidRDefault="003D6CEC" w:rsidP="003D6CEC">
            <w:pPr>
              <w:rPr>
                <w:rFonts w:ascii="Arial" w:hAnsi="Arial" w:cs="Arial"/>
                <w:b/>
                <w:sz w:val="20"/>
                <w:szCs w:val="20"/>
              </w:rPr>
            </w:pPr>
            <w:r>
              <w:rPr>
                <w:rFonts w:ascii="Arial" w:hAnsi="Arial" w:cs="Arial"/>
                <w:b/>
                <w:sz w:val="20"/>
                <w:szCs w:val="20"/>
              </w:rPr>
              <w:t>Comment:</w:t>
            </w:r>
          </w:p>
          <w:p w14:paraId="59C739A8" w14:textId="5309763F" w:rsidR="003D6CEC" w:rsidRPr="001A0F98" w:rsidRDefault="00730BAD" w:rsidP="003D6CEC">
            <w:pPr>
              <w:rPr>
                <w:rFonts w:ascii="Arial" w:hAnsi="Arial" w:cs="Arial"/>
                <w:sz w:val="20"/>
                <w:szCs w:val="20"/>
              </w:rPr>
            </w:pPr>
            <w:r>
              <w:rPr>
                <w:rFonts w:ascii="Arial" w:hAnsi="Arial" w:cs="Arial"/>
                <w:sz w:val="20"/>
                <w:szCs w:val="20"/>
              </w:rPr>
              <w:t xml:space="preserve">When the SSAC originally proposed the Emergency Action Channel, their focus was on hijacking.  In the intervening 6 years other issues (primarily in the areas of law enforcement) have emerged that might be addressed by this mechanism, once it is in place.  </w:t>
            </w:r>
          </w:p>
          <w:p w14:paraId="4AFBC589" w14:textId="77777777" w:rsidR="003D6CEC" w:rsidRPr="001A0F98" w:rsidRDefault="003D6CEC" w:rsidP="003D6CEC">
            <w:pPr>
              <w:rPr>
                <w:rFonts w:ascii="Arial" w:hAnsi="Arial" w:cs="Arial"/>
                <w:sz w:val="20"/>
                <w:szCs w:val="20"/>
              </w:rPr>
            </w:pPr>
          </w:p>
          <w:p w14:paraId="5E9270C2" w14:textId="745E4058" w:rsidR="003D6CEC" w:rsidRPr="001A0F98" w:rsidRDefault="003D6CEC" w:rsidP="00730BAD">
            <w:pPr>
              <w:rPr>
                <w:rFonts w:ascii="Arial" w:hAnsi="Arial" w:cs="Arial"/>
                <w:sz w:val="20"/>
                <w:szCs w:val="20"/>
              </w:rPr>
            </w:pPr>
            <w:r w:rsidRPr="001A0F98">
              <w:rPr>
                <w:rFonts w:ascii="Arial" w:hAnsi="Arial" w:cs="Arial"/>
                <w:b/>
                <w:sz w:val="20"/>
                <w:szCs w:val="20"/>
              </w:rPr>
              <w:t>BC Position:</w:t>
            </w:r>
            <w:r>
              <w:rPr>
                <w:rFonts w:ascii="Arial" w:hAnsi="Arial" w:cs="Arial"/>
                <w:b/>
                <w:sz w:val="20"/>
                <w:szCs w:val="20"/>
              </w:rPr>
              <w:br/>
            </w:r>
            <w:r w:rsidR="00730BAD">
              <w:rPr>
                <w:rFonts w:ascii="Arial" w:hAnsi="Arial" w:cs="Arial"/>
                <w:i/>
                <w:sz w:val="20"/>
                <w:szCs w:val="20"/>
              </w:rPr>
              <w:t>While the Emergency Action Channel could be a very useful tool in a variety of circumstances, i</w:t>
            </w:r>
            <w:r w:rsidR="00730BAD" w:rsidRPr="00730BAD">
              <w:rPr>
                <w:rFonts w:ascii="Arial" w:hAnsi="Arial" w:cs="Arial"/>
                <w:i/>
                <w:sz w:val="20"/>
                <w:szCs w:val="20"/>
              </w:rPr>
              <w:t>t is probably best to address non-IRTP use cases</w:t>
            </w:r>
            <w:r w:rsidR="00730BAD">
              <w:rPr>
                <w:rFonts w:ascii="Arial" w:hAnsi="Arial" w:cs="Arial"/>
                <w:i/>
                <w:sz w:val="20"/>
                <w:szCs w:val="20"/>
              </w:rPr>
              <w:t>, consequences and timing</w:t>
            </w:r>
            <w:r w:rsidR="00730BAD" w:rsidRPr="00730BAD">
              <w:rPr>
                <w:rFonts w:ascii="Arial" w:hAnsi="Arial" w:cs="Arial"/>
                <w:i/>
                <w:sz w:val="20"/>
                <w:szCs w:val="20"/>
              </w:rPr>
              <w:t xml:space="preserve"> outside of this PDP.</w:t>
            </w:r>
            <w:r w:rsidR="00730BAD">
              <w:rPr>
                <w:rFonts w:ascii="Arial" w:hAnsi="Arial" w:cs="Arial"/>
                <w:i/>
                <w:sz w:val="20"/>
                <w:szCs w:val="20"/>
              </w:rPr>
              <w:t xml:space="preserve">  </w:t>
            </w:r>
            <w:r w:rsidR="00730BAD">
              <w:rPr>
                <w:rFonts w:ascii="Arial" w:hAnsi="Arial" w:cs="Arial"/>
                <w:sz w:val="20"/>
                <w:szCs w:val="20"/>
              </w:rPr>
              <w:t xml:space="preserve">  </w:t>
            </w:r>
            <w:r w:rsidR="00730BAD" w:rsidRPr="00730BAD">
              <w:rPr>
                <w:rFonts w:ascii="Arial" w:hAnsi="Arial" w:cs="Arial"/>
                <w:sz w:val="20"/>
                <w:szCs w:val="20"/>
              </w:rPr>
              <w:t xml:space="preserve"> </w:t>
            </w:r>
          </w:p>
        </w:tc>
      </w:tr>
      <w:tr w:rsidR="007247C0" w:rsidRPr="00AA632F" w14:paraId="02B24D12" w14:textId="77777777" w:rsidTr="00734628">
        <w:trPr>
          <w:cantSplit/>
          <w:jc w:val="center"/>
        </w:trPr>
        <w:tc>
          <w:tcPr>
            <w:tcW w:w="4735" w:type="dxa"/>
            <w:vAlign w:val="center"/>
          </w:tcPr>
          <w:p w14:paraId="3B5529C0" w14:textId="5009696C" w:rsidR="007247C0" w:rsidRDefault="007247C0" w:rsidP="007247C0">
            <w:pPr>
              <w:suppressAutoHyphens/>
              <w:spacing w:line="360" w:lineRule="auto"/>
              <w:rPr>
                <w:rFonts w:ascii="Calibri" w:hAnsi="Calibri"/>
              </w:rPr>
            </w:pPr>
            <w:r w:rsidRPr="000621CC">
              <w:rPr>
                <w:rFonts w:ascii="Calibri" w:hAnsi="Calibri"/>
                <w:b/>
              </w:rPr>
              <w:lastRenderedPageBreak/>
              <w:t>Recommendation #1</w:t>
            </w:r>
            <w:r>
              <w:rPr>
                <w:rFonts w:ascii="Calibri" w:hAnsi="Calibri"/>
                <w:b/>
              </w:rPr>
              <w:t xml:space="preserve"> question 6</w:t>
            </w:r>
            <w:r>
              <w:rPr>
                <w:rFonts w:ascii="Calibri" w:hAnsi="Calibri"/>
              </w:rPr>
              <w:t xml:space="preserve"> How/who should document the exchanges of information on the Emergency Action Channel?</w:t>
            </w:r>
          </w:p>
          <w:p w14:paraId="6EFD8A49" w14:textId="77777777" w:rsidR="007247C0" w:rsidRPr="000621CC" w:rsidRDefault="007247C0" w:rsidP="00186C2A">
            <w:pPr>
              <w:suppressAutoHyphens/>
              <w:spacing w:line="360" w:lineRule="auto"/>
              <w:rPr>
                <w:b/>
              </w:rPr>
            </w:pPr>
          </w:p>
        </w:tc>
        <w:tc>
          <w:tcPr>
            <w:tcW w:w="1398" w:type="dxa"/>
            <w:vAlign w:val="center"/>
          </w:tcPr>
          <w:p w14:paraId="0FAEF8BA" w14:textId="38F40FC0" w:rsidR="007247C0" w:rsidRPr="001A0F98" w:rsidRDefault="00BA3D4A" w:rsidP="00622713">
            <w:pPr>
              <w:jc w:val="center"/>
              <w:rPr>
                <w:sz w:val="20"/>
                <w:szCs w:val="20"/>
              </w:rPr>
            </w:pPr>
            <w:r>
              <w:rPr>
                <w:rFonts w:ascii="Calibri" w:eastAsia="Calibri" w:hAnsi="Calibri"/>
                <w:sz w:val="20"/>
                <w:szCs w:val="20"/>
              </w:rPr>
              <w:pict w14:anchorId="2D1926D9">
                <v:shape id="_x0000_i1034" type="#_x0000_t75" style="width:15.35pt;height:14.65pt">
                  <v:imagedata r:id="rId25" o:title=""/>
                </v:shape>
              </w:pict>
            </w:r>
          </w:p>
        </w:tc>
        <w:tc>
          <w:tcPr>
            <w:tcW w:w="4897" w:type="dxa"/>
          </w:tcPr>
          <w:p w14:paraId="060D0614" w14:textId="77777777" w:rsidR="007247C0" w:rsidRPr="001A0F98" w:rsidRDefault="007247C0" w:rsidP="00691F7E">
            <w:pPr>
              <w:rPr>
                <w:rFonts w:ascii="Arial" w:hAnsi="Arial" w:cs="Arial"/>
                <w:sz w:val="20"/>
                <w:szCs w:val="20"/>
              </w:rPr>
            </w:pPr>
          </w:p>
          <w:p w14:paraId="3CAEF220" w14:textId="77777777" w:rsidR="007247C0" w:rsidRPr="001A0F98" w:rsidRDefault="007247C0" w:rsidP="00691F7E">
            <w:pPr>
              <w:rPr>
                <w:rFonts w:ascii="Arial" w:hAnsi="Arial" w:cs="Arial"/>
                <w:b/>
                <w:sz w:val="20"/>
                <w:szCs w:val="20"/>
              </w:rPr>
            </w:pPr>
            <w:r>
              <w:rPr>
                <w:rFonts w:ascii="Arial" w:hAnsi="Arial" w:cs="Arial"/>
                <w:b/>
                <w:sz w:val="20"/>
                <w:szCs w:val="20"/>
              </w:rPr>
              <w:t>Comment:</w:t>
            </w:r>
          </w:p>
          <w:p w14:paraId="1E8B8CB2" w14:textId="4A2AF6F4" w:rsidR="007247C0" w:rsidRPr="001A0F98" w:rsidRDefault="007247C0" w:rsidP="00691F7E">
            <w:pPr>
              <w:rPr>
                <w:rFonts w:ascii="Arial" w:hAnsi="Arial" w:cs="Arial"/>
                <w:sz w:val="20"/>
                <w:szCs w:val="20"/>
              </w:rPr>
            </w:pPr>
            <w:r>
              <w:rPr>
                <w:rFonts w:ascii="Arial" w:hAnsi="Arial" w:cs="Arial"/>
                <w:sz w:val="20"/>
                <w:szCs w:val="20"/>
              </w:rPr>
              <w:t xml:space="preserve">There are two kinds of exchanges that should be looked at – those that succeed and those that fail.  The hope would be that the vast majority of exchanges would be successful and the documentation needs in that case are largely operational.  In the case of exchanges that fail, the documentation requirements are more rigorous because that documentation will be used to trigger the transfer-undo. </w:t>
            </w:r>
          </w:p>
          <w:p w14:paraId="6AA13EAF" w14:textId="77777777" w:rsidR="007247C0" w:rsidRPr="001A0F98" w:rsidRDefault="007247C0" w:rsidP="00691F7E">
            <w:pPr>
              <w:rPr>
                <w:rFonts w:ascii="Arial" w:hAnsi="Arial" w:cs="Arial"/>
                <w:sz w:val="20"/>
                <w:szCs w:val="20"/>
              </w:rPr>
            </w:pPr>
          </w:p>
          <w:p w14:paraId="4688A1C1" w14:textId="370E018A" w:rsidR="007247C0" w:rsidRPr="001A0F98" w:rsidRDefault="007247C0" w:rsidP="007247C0">
            <w:pPr>
              <w:rPr>
                <w:rFonts w:ascii="Arial" w:hAnsi="Arial" w:cs="Arial"/>
                <w:sz w:val="20"/>
                <w:szCs w:val="20"/>
              </w:rPr>
            </w:pPr>
            <w:r w:rsidRPr="001A0F98">
              <w:rPr>
                <w:rFonts w:ascii="Arial" w:hAnsi="Arial" w:cs="Arial"/>
                <w:b/>
                <w:sz w:val="20"/>
                <w:szCs w:val="20"/>
              </w:rPr>
              <w:t>BC Position:</w:t>
            </w:r>
            <w:r>
              <w:rPr>
                <w:rFonts w:ascii="Arial" w:hAnsi="Arial" w:cs="Arial"/>
                <w:b/>
                <w:sz w:val="20"/>
                <w:szCs w:val="20"/>
              </w:rPr>
              <w:br/>
            </w:r>
            <w:r>
              <w:rPr>
                <w:rFonts w:ascii="Arial" w:hAnsi="Arial" w:cs="Arial"/>
                <w:i/>
                <w:sz w:val="20"/>
                <w:szCs w:val="20"/>
              </w:rPr>
              <w:t xml:space="preserve">The BC defers to registries and registrars when it comes to documenting successful exchanges.  </w:t>
            </w:r>
            <w:r w:rsidR="00C47D22">
              <w:rPr>
                <w:rFonts w:ascii="Arial" w:hAnsi="Arial" w:cs="Arial"/>
                <w:i/>
                <w:sz w:val="20"/>
                <w:szCs w:val="20"/>
              </w:rPr>
              <w:t>In the case of unsuccessful exchanges, the losing registrar is the only entity that can document the exchange – and that documentation is what is used to trigger the transfer undo.  Here again the BC defers to registries and registrars as to how those unsuccessful exchanges are documented and communicated to the registrar.</w:t>
            </w:r>
            <w:r>
              <w:rPr>
                <w:rFonts w:ascii="Arial" w:hAnsi="Arial" w:cs="Arial"/>
                <w:i/>
                <w:sz w:val="20"/>
                <w:szCs w:val="20"/>
              </w:rPr>
              <w:t xml:space="preserve">  </w:t>
            </w:r>
            <w:r>
              <w:rPr>
                <w:rFonts w:ascii="Arial" w:hAnsi="Arial" w:cs="Arial"/>
                <w:sz w:val="20"/>
                <w:szCs w:val="20"/>
              </w:rPr>
              <w:t xml:space="preserve">  </w:t>
            </w:r>
            <w:r w:rsidRPr="00730BAD">
              <w:rPr>
                <w:rFonts w:ascii="Arial" w:hAnsi="Arial" w:cs="Arial"/>
                <w:sz w:val="20"/>
                <w:szCs w:val="20"/>
              </w:rPr>
              <w:t xml:space="preserve"> </w:t>
            </w:r>
          </w:p>
        </w:tc>
      </w:tr>
      <w:tr w:rsidR="00C47D22" w:rsidRPr="00AA632F" w14:paraId="4790D326" w14:textId="77777777" w:rsidTr="00734628">
        <w:trPr>
          <w:cantSplit/>
          <w:jc w:val="center"/>
        </w:trPr>
        <w:tc>
          <w:tcPr>
            <w:tcW w:w="4735" w:type="dxa"/>
            <w:vAlign w:val="center"/>
          </w:tcPr>
          <w:p w14:paraId="3DECDE1F" w14:textId="553D2BC9" w:rsidR="00C47D22" w:rsidRDefault="00C47D22" w:rsidP="00C47D22">
            <w:pPr>
              <w:suppressAutoHyphens/>
              <w:spacing w:line="360" w:lineRule="auto"/>
              <w:rPr>
                <w:rFonts w:ascii="Calibri" w:hAnsi="Calibri"/>
              </w:rPr>
            </w:pPr>
            <w:r w:rsidRPr="000621CC">
              <w:rPr>
                <w:rFonts w:ascii="Calibri" w:hAnsi="Calibri"/>
                <w:b/>
              </w:rPr>
              <w:t>Recommendation #1</w:t>
            </w:r>
            <w:r>
              <w:rPr>
                <w:rFonts w:ascii="Calibri" w:hAnsi="Calibri"/>
                <w:b/>
              </w:rPr>
              <w:t xml:space="preserve"> question 7 </w:t>
            </w:r>
            <w:r>
              <w:rPr>
                <w:rFonts w:ascii="Calibri" w:hAnsi="Calibri"/>
              </w:rPr>
              <w:t>Who is entitled to make use of the Emergency Action Channel?</w:t>
            </w:r>
          </w:p>
          <w:p w14:paraId="0D436ADB" w14:textId="77777777" w:rsidR="00C47D22" w:rsidRPr="000621CC" w:rsidRDefault="00C47D22" w:rsidP="00186C2A">
            <w:pPr>
              <w:suppressAutoHyphens/>
              <w:spacing w:line="360" w:lineRule="auto"/>
              <w:rPr>
                <w:b/>
              </w:rPr>
            </w:pPr>
          </w:p>
        </w:tc>
        <w:tc>
          <w:tcPr>
            <w:tcW w:w="1398" w:type="dxa"/>
            <w:vAlign w:val="center"/>
          </w:tcPr>
          <w:p w14:paraId="6E6719B1" w14:textId="0AA9B859" w:rsidR="00C47D22" w:rsidRPr="001A0F98" w:rsidRDefault="00BA3D4A" w:rsidP="00622713">
            <w:pPr>
              <w:jc w:val="center"/>
              <w:rPr>
                <w:sz w:val="20"/>
                <w:szCs w:val="20"/>
              </w:rPr>
            </w:pPr>
            <w:r>
              <w:rPr>
                <w:rFonts w:ascii="Calibri" w:eastAsia="Calibri" w:hAnsi="Calibri"/>
                <w:sz w:val="20"/>
                <w:szCs w:val="20"/>
              </w:rPr>
              <w:pict w14:anchorId="1F39E242">
                <v:shape id="_x0000_i1035" type="#_x0000_t75" style="width:15.35pt;height:14.65pt">
                  <v:imagedata r:id="rId26" o:title=""/>
                </v:shape>
              </w:pict>
            </w:r>
          </w:p>
        </w:tc>
        <w:tc>
          <w:tcPr>
            <w:tcW w:w="4897" w:type="dxa"/>
          </w:tcPr>
          <w:p w14:paraId="2C11F4EB" w14:textId="77777777" w:rsidR="00C47D22" w:rsidRPr="001A0F98" w:rsidRDefault="00C47D22" w:rsidP="00691F7E">
            <w:pPr>
              <w:rPr>
                <w:rFonts w:ascii="Arial" w:hAnsi="Arial" w:cs="Arial"/>
                <w:sz w:val="20"/>
                <w:szCs w:val="20"/>
              </w:rPr>
            </w:pPr>
          </w:p>
          <w:p w14:paraId="47ED92E5" w14:textId="77777777" w:rsidR="00C47D22" w:rsidRPr="001A0F98" w:rsidRDefault="00C47D22" w:rsidP="00691F7E">
            <w:pPr>
              <w:rPr>
                <w:rFonts w:ascii="Arial" w:hAnsi="Arial" w:cs="Arial"/>
                <w:b/>
                <w:sz w:val="20"/>
                <w:szCs w:val="20"/>
              </w:rPr>
            </w:pPr>
            <w:r>
              <w:rPr>
                <w:rFonts w:ascii="Arial" w:hAnsi="Arial" w:cs="Arial"/>
                <w:b/>
                <w:sz w:val="20"/>
                <w:szCs w:val="20"/>
              </w:rPr>
              <w:t>Comment:</w:t>
            </w:r>
          </w:p>
          <w:p w14:paraId="00292586" w14:textId="6FB16F76" w:rsidR="00C47D22" w:rsidRPr="001A0F98" w:rsidRDefault="00C47D22" w:rsidP="00691F7E">
            <w:pPr>
              <w:rPr>
                <w:rFonts w:ascii="Arial" w:hAnsi="Arial" w:cs="Arial"/>
                <w:sz w:val="20"/>
                <w:szCs w:val="20"/>
              </w:rPr>
            </w:pPr>
            <w:r>
              <w:rPr>
                <w:rFonts w:ascii="Arial" w:hAnsi="Arial" w:cs="Arial"/>
                <w:sz w:val="20"/>
                <w:szCs w:val="20"/>
              </w:rPr>
              <w:t>The overarching goal of the emergency-action exchange is to quickly establish communication between the losing and gaining registrars.  Thus it is a registrar-to-registrar channel, at least in the case of a hijacking.  Other use-cases may require access by registries</w:t>
            </w:r>
            <w:r w:rsidR="00C41976">
              <w:rPr>
                <w:rFonts w:ascii="Arial" w:hAnsi="Arial" w:cs="Arial"/>
                <w:sz w:val="20"/>
                <w:szCs w:val="20"/>
              </w:rPr>
              <w:t xml:space="preserve"> (and perhaps others)</w:t>
            </w:r>
            <w:r>
              <w:rPr>
                <w:rFonts w:ascii="Arial" w:hAnsi="Arial" w:cs="Arial"/>
                <w:sz w:val="20"/>
                <w:szCs w:val="20"/>
              </w:rPr>
              <w:t xml:space="preserve"> as well, but not in this circumstance.   </w:t>
            </w:r>
          </w:p>
          <w:p w14:paraId="45914059" w14:textId="77777777" w:rsidR="00C47D22" w:rsidRPr="001A0F98" w:rsidRDefault="00C47D22" w:rsidP="00691F7E">
            <w:pPr>
              <w:rPr>
                <w:rFonts w:ascii="Arial" w:hAnsi="Arial" w:cs="Arial"/>
                <w:sz w:val="20"/>
                <w:szCs w:val="20"/>
              </w:rPr>
            </w:pPr>
          </w:p>
          <w:p w14:paraId="04518CBD" w14:textId="05BAF0B8" w:rsidR="00C47D22" w:rsidRPr="001A0F98" w:rsidRDefault="00C47D22" w:rsidP="00C41976">
            <w:pPr>
              <w:rPr>
                <w:rFonts w:ascii="Arial" w:hAnsi="Arial" w:cs="Arial"/>
                <w:sz w:val="20"/>
                <w:szCs w:val="20"/>
              </w:rPr>
            </w:pPr>
            <w:r w:rsidRPr="001A0F98">
              <w:rPr>
                <w:rFonts w:ascii="Arial" w:hAnsi="Arial" w:cs="Arial"/>
                <w:b/>
                <w:sz w:val="20"/>
                <w:szCs w:val="20"/>
              </w:rPr>
              <w:t>BC Position:</w:t>
            </w:r>
            <w:r>
              <w:rPr>
                <w:rFonts w:ascii="Arial" w:hAnsi="Arial" w:cs="Arial"/>
                <w:b/>
                <w:sz w:val="20"/>
                <w:szCs w:val="20"/>
              </w:rPr>
              <w:br/>
            </w:r>
            <w:r>
              <w:rPr>
                <w:rFonts w:ascii="Arial" w:hAnsi="Arial" w:cs="Arial"/>
                <w:i/>
                <w:sz w:val="20"/>
                <w:szCs w:val="20"/>
              </w:rPr>
              <w:t xml:space="preserve">The BC defers to registries and registrars </w:t>
            </w:r>
            <w:r w:rsidR="00C41976">
              <w:rPr>
                <w:rFonts w:ascii="Arial" w:hAnsi="Arial" w:cs="Arial"/>
                <w:i/>
                <w:sz w:val="20"/>
                <w:szCs w:val="20"/>
              </w:rPr>
              <w:t>with regard to who has access to the Emergency Action Channel and does not envision that registrants would have such access.</w:t>
            </w:r>
            <w:r>
              <w:rPr>
                <w:rFonts w:ascii="Arial" w:hAnsi="Arial" w:cs="Arial"/>
                <w:i/>
                <w:sz w:val="20"/>
                <w:szCs w:val="20"/>
              </w:rPr>
              <w:t xml:space="preserve">  </w:t>
            </w:r>
            <w:r>
              <w:rPr>
                <w:rFonts w:ascii="Arial" w:hAnsi="Arial" w:cs="Arial"/>
                <w:sz w:val="20"/>
                <w:szCs w:val="20"/>
              </w:rPr>
              <w:t xml:space="preserve">  </w:t>
            </w:r>
            <w:r w:rsidRPr="00730BAD">
              <w:rPr>
                <w:rFonts w:ascii="Arial" w:hAnsi="Arial" w:cs="Arial"/>
                <w:sz w:val="20"/>
                <w:szCs w:val="20"/>
              </w:rPr>
              <w:t xml:space="preserve"> </w:t>
            </w:r>
          </w:p>
        </w:tc>
      </w:tr>
      <w:tr w:rsidR="00C47D22" w:rsidRPr="00AA632F" w14:paraId="48D0C079" w14:textId="77777777" w:rsidTr="00734628">
        <w:trPr>
          <w:cantSplit/>
          <w:jc w:val="center"/>
        </w:trPr>
        <w:tc>
          <w:tcPr>
            <w:tcW w:w="4735" w:type="dxa"/>
            <w:vAlign w:val="center"/>
          </w:tcPr>
          <w:p w14:paraId="1A014441" w14:textId="77777777" w:rsidR="00C47D22" w:rsidRPr="000621CC" w:rsidRDefault="00C47D22" w:rsidP="00186C2A">
            <w:pPr>
              <w:suppressAutoHyphens/>
              <w:spacing w:line="360" w:lineRule="auto"/>
              <w:rPr>
                <w:b/>
              </w:rPr>
            </w:pPr>
          </w:p>
        </w:tc>
        <w:tc>
          <w:tcPr>
            <w:tcW w:w="1398" w:type="dxa"/>
            <w:vAlign w:val="center"/>
          </w:tcPr>
          <w:p w14:paraId="3DA43739" w14:textId="77777777" w:rsidR="00C47D22" w:rsidRPr="001A0F98" w:rsidRDefault="00C47D22" w:rsidP="00622713">
            <w:pPr>
              <w:jc w:val="center"/>
              <w:rPr>
                <w:sz w:val="20"/>
                <w:szCs w:val="20"/>
              </w:rPr>
            </w:pPr>
          </w:p>
        </w:tc>
        <w:tc>
          <w:tcPr>
            <w:tcW w:w="4897" w:type="dxa"/>
          </w:tcPr>
          <w:p w14:paraId="5FE755BB" w14:textId="77777777" w:rsidR="00C47D22" w:rsidRPr="001A0F98" w:rsidRDefault="00C47D22" w:rsidP="00622713">
            <w:pPr>
              <w:rPr>
                <w:rFonts w:ascii="Arial" w:hAnsi="Arial" w:cs="Arial"/>
                <w:sz w:val="20"/>
                <w:szCs w:val="20"/>
              </w:rPr>
            </w:pPr>
          </w:p>
        </w:tc>
      </w:tr>
      <w:tr w:rsidR="00691F7E" w:rsidRPr="00AA632F" w14:paraId="6C60DA8E" w14:textId="77777777" w:rsidTr="00734628">
        <w:trPr>
          <w:cantSplit/>
          <w:jc w:val="center"/>
        </w:trPr>
        <w:tc>
          <w:tcPr>
            <w:tcW w:w="4735" w:type="dxa"/>
            <w:tcBorders>
              <w:bottom w:val="single" w:sz="4" w:space="0" w:color="auto"/>
            </w:tcBorders>
            <w:vAlign w:val="center"/>
          </w:tcPr>
          <w:p w14:paraId="2407D2EE" w14:textId="220F3B5A" w:rsidR="00691F7E" w:rsidRPr="000621CC" w:rsidRDefault="00691F7E" w:rsidP="00186C2A">
            <w:pPr>
              <w:suppressAutoHyphens/>
              <w:spacing w:line="360" w:lineRule="auto"/>
              <w:rPr>
                <w:b/>
              </w:rPr>
            </w:pPr>
            <w:r w:rsidRPr="00382897">
              <w:rPr>
                <w:rFonts w:ascii="Calibri" w:hAnsi="Calibri"/>
                <w:b/>
              </w:rPr>
              <w:lastRenderedPageBreak/>
              <w:t>Recommendation #2</w:t>
            </w:r>
            <w:r w:rsidRPr="00382897">
              <w:rPr>
                <w:rFonts w:ascii="Calibri" w:hAnsi="Calibri"/>
              </w:rPr>
              <w:t xml:space="preserve"> - The WG notes that in addition to reactive measures such as outlined in recommendation #1, proactive measures to prevent hijacking are of the utmost importance. As such, the WG strongly recommends the promotion by ALAC and other ICANN structures of the measures outlined in the recent report of the Security and Stability Advisory Committee on A Registrant's Guide to Protecting Domain Name Registration Accounts (</w:t>
            </w:r>
            <w:hyperlink r:id="rId27" w:history="1">
              <w:r w:rsidRPr="006209F1">
                <w:rPr>
                  <w:rStyle w:val="Hyperlink"/>
                  <w:rFonts w:ascii="Calibri" w:hAnsi="Calibri"/>
                </w:rPr>
                <w:t>SAC 044</w:t>
              </w:r>
            </w:hyperlink>
            <w:r w:rsidRPr="00382897">
              <w:rPr>
                <w:rFonts w:ascii="Calibri" w:hAnsi="Calibri"/>
              </w:rPr>
              <w:t>).</w:t>
            </w:r>
          </w:p>
        </w:tc>
        <w:tc>
          <w:tcPr>
            <w:tcW w:w="1398" w:type="dxa"/>
            <w:tcBorders>
              <w:bottom w:val="single" w:sz="4" w:space="0" w:color="auto"/>
            </w:tcBorders>
            <w:vAlign w:val="center"/>
          </w:tcPr>
          <w:p w14:paraId="5B33C070" w14:textId="3B7FE3D5" w:rsidR="00691F7E" w:rsidRPr="001A0F98" w:rsidRDefault="00BA3D4A" w:rsidP="00622713">
            <w:pPr>
              <w:jc w:val="center"/>
              <w:rPr>
                <w:sz w:val="20"/>
                <w:szCs w:val="20"/>
              </w:rPr>
            </w:pPr>
            <w:r>
              <w:rPr>
                <w:rFonts w:ascii="Calibri" w:eastAsia="Calibri" w:hAnsi="Calibri"/>
                <w:sz w:val="20"/>
                <w:szCs w:val="20"/>
              </w:rPr>
              <w:pict w14:anchorId="5DF92EA9">
                <v:shape id="_x0000_i1036" type="#_x0000_t75" style="width:15.35pt;height:14.65pt">
                  <v:imagedata r:id="rId28" o:title=""/>
                </v:shape>
              </w:pict>
            </w:r>
          </w:p>
        </w:tc>
        <w:tc>
          <w:tcPr>
            <w:tcW w:w="4897" w:type="dxa"/>
            <w:tcBorders>
              <w:bottom w:val="single" w:sz="4" w:space="0" w:color="auto"/>
            </w:tcBorders>
          </w:tcPr>
          <w:p w14:paraId="3454456F" w14:textId="77777777" w:rsidR="00691F7E" w:rsidRPr="001A0F98" w:rsidRDefault="00691F7E" w:rsidP="00691F7E">
            <w:pPr>
              <w:rPr>
                <w:rFonts w:ascii="Arial" w:hAnsi="Arial" w:cs="Arial"/>
                <w:sz w:val="20"/>
                <w:szCs w:val="20"/>
              </w:rPr>
            </w:pPr>
          </w:p>
          <w:p w14:paraId="1FF8921C" w14:textId="77777777" w:rsidR="00691F7E" w:rsidRPr="001A0F98" w:rsidRDefault="00691F7E" w:rsidP="00691F7E">
            <w:pPr>
              <w:rPr>
                <w:rFonts w:ascii="Arial" w:hAnsi="Arial" w:cs="Arial"/>
                <w:b/>
                <w:sz w:val="20"/>
                <w:szCs w:val="20"/>
              </w:rPr>
            </w:pPr>
            <w:r>
              <w:rPr>
                <w:rFonts w:ascii="Arial" w:hAnsi="Arial" w:cs="Arial"/>
                <w:b/>
                <w:sz w:val="20"/>
                <w:szCs w:val="20"/>
              </w:rPr>
              <w:t>Comment:</w:t>
            </w:r>
          </w:p>
          <w:p w14:paraId="1E0A0D66" w14:textId="102480D2" w:rsidR="00691F7E" w:rsidRPr="001A0F98" w:rsidRDefault="00691F7E" w:rsidP="00691F7E">
            <w:pPr>
              <w:rPr>
                <w:rFonts w:ascii="Arial" w:hAnsi="Arial" w:cs="Arial"/>
                <w:sz w:val="20"/>
                <w:szCs w:val="20"/>
              </w:rPr>
            </w:pPr>
            <w:r>
              <w:rPr>
                <w:rFonts w:ascii="Arial" w:hAnsi="Arial" w:cs="Arial"/>
                <w:sz w:val="20"/>
                <w:szCs w:val="20"/>
              </w:rPr>
              <w:t>The WG focused primarily on policy-changes that would improve the IRTP process “after the fact” of a hijacking.  But it also was interested in addressing measures that registrars could offer, and registrants could use, to proactively reduce the risk of domain-name hijacking.  SAC 044 provides a number of suggestions that the WG endorses in this area.</w:t>
            </w:r>
          </w:p>
          <w:p w14:paraId="02B0B1A3" w14:textId="77777777" w:rsidR="00691F7E" w:rsidRPr="001A0F98" w:rsidRDefault="00691F7E" w:rsidP="00691F7E">
            <w:pPr>
              <w:rPr>
                <w:rFonts w:ascii="Arial" w:hAnsi="Arial" w:cs="Arial"/>
                <w:sz w:val="20"/>
                <w:szCs w:val="20"/>
              </w:rPr>
            </w:pPr>
          </w:p>
          <w:p w14:paraId="6B6A6991" w14:textId="12EADFA9" w:rsidR="00691F7E" w:rsidRPr="001A0F98" w:rsidRDefault="00691F7E" w:rsidP="006D28DC">
            <w:pPr>
              <w:rPr>
                <w:rFonts w:ascii="Arial" w:hAnsi="Arial" w:cs="Arial"/>
                <w:sz w:val="20"/>
                <w:szCs w:val="20"/>
              </w:rPr>
            </w:pPr>
            <w:r w:rsidRPr="001A0F98">
              <w:rPr>
                <w:rFonts w:ascii="Arial" w:hAnsi="Arial" w:cs="Arial"/>
                <w:b/>
                <w:sz w:val="20"/>
                <w:szCs w:val="20"/>
              </w:rPr>
              <w:t>BC Position:</w:t>
            </w:r>
            <w:r>
              <w:rPr>
                <w:rFonts w:ascii="Arial" w:hAnsi="Arial" w:cs="Arial"/>
                <w:b/>
                <w:sz w:val="20"/>
                <w:szCs w:val="20"/>
              </w:rPr>
              <w:br/>
            </w:r>
            <w:r w:rsidR="006D28DC">
              <w:rPr>
                <w:rFonts w:ascii="Arial" w:hAnsi="Arial" w:cs="Arial"/>
                <w:i/>
                <w:sz w:val="20"/>
                <w:szCs w:val="20"/>
              </w:rPr>
              <w:t>The BC prefers the proactive approach of “building in security” to “reacting to a hijacking” and endorses this recommendation.  The BC will join the SSAC, ALAC and registrars in developing and promoting best practices in</w:t>
            </w:r>
            <w:r>
              <w:rPr>
                <w:rFonts w:ascii="Arial" w:hAnsi="Arial" w:cs="Arial"/>
                <w:i/>
                <w:sz w:val="20"/>
                <w:szCs w:val="20"/>
              </w:rPr>
              <w:t xml:space="preserve"> </w:t>
            </w:r>
            <w:r w:rsidR="006D28DC">
              <w:rPr>
                <w:rFonts w:ascii="Arial" w:hAnsi="Arial" w:cs="Arial"/>
                <w:i/>
                <w:sz w:val="20"/>
                <w:szCs w:val="20"/>
              </w:rPr>
              <w:t>this area.</w:t>
            </w:r>
            <w:r>
              <w:rPr>
                <w:rFonts w:ascii="Arial" w:hAnsi="Arial" w:cs="Arial"/>
                <w:i/>
                <w:sz w:val="20"/>
                <w:szCs w:val="20"/>
              </w:rPr>
              <w:t xml:space="preserve"> </w:t>
            </w:r>
            <w:r>
              <w:rPr>
                <w:rFonts w:ascii="Arial" w:hAnsi="Arial" w:cs="Arial"/>
                <w:sz w:val="20"/>
                <w:szCs w:val="20"/>
              </w:rPr>
              <w:t xml:space="preserve">  </w:t>
            </w:r>
            <w:r w:rsidRPr="00730BAD">
              <w:rPr>
                <w:rFonts w:ascii="Arial" w:hAnsi="Arial" w:cs="Arial"/>
                <w:sz w:val="20"/>
                <w:szCs w:val="20"/>
              </w:rPr>
              <w:t xml:space="preserve"> </w:t>
            </w:r>
          </w:p>
        </w:tc>
      </w:tr>
      <w:tr w:rsidR="00734628" w:rsidRPr="00AA632F" w14:paraId="3242E64D" w14:textId="77777777" w:rsidTr="00734628">
        <w:trPr>
          <w:cantSplit/>
          <w:jc w:val="center"/>
        </w:trPr>
        <w:tc>
          <w:tcPr>
            <w:tcW w:w="11030" w:type="dxa"/>
            <w:gridSpan w:val="3"/>
            <w:shd w:val="clear" w:color="auto" w:fill="FFCC99"/>
            <w:vAlign w:val="center"/>
          </w:tcPr>
          <w:p w14:paraId="0700517D" w14:textId="6115B285" w:rsidR="00734628" w:rsidRPr="00734628" w:rsidRDefault="00734628" w:rsidP="00734628">
            <w:pPr>
              <w:pStyle w:val="NormalWeb"/>
              <w:spacing w:before="2" w:after="2"/>
              <w:rPr>
                <w:rFonts w:ascii="Calibri" w:hAnsi="Calibri"/>
                <w:b/>
                <w:sz w:val="22"/>
              </w:rPr>
            </w:pPr>
            <w:r w:rsidRPr="00F17FF8">
              <w:rPr>
                <w:rFonts w:ascii="Calibri" w:hAnsi="Calibri"/>
                <w:b/>
                <w:sz w:val="22"/>
              </w:rPr>
              <w:t>Issue B: Whether additional provisions on undoing inappropriate transfers are needed, especially with regard to disputes between a Registrant and Admin Contact. The policy is clear that the Registrant can overrule the AC, but how this is implemented is currently at the discretion of the registrar</w:t>
            </w:r>
            <w:r>
              <w:rPr>
                <w:rFonts w:ascii="Calibri" w:hAnsi="Calibri"/>
                <w:b/>
                <w:sz w:val="22"/>
              </w:rPr>
              <w:t>.</w:t>
            </w:r>
          </w:p>
        </w:tc>
      </w:tr>
      <w:tr w:rsidR="006D28DC" w:rsidRPr="00AA632F" w14:paraId="6D1857F1" w14:textId="77777777" w:rsidTr="00734628">
        <w:trPr>
          <w:cantSplit/>
          <w:jc w:val="center"/>
        </w:trPr>
        <w:tc>
          <w:tcPr>
            <w:tcW w:w="4735" w:type="dxa"/>
            <w:vAlign w:val="center"/>
          </w:tcPr>
          <w:p w14:paraId="6E80F715" w14:textId="275AF394" w:rsidR="006D28DC" w:rsidRPr="000621CC" w:rsidRDefault="006D28DC" w:rsidP="00186C2A">
            <w:pPr>
              <w:suppressAutoHyphens/>
              <w:spacing w:line="360" w:lineRule="auto"/>
              <w:rPr>
                <w:b/>
              </w:rPr>
            </w:pPr>
            <w:r w:rsidRPr="00D74B70">
              <w:rPr>
                <w:rFonts w:ascii="Calibri" w:hAnsi="Calibri"/>
                <w:b/>
              </w:rPr>
              <w:t>Recommendation #3</w:t>
            </w:r>
            <w:r>
              <w:rPr>
                <w:rFonts w:ascii="Calibri" w:hAnsi="Calibri"/>
              </w:rPr>
              <w:t xml:space="preserve"> - The WG recommends requesting an Issues Report on the requirement of ‘thick’ WHOIS for all incumbent </w:t>
            </w:r>
            <w:proofErr w:type="spellStart"/>
            <w:r>
              <w:rPr>
                <w:rFonts w:ascii="Calibri" w:hAnsi="Calibri"/>
              </w:rPr>
              <w:t>gTLDs</w:t>
            </w:r>
            <w:proofErr w:type="spellEnd"/>
            <w:r>
              <w:rPr>
                <w:rFonts w:ascii="Calibri" w:hAnsi="Calibri"/>
              </w:rPr>
              <w:t>.</w:t>
            </w:r>
          </w:p>
        </w:tc>
        <w:tc>
          <w:tcPr>
            <w:tcW w:w="1398" w:type="dxa"/>
            <w:vAlign w:val="center"/>
          </w:tcPr>
          <w:p w14:paraId="6493D118" w14:textId="6DD3D833" w:rsidR="006D28DC" w:rsidRPr="001A0F98" w:rsidRDefault="00BA3D4A" w:rsidP="00622713">
            <w:pPr>
              <w:jc w:val="center"/>
              <w:rPr>
                <w:sz w:val="20"/>
                <w:szCs w:val="20"/>
              </w:rPr>
            </w:pPr>
            <w:r>
              <w:rPr>
                <w:rFonts w:ascii="Calibri" w:eastAsia="Calibri" w:hAnsi="Calibri"/>
                <w:sz w:val="20"/>
                <w:szCs w:val="20"/>
              </w:rPr>
              <w:pict w14:anchorId="07DE14E2">
                <v:shape id="_x0000_i1037" type="#_x0000_t75" style="width:15.35pt;height:14.65pt">
                  <v:imagedata r:id="rId29" o:title=""/>
                </v:shape>
              </w:pict>
            </w:r>
          </w:p>
        </w:tc>
        <w:tc>
          <w:tcPr>
            <w:tcW w:w="4897" w:type="dxa"/>
          </w:tcPr>
          <w:p w14:paraId="7319FBE9" w14:textId="77777777" w:rsidR="006D28DC" w:rsidRPr="001A0F98" w:rsidRDefault="006D28DC" w:rsidP="00FB7587">
            <w:pPr>
              <w:rPr>
                <w:rFonts w:ascii="Arial" w:hAnsi="Arial" w:cs="Arial"/>
                <w:sz w:val="20"/>
                <w:szCs w:val="20"/>
              </w:rPr>
            </w:pPr>
          </w:p>
          <w:p w14:paraId="46E1FC53" w14:textId="77777777" w:rsidR="006D28DC" w:rsidRPr="001A0F98" w:rsidRDefault="006D28DC" w:rsidP="00FB7587">
            <w:pPr>
              <w:rPr>
                <w:rFonts w:ascii="Arial" w:hAnsi="Arial" w:cs="Arial"/>
                <w:b/>
                <w:sz w:val="20"/>
                <w:szCs w:val="20"/>
              </w:rPr>
            </w:pPr>
            <w:r>
              <w:rPr>
                <w:rFonts w:ascii="Arial" w:hAnsi="Arial" w:cs="Arial"/>
                <w:b/>
                <w:sz w:val="20"/>
                <w:szCs w:val="20"/>
              </w:rPr>
              <w:t>Comment:</w:t>
            </w:r>
          </w:p>
          <w:p w14:paraId="6699DE88" w14:textId="46ECE06C" w:rsidR="006D28DC" w:rsidRPr="001A0F98" w:rsidRDefault="00FB7587" w:rsidP="00FB7587">
            <w:pPr>
              <w:rPr>
                <w:rFonts w:ascii="Arial" w:hAnsi="Arial" w:cs="Arial"/>
                <w:sz w:val="20"/>
                <w:szCs w:val="20"/>
              </w:rPr>
            </w:pPr>
            <w:r>
              <w:rPr>
                <w:rFonts w:ascii="Arial" w:hAnsi="Arial" w:cs="Arial"/>
                <w:sz w:val="20"/>
                <w:szCs w:val="20"/>
              </w:rPr>
              <w:t xml:space="preserve">The WG </w:t>
            </w:r>
            <w:r w:rsidR="00DA64A8">
              <w:rPr>
                <w:rFonts w:ascii="Arial" w:hAnsi="Arial" w:cs="Arial"/>
                <w:sz w:val="20"/>
                <w:szCs w:val="20"/>
              </w:rPr>
              <w:t xml:space="preserve">notes that “thin” registries make it more complicated for the gaining registrar to contact the registrant to confirm that they in fact want to transfer the domain away from the losing registrar.  </w:t>
            </w:r>
            <w:r w:rsidR="006209F1">
              <w:rPr>
                <w:rFonts w:ascii="Arial" w:hAnsi="Arial" w:cs="Arial"/>
                <w:sz w:val="20"/>
                <w:szCs w:val="20"/>
              </w:rPr>
              <w:t>A “thick” registry</w:t>
            </w:r>
            <w:r w:rsidR="00DA64A8">
              <w:rPr>
                <w:rFonts w:ascii="Arial" w:hAnsi="Arial" w:cs="Arial"/>
                <w:sz w:val="20"/>
                <w:szCs w:val="20"/>
              </w:rPr>
              <w:t xml:space="preserve"> (where contact information is stored at the registry rather than the registrars) </w:t>
            </w:r>
            <w:r w:rsidR="006209F1">
              <w:rPr>
                <w:rFonts w:ascii="Arial" w:hAnsi="Arial" w:cs="Arial"/>
                <w:sz w:val="20"/>
                <w:szCs w:val="20"/>
              </w:rPr>
              <w:t>would dramatically reduce this problem</w:t>
            </w:r>
            <w:r w:rsidR="00DA64A8">
              <w:rPr>
                <w:rFonts w:ascii="Arial" w:hAnsi="Arial" w:cs="Arial"/>
                <w:sz w:val="20"/>
                <w:szCs w:val="20"/>
              </w:rPr>
              <w:t xml:space="preserve">.  The WG </w:t>
            </w:r>
            <w:proofErr w:type="gramStart"/>
            <w:r w:rsidR="0050020E">
              <w:rPr>
                <w:rFonts w:ascii="Arial" w:hAnsi="Arial" w:cs="Arial"/>
                <w:sz w:val="20"/>
                <w:szCs w:val="20"/>
              </w:rPr>
              <w:t xml:space="preserve">notes that all new </w:t>
            </w:r>
            <w:proofErr w:type="spellStart"/>
            <w:r w:rsidR="0050020E">
              <w:rPr>
                <w:rFonts w:ascii="Arial" w:hAnsi="Arial" w:cs="Arial"/>
                <w:sz w:val="20"/>
                <w:szCs w:val="20"/>
              </w:rPr>
              <w:t>gTLDs</w:t>
            </w:r>
            <w:proofErr w:type="spellEnd"/>
            <w:r w:rsidR="0050020E">
              <w:rPr>
                <w:rFonts w:ascii="Arial" w:hAnsi="Arial" w:cs="Arial"/>
                <w:sz w:val="20"/>
                <w:szCs w:val="20"/>
              </w:rPr>
              <w:t xml:space="preserve"> will have thick registries and thus this </w:t>
            </w:r>
            <w:r w:rsidR="006209F1">
              <w:rPr>
                <w:rFonts w:ascii="Arial" w:hAnsi="Arial" w:cs="Arial"/>
                <w:sz w:val="20"/>
                <w:szCs w:val="20"/>
              </w:rPr>
              <w:t>recommendation really only applies</w:t>
            </w:r>
            <w:proofErr w:type="gramEnd"/>
            <w:r w:rsidR="00DA64A8">
              <w:rPr>
                <w:rFonts w:ascii="Arial" w:hAnsi="Arial" w:cs="Arial"/>
                <w:sz w:val="20"/>
                <w:szCs w:val="20"/>
              </w:rPr>
              <w:t xml:space="preserve"> to the large legacy TLDs (.com and .net)</w:t>
            </w:r>
            <w:r w:rsidR="006209F1">
              <w:rPr>
                <w:rFonts w:ascii="Arial" w:hAnsi="Arial" w:cs="Arial"/>
                <w:sz w:val="20"/>
                <w:szCs w:val="20"/>
              </w:rPr>
              <w:t xml:space="preserve"> TLDs</w:t>
            </w:r>
            <w:r w:rsidR="0050020E">
              <w:rPr>
                <w:rFonts w:ascii="Arial" w:hAnsi="Arial" w:cs="Arial"/>
                <w:sz w:val="20"/>
                <w:szCs w:val="20"/>
              </w:rPr>
              <w:t xml:space="preserve"> managed by </w:t>
            </w:r>
            <w:proofErr w:type="spellStart"/>
            <w:r w:rsidR="0050020E">
              <w:rPr>
                <w:rFonts w:ascii="Arial" w:hAnsi="Arial" w:cs="Arial"/>
                <w:sz w:val="20"/>
                <w:szCs w:val="20"/>
              </w:rPr>
              <w:t>Verisign</w:t>
            </w:r>
            <w:proofErr w:type="spellEnd"/>
            <w:r w:rsidR="00DA64A8">
              <w:rPr>
                <w:rFonts w:ascii="Arial" w:hAnsi="Arial" w:cs="Arial"/>
                <w:sz w:val="20"/>
                <w:szCs w:val="20"/>
              </w:rPr>
              <w:t xml:space="preserve">.  </w:t>
            </w:r>
          </w:p>
          <w:p w14:paraId="37FAF434" w14:textId="77777777" w:rsidR="006D28DC" w:rsidRPr="001A0F98" w:rsidRDefault="006D28DC" w:rsidP="00FB7587">
            <w:pPr>
              <w:rPr>
                <w:rFonts w:ascii="Arial" w:hAnsi="Arial" w:cs="Arial"/>
                <w:sz w:val="20"/>
                <w:szCs w:val="20"/>
              </w:rPr>
            </w:pPr>
          </w:p>
          <w:p w14:paraId="086A69FA" w14:textId="77777777" w:rsidR="006209F1" w:rsidRDefault="006D28DC" w:rsidP="0050020E">
            <w:pPr>
              <w:rPr>
                <w:rFonts w:ascii="Arial" w:hAnsi="Arial" w:cs="Arial"/>
                <w:i/>
                <w:sz w:val="20"/>
                <w:szCs w:val="20"/>
              </w:rPr>
            </w:pPr>
            <w:r w:rsidRPr="001A0F98">
              <w:rPr>
                <w:rFonts w:ascii="Arial" w:hAnsi="Arial" w:cs="Arial"/>
                <w:b/>
                <w:sz w:val="20"/>
                <w:szCs w:val="20"/>
              </w:rPr>
              <w:t>BC Position:</w:t>
            </w:r>
            <w:r>
              <w:rPr>
                <w:rFonts w:ascii="Arial" w:hAnsi="Arial" w:cs="Arial"/>
                <w:b/>
                <w:sz w:val="20"/>
                <w:szCs w:val="20"/>
              </w:rPr>
              <w:br/>
            </w:r>
            <w:r w:rsidR="00DA64A8">
              <w:rPr>
                <w:rFonts w:ascii="Arial" w:hAnsi="Arial" w:cs="Arial"/>
                <w:i/>
                <w:sz w:val="20"/>
                <w:szCs w:val="20"/>
              </w:rPr>
              <w:t xml:space="preserve">The BC supports the notion of exploring “operational” improvements to the WHOIS system, especially if they can be addressed without an entanglement with the historical issues </w:t>
            </w:r>
            <w:r w:rsidR="0050020E">
              <w:rPr>
                <w:rFonts w:ascii="Arial" w:hAnsi="Arial" w:cs="Arial"/>
                <w:i/>
                <w:sz w:val="20"/>
                <w:szCs w:val="20"/>
              </w:rPr>
              <w:t>of WHOIS data</w:t>
            </w:r>
            <w:r w:rsidR="00DA64A8">
              <w:rPr>
                <w:rFonts w:ascii="Arial" w:hAnsi="Arial" w:cs="Arial"/>
                <w:i/>
                <w:sz w:val="20"/>
                <w:szCs w:val="20"/>
              </w:rPr>
              <w:t xml:space="preserve"> access and accuracy.</w:t>
            </w:r>
            <w:r>
              <w:rPr>
                <w:rFonts w:ascii="Arial" w:hAnsi="Arial" w:cs="Arial"/>
                <w:i/>
                <w:sz w:val="20"/>
                <w:szCs w:val="20"/>
              </w:rPr>
              <w:t xml:space="preserve"> </w:t>
            </w:r>
            <w:r w:rsidR="0050020E">
              <w:rPr>
                <w:rFonts w:ascii="Arial" w:hAnsi="Arial" w:cs="Arial"/>
                <w:i/>
                <w:sz w:val="20"/>
                <w:szCs w:val="20"/>
              </w:rPr>
              <w:t xml:space="preserve">  </w:t>
            </w:r>
          </w:p>
          <w:p w14:paraId="706E0A7A" w14:textId="77777777" w:rsidR="006209F1" w:rsidRDefault="006209F1" w:rsidP="0050020E">
            <w:pPr>
              <w:rPr>
                <w:rFonts w:ascii="Arial" w:hAnsi="Arial" w:cs="Arial"/>
                <w:i/>
                <w:sz w:val="20"/>
                <w:szCs w:val="20"/>
              </w:rPr>
            </w:pPr>
          </w:p>
          <w:p w14:paraId="15C97849" w14:textId="75704E05" w:rsidR="006D28DC" w:rsidRPr="001A0F98" w:rsidRDefault="0050020E" w:rsidP="0050020E">
            <w:pPr>
              <w:rPr>
                <w:rFonts w:ascii="Arial" w:hAnsi="Arial" w:cs="Arial"/>
                <w:sz w:val="20"/>
                <w:szCs w:val="20"/>
              </w:rPr>
            </w:pPr>
            <w:r>
              <w:rPr>
                <w:rFonts w:ascii="Arial" w:hAnsi="Arial" w:cs="Arial"/>
                <w:i/>
                <w:sz w:val="20"/>
                <w:szCs w:val="20"/>
              </w:rPr>
              <w:t xml:space="preserve">And, while the BC supports this recommendation as one way forward, the constituency would also support a direct conversation with </w:t>
            </w:r>
            <w:proofErr w:type="spellStart"/>
            <w:r>
              <w:rPr>
                <w:rFonts w:ascii="Arial" w:hAnsi="Arial" w:cs="Arial"/>
                <w:i/>
                <w:sz w:val="20"/>
                <w:szCs w:val="20"/>
              </w:rPr>
              <w:t>Verisign</w:t>
            </w:r>
            <w:proofErr w:type="spellEnd"/>
            <w:r>
              <w:rPr>
                <w:rFonts w:ascii="Arial" w:hAnsi="Arial" w:cs="Arial"/>
                <w:i/>
                <w:sz w:val="20"/>
                <w:szCs w:val="20"/>
              </w:rPr>
              <w:t xml:space="preserve"> to explore the possibility of addressing this issue directly rather than having to go through the PDP process.   </w:t>
            </w:r>
            <w:r w:rsidR="006D28DC">
              <w:rPr>
                <w:rFonts w:ascii="Arial" w:hAnsi="Arial" w:cs="Arial"/>
                <w:sz w:val="20"/>
                <w:szCs w:val="20"/>
              </w:rPr>
              <w:t xml:space="preserve">  </w:t>
            </w:r>
            <w:r w:rsidR="006D28DC" w:rsidRPr="00730BAD">
              <w:rPr>
                <w:rFonts w:ascii="Arial" w:hAnsi="Arial" w:cs="Arial"/>
                <w:sz w:val="20"/>
                <w:szCs w:val="20"/>
              </w:rPr>
              <w:t xml:space="preserve"> </w:t>
            </w:r>
          </w:p>
        </w:tc>
      </w:tr>
      <w:tr w:rsidR="0050020E" w:rsidRPr="00AA632F" w14:paraId="6F411968" w14:textId="77777777" w:rsidTr="00734628">
        <w:trPr>
          <w:cantSplit/>
          <w:jc w:val="center"/>
        </w:trPr>
        <w:tc>
          <w:tcPr>
            <w:tcW w:w="4735" w:type="dxa"/>
            <w:vAlign w:val="center"/>
          </w:tcPr>
          <w:p w14:paraId="59F2A712" w14:textId="03EA4033" w:rsidR="0050020E" w:rsidRPr="000621CC" w:rsidRDefault="0050020E" w:rsidP="005C1231">
            <w:pPr>
              <w:suppressAutoHyphens/>
              <w:spacing w:line="360" w:lineRule="auto"/>
              <w:rPr>
                <w:b/>
              </w:rPr>
            </w:pPr>
            <w:r w:rsidRPr="005C1231">
              <w:rPr>
                <w:rFonts w:ascii="Calibri" w:hAnsi="Calibri"/>
                <w:b/>
              </w:rPr>
              <w:lastRenderedPageBreak/>
              <w:t>Recommendation #4</w:t>
            </w:r>
            <w:r>
              <w:rPr>
                <w:rFonts w:ascii="Calibri" w:hAnsi="Calibri"/>
              </w:rPr>
              <w:t xml:space="preserve"> - The </w:t>
            </w:r>
            <w:r w:rsidRPr="003E2CDC">
              <w:rPr>
                <w:rFonts w:ascii="Calibri" w:hAnsi="Calibri"/>
              </w:rPr>
              <w:t xml:space="preserve">WG recommends </w:t>
            </w:r>
            <w:r>
              <w:rPr>
                <w:rFonts w:ascii="Calibri" w:hAnsi="Calibri"/>
              </w:rPr>
              <w:t xml:space="preserve">requesting </w:t>
            </w:r>
            <w:r w:rsidRPr="003E2CDC">
              <w:rPr>
                <w:rFonts w:ascii="Calibri" w:hAnsi="Calibri"/>
              </w:rPr>
              <w:t>an Issue</w:t>
            </w:r>
            <w:r w:rsidRPr="000E674E">
              <w:rPr>
                <w:rFonts w:ascii="Calibri" w:hAnsi="Calibri"/>
              </w:rPr>
              <w:t xml:space="preserve"> Report to examine </w:t>
            </w:r>
            <w:r>
              <w:rPr>
                <w:rFonts w:ascii="Calibri" w:hAnsi="Calibri"/>
              </w:rPr>
              <w:t>[the possibility of establishing a “change of control” process that is distinct from the IRTP]</w:t>
            </w:r>
            <w:r w:rsidRPr="000E674E">
              <w:rPr>
                <w:rFonts w:ascii="Calibri" w:hAnsi="Calibri"/>
              </w:rPr>
              <w:t>,</w:t>
            </w:r>
            <w:r>
              <w:rPr>
                <w:rFonts w:ascii="Calibri" w:hAnsi="Calibri"/>
              </w:rPr>
              <w:t xml:space="preserve"> </w:t>
            </w:r>
            <w:r w:rsidRPr="003E2CDC">
              <w:rPr>
                <w:rFonts w:ascii="Calibri" w:hAnsi="Calibri"/>
              </w:rPr>
              <w:t>including an investigation of how this function is currently achieved,</w:t>
            </w:r>
            <w:r>
              <w:rPr>
                <w:rFonts w:ascii="Calibri" w:hAnsi="Calibri"/>
              </w:rPr>
              <w:t xml:space="preserve"> </w:t>
            </w:r>
            <w:r w:rsidRPr="003E2CDC">
              <w:rPr>
                <w:rFonts w:ascii="Calibri" w:hAnsi="Calibri"/>
              </w:rPr>
              <w:t>if there are any applicable models in the country-code name space, and</w:t>
            </w:r>
            <w:r>
              <w:rPr>
                <w:rFonts w:ascii="Calibri" w:hAnsi="Calibri"/>
              </w:rPr>
              <w:t xml:space="preserve"> </w:t>
            </w:r>
            <w:r w:rsidRPr="003E2CDC">
              <w:rPr>
                <w:rFonts w:ascii="Calibri" w:hAnsi="Calibri"/>
              </w:rPr>
              <w:t>any associated security concerns.</w:t>
            </w:r>
          </w:p>
        </w:tc>
        <w:tc>
          <w:tcPr>
            <w:tcW w:w="1398" w:type="dxa"/>
            <w:vAlign w:val="center"/>
          </w:tcPr>
          <w:p w14:paraId="4D003461" w14:textId="4597117C" w:rsidR="0050020E" w:rsidRPr="001A0F98" w:rsidRDefault="00BA3D4A" w:rsidP="00622713">
            <w:pPr>
              <w:jc w:val="center"/>
              <w:rPr>
                <w:sz w:val="20"/>
                <w:szCs w:val="20"/>
              </w:rPr>
            </w:pPr>
            <w:r>
              <w:rPr>
                <w:rFonts w:ascii="Calibri" w:eastAsia="Calibri" w:hAnsi="Calibri"/>
                <w:sz w:val="20"/>
                <w:szCs w:val="20"/>
              </w:rPr>
              <w:pict w14:anchorId="1D8655D2">
                <v:shape id="_x0000_i1038" type="#_x0000_t75" style="width:15.35pt;height:14.65pt">
                  <v:imagedata r:id="rId30" o:title=""/>
                </v:shape>
              </w:pict>
            </w:r>
          </w:p>
        </w:tc>
        <w:tc>
          <w:tcPr>
            <w:tcW w:w="4897" w:type="dxa"/>
          </w:tcPr>
          <w:p w14:paraId="4F86A4BA" w14:textId="77777777" w:rsidR="0050020E" w:rsidRPr="001A0F98" w:rsidRDefault="0050020E" w:rsidP="0050020E">
            <w:pPr>
              <w:rPr>
                <w:rFonts w:ascii="Arial" w:hAnsi="Arial" w:cs="Arial"/>
                <w:sz w:val="20"/>
                <w:szCs w:val="20"/>
              </w:rPr>
            </w:pPr>
          </w:p>
          <w:p w14:paraId="7B6A55DF" w14:textId="77777777" w:rsidR="0050020E" w:rsidRPr="001A0F98" w:rsidRDefault="0050020E" w:rsidP="0050020E">
            <w:pPr>
              <w:rPr>
                <w:rFonts w:ascii="Arial" w:hAnsi="Arial" w:cs="Arial"/>
                <w:b/>
                <w:sz w:val="20"/>
                <w:szCs w:val="20"/>
              </w:rPr>
            </w:pPr>
            <w:r>
              <w:rPr>
                <w:rFonts w:ascii="Arial" w:hAnsi="Arial" w:cs="Arial"/>
                <w:b/>
                <w:sz w:val="20"/>
                <w:szCs w:val="20"/>
              </w:rPr>
              <w:t>Comment:</w:t>
            </w:r>
          </w:p>
          <w:p w14:paraId="32DD9709" w14:textId="499BC139" w:rsidR="0050020E" w:rsidRDefault="007F7926" w:rsidP="007F7926">
            <w:pPr>
              <w:spacing w:line="240" w:lineRule="auto"/>
              <w:rPr>
                <w:rFonts w:ascii="Calibri" w:hAnsi="Calibri"/>
              </w:rPr>
            </w:pPr>
            <w:r w:rsidRPr="003E2CDC">
              <w:rPr>
                <w:rFonts w:ascii="Calibri" w:hAnsi="Calibri"/>
              </w:rPr>
              <w:t xml:space="preserve">The WG notes that the primary function </w:t>
            </w:r>
            <w:r w:rsidRPr="000E674E">
              <w:rPr>
                <w:rFonts w:ascii="Calibri" w:hAnsi="Calibri"/>
              </w:rPr>
              <w:t>of IRTP is to permit Registered</w:t>
            </w:r>
            <w:r>
              <w:rPr>
                <w:rFonts w:ascii="Calibri" w:hAnsi="Calibri"/>
              </w:rPr>
              <w:t xml:space="preserve"> </w:t>
            </w:r>
            <w:r w:rsidRPr="003E2CDC">
              <w:rPr>
                <w:rFonts w:ascii="Calibri" w:hAnsi="Calibri"/>
              </w:rPr>
              <w:t>Name Holders to move registrations to the Registrar of their choice,</w:t>
            </w:r>
            <w:r>
              <w:rPr>
                <w:rFonts w:ascii="Calibri" w:hAnsi="Calibri"/>
              </w:rPr>
              <w:t xml:space="preserve"> </w:t>
            </w:r>
            <w:r w:rsidRPr="003E2CDC">
              <w:rPr>
                <w:rFonts w:ascii="Calibri" w:hAnsi="Calibri"/>
              </w:rPr>
              <w:t>with all</w:t>
            </w:r>
            <w:r w:rsidR="006209F1">
              <w:rPr>
                <w:rFonts w:ascii="Calibri" w:hAnsi="Calibri"/>
              </w:rPr>
              <w:t xml:space="preserve"> contact information intact. However t</w:t>
            </w:r>
            <w:r w:rsidRPr="003E2CDC">
              <w:rPr>
                <w:rFonts w:ascii="Calibri" w:hAnsi="Calibri"/>
              </w:rPr>
              <w:t xml:space="preserve">he WG also notes that IRTP </w:t>
            </w:r>
            <w:r w:rsidR="006209F1">
              <w:rPr>
                <w:rFonts w:ascii="Calibri" w:hAnsi="Calibri"/>
              </w:rPr>
              <w:t>has also come to be</w:t>
            </w:r>
            <w:r>
              <w:rPr>
                <w:rFonts w:ascii="Calibri" w:hAnsi="Calibri"/>
              </w:rPr>
              <w:t xml:space="preserve"> </w:t>
            </w:r>
            <w:r w:rsidRPr="003E2CDC">
              <w:rPr>
                <w:rFonts w:ascii="Calibri" w:hAnsi="Calibri"/>
              </w:rPr>
              <w:t>widely used in the domain name community to affect a "change</w:t>
            </w:r>
            <w:r>
              <w:rPr>
                <w:rFonts w:ascii="Calibri" w:hAnsi="Calibri"/>
              </w:rPr>
              <w:t xml:space="preserve"> </w:t>
            </w:r>
            <w:r w:rsidRPr="003E2CDC">
              <w:rPr>
                <w:rFonts w:ascii="Calibri" w:hAnsi="Calibri"/>
              </w:rPr>
              <w:t>of control," moving the domain name to a new Registered Name Holder.</w:t>
            </w:r>
            <w:r>
              <w:rPr>
                <w:rFonts w:ascii="Calibri" w:hAnsi="Calibri"/>
              </w:rPr>
              <w:t xml:space="preserve"> D</w:t>
            </w:r>
            <w:r w:rsidRPr="003E2CDC">
              <w:rPr>
                <w:rFonts w:ascii="Calibri" w:hAnsi="Calibri"/>
              </w:rPr>
              <w:t>iscussions within the WG and with ICANN Staff have determined that</w:t>
            </w:r>
            <w:r>
              <w:rPr>
                <w:rFonts w:ascii="Calibri" w:hAnsi="Calibri"/>
              </w:rPr>
              <w:t xml:space="preserve"> </w:t>
            </w:r>
            <w:r w:rsidRPr="003E2CDC">
              <w:rPr>
                <w:rFonts w:ascii="Calibri" w:hAnsi="Calibri"/>
              </w:rPr>
              <w:t xml:space="preserve">there is no </w:t>
            </w:r>
            <w:proofErr w:type="gramStart"/>
            <w:r w:rsidR="006209F1">
              <w:rPr>
                <w:rFonts w:ascii="Calibri" w:hAnsi="Calibri"/>
              </w:rPr>
              <w:t>separately-</w:t>
            </w:r>
            <w:r w:rsidRPr="003E2CDC">
              <w:rPr>
                <w:rFonts w:ascii="Calibri" w:hAnsi="Calibri"/>
              </w:rPr>
              <w:t>defined</w:t>
            </w:r>
            <w:proofErr w:type="gramEnd"/>
            <w:r w:rsidRPr="003E2CDC">
              <w:rPr>
                <w:rFonts w:ascii="Calibri" w:hAnsi="Calibri"/>
              </w:rPr>
              <w:t xml:space="preserve"> "change of control" fu</w:t>
            </w:r>
            <w:r w:rsidRPr="000E674E">
              <w:rPr>
                <w:rFonts w:ascii="Calibri" w:hAnsi="Calibri"/>
              </w:rPr>
              <w:t>nction</w:t>
            </w:r>
            <w:r w:rsidR="006209F1">
              <w:rPr>
                <w:rFonts w:ascii="Calibri" w:hAnsi="Calibri"/>
              </w:rPr>
              <w:t xml:space="preserve"> at this time</w:t>
            </w:r>
            <w:r w:rsidRPr="000E674E">
              <w:rPr>
                <w:rFonts w:ascii="Calibri" w:hAnsi="Calibri"/>
              </w:rPr>
              <w:t>. </w:t>
            </w:r>
          </w:p>
          <w:p w14:paraId="1621D110" w14:textId="77777777" w:rsidR="007F7926" w:rsidRPr="001A0F98" w:rsidRDefault="007F7926" w:rsidP="007F7926">
            <w:pPr>
              <w:spacing w:line="240" w:lineRule="auto"/>
              <w:rPr>
                <w:rFonts w:ascii="Arial" w:hAnsi="Arial" w:cs="Arial"/>
                <w:sz w:val="20"/>
                <w:szCs w:val="20"/>
              </w:rPr>
            </w:pPr>
          </w:p>
          <w:p w14:paraId="1BE65B16" w14:textId="66DA05C7" w:rsidR="0050020E" w:rsidRPr="001A0F98" w:rsidRDefault="0050020E" w:rsidP="006209F1">
            <w:pPr>
              <w:rPr>
                <w:rFonts w:ascii="Arial" w:hAnsi="Arial" w:cs="Arial"/>
                <w:sz w:val="20"/>
                <w:szCs w:val="20"/>
              </w:rPr>
            </w:pPr>
            <w:r w:rsidRPr="001A0F98">
              <w:rPr>
                <w:rFonts w:ascii="Arial" w:hAnsi="Arial" w:cs="Arial"/>
                <w:b/>
                <w:sz w:val="20"/>
                <w:szCs w:val="20"/>
              </w:rPr>
              <w:t>BC Position:</w:t>
            </w:r>
            <w:r>
              <w:rPr>
                <w:rFonts w:ascii="Arial" w:hAnsi="Arial" w:cs="Arial"/>
                <w:b/>
                <w:sz w:val="20"/>
                <w:szCs w:val="20"/>
              </w:rPr>
              <w:br/>
            </w:r>
            <w:r w:rsidR="007F7926">
              <w:rPr>
                <w:rFonts w:ascii="Arial" w:hAnsi="Arial" w:cs="Arial"/>
                <w:i/>
                <w:sz w:val="20"/>
                <w:szCs w:val="20"/>
              </w:rPr>
              <w:t xml:space="preserve">The BC supports this </w:t>
            </w:r>
            <w:r w:rsidR="006209F1">
              <w:rPr>
                <w:rFonts w:ascii="Arial" w:hAnsi="Arial" w:cs="Arial"/>
                <w:i/>
                <w:sz w:val="20"/>
                <w:szCs w:val="20"/>
              </w:rPr>
              <w:t>recommendation</w:t>
            </w:r>
            <w:r w:rsidR="007F7926">
              <w:rPr>
                <w:rFonts w:ascii="Arial" w:hAnsi="Arial" w:cs="Arial"/>
                <w:i/>
                <w:sz w:val="20"/>
                <w:szCs w:val="20"/>
              </w:rPr>
              <w:t xml:space="preserve"> – but is also willing to explore other ways to address this issue if a more streamlined approach can be identified.</w:t>
            </w:r>
            <w:r>
              <w:rPr>
                <w:rFonts w:ascii="Arial" w:hAnsi="Arial" w:cs="Arial"/>
                <w:i/>
                <w:sz w:val="20"/>
                <w:szCs w:val="20"/>
              </w:rPr>
              <w:t xml:space="preserve">   </w:t>
            </w:r>
            <w:r>
              <w:rPr>
                <w:rFonts w:ascii="Arial" w:hAnsi="Arial" w:cs="Arial"/>
                <w:sz w:val="20"/>
                <w:szCs w:val="20"/>
              </w:rPr>
              <w:t xml:space="preserve">  </w:t>
            </w:r>
            <w:r w:rsidRPr="00730BAD">
              <w:rPr>
                <w:rFonts w:ascii="Arial" w:hAnsi="Arial" w:cs="Arial"/>
                <w:sz w:val="20"/>
                <w:szCs w:val="20"/>
              </w:rPr>
              <w:t xml:space="preserve"> </w:t>
            </w:r>
          </w:p>
        </w:tc>
      </w:tr>
      <w:tr w:rsidR="0069437C" w:rsidRPr="00AA632F" w14:paraId="33FE3A8A" w14:textId="77777777" w:rsidTr="006E6292">
        <w:trPr>
          <w:cantSplit/>
          <w:jc w:val="center"/>
        </w:trPr>
        <w:tc>
          <w:tcPr>
            <w:tcW w:w="4735" w:type="dxa"/>
            <w:tcBorders>
              <w:bottom w:val="single" w:sz="4" w:space="0" w:color="auto"/>
            </w:tcBorders>
            <w:vAlign w:val="center"/>
          </w:tcPr>
          <w:p w14:paraId="2F789063" w14:textId="18E180DF" w:rsidR="0069437C" w:rsidRPr="000621CC" w:rsidRDefault="0069437C" w:rsidP="00186C2A">
            <w:pPr>
              <w:suppressAutoHyphens/>
              <w:spacing w:line="360" w:lineRule="auto"/>
              <w:rPr>
                <w:b/>
              </w:rPr>
            </w:pPr>
            <w:r w:rsidRPr="00B233AF">
              <w:rPr>
                <w:rFonts w:ascii="Calibri" w:hAnsi="Calibri"/>
                <w:b/>
              </w:rPr>
              <w:t>Recommendation #5</w:t>
            </w:r>
            <w:r>
              <w:rPr>
                <w:rFonts w:ascii="Calibri" w:hAnsi="Calibri"/>
              </w:rPr>
              <w:t xml:space="preserve">: The WG recommends modifying section 3 of the IRTP </w:t>
            </w:r>
            <w:r w:rsidRPr="00F955BB">
              <w:rPr>
                <w:rFonts w:ascii="Calibri" w:hAnsi="Calibri"/>
              </w:rPr>
              <w:t>to</w:t>
            </w:r>
            <w:r>
              <w:rPr>
                <w:rFonts w:ascii="Calibri" w:hAnsi="Calibri"/>
              </w:rPr>
              <w:t xml:space="preserve"> </w:t>
            </w:r>
            <w:r w:rsidRPr="00F955BB">
              <w:rPr>
                <w:rFonts w:ascii="Calibri" w:hAnsi="Calibri"/>
              </w:rPr>
              <w:t xml:space="preserve">require that the Registrar of Record/Losing Registrar be required to </w:t>
            </w:r>
            <w:r>
              <w:rPr>
                <w:rFonts w:ascii="Calibri" w:hAnsi="Calibri"/>
              </w:rPr>
              <w:t xml:space="preserve">notify </w:t>
            </w:r>
            <w:r w:rsidRPr="00F955BB">
              <w:rPr>
                <w:rFonts w:ascii="Calibri" w:hAnsi="Calibri"/>
              </w:rPr>
              <w:t>the Registered Name Holder/Registrant</w:t>
            </w:r>
            <w:r>
              <w:rPr>
                <w:rFonts w:ascii="Calibri" w:hAnsi="Calibri"/>
              </w:rPr>
              <w:t xml:space="preserve"> of the transfer out</w:t>
            </w:r>
            <w:r w:rsidRPr="00F955BB">
              <w:rPr>
                <w:rFonts w:ascii="Calibri" w:hAnsi="Calibri"/>
              </w:rPr>
              <w:t>. </w:t>
            </w:r>
          </w:p>
        </w:tc>
        <w:tc>
          <w:tcPr>
            <w:tcW w:w="1398" w:type="dxa"/>
            <w:tcBorders>
              <w:bottom w:val="single" w:sz="4" w:space="0" w:color="auto"/>
            </w:tcBorders>
            <w:vAlign w:val="center"/>
          </w:tcPr>
          <w:p w14:paraId="3F47E521" w14:textId="739306AC" w:rsidR="0069437C" w:rsidRPr="001A0F98" w:rsidRDefault="00BA3D4A" w:rsidP="00622713">
            <w:pPr>
              <w:jc w:val="center"/>
              <w:rPr>
                <w:sz w:val="20"/>
                <w:szCs w:val="20"/>
              </w:rPr>
            </w:pPr>
            <w:r>
              <w:rPr>
                <w:rFonts w:ascii="Calibri" w:eastAsia="Calibri" w:hAnsi="Calibri"/>
                <w:sz w:val="20"/>
                <w:szCs w:val="20"/>
              </w:rPr>
              <w:pict w14:anchorId="71F588EE">
                <v:shape id="_x0000_i1039" type="#_x0000_t75" style="width:15.35pt;height:14.65pt">
                  <v:imagedata r:id="rId31" o:title=""/>
                </v:shape>
              </w:pict>
            </w:r>
          </w:p>
        </w:tc>
        <w:tc>
          <w:tcPr>
            <w:tcW w:w="4897" w:type="dxa"/>
            <w:tcBorders>
              <w:bottom w:val="single" w:sz="4" w:space="0" w:color="auto"/>
            </w:tcBorders>
          </w:tcPr>
          <w:p w14:paraId="6A73EA32" w14:textId="77777777" w:rsidR="0069437C" w:rsidRPr="001A0F98" w:rsidRDefault="0069437C" w:rsidP="0069437C">
            <w:pPr>
              <w:rPr>
                <w:rFonts w:ascii="Arial" w:hAnsi="Arial" w:cs="Arial"/>
                <w:sz w:val="20"/>
                <w:szCs w:val="20"/>
              </w:rPr>
            </w:pPr>
          </w:p>
          <w:p w14:paraId="7BEC67C9" w14:textId="77777777" w:rsidR="0069437C" w:rsidRPr="001A0F98" w:rsidRDefault="0069437C" w:rsidP="0069437C">
            <w:pPr>
              <w:rPr>
                <w:rFonts w:ascii="Arial" w:hAnsi="Arial" w:cs="Arial"/>
                <w:b/>
                <w:sz w:val="20"/>
                <w:szCs w:val="20"/>
              </w:rPr>
            </w:pPr>
            <w:r>
              <w:rPr>
                <w:rFonts w:ascii="Arial" w:hAnsi="Arial" w:cs="Arial"/>
                <w:b/>
                <w:sz w:val="20"/>
                <w:szCs w:val="20"/>
              </w:rPr>
              <w:t>Comment:</w:t>
            </w:r>
          </w:p>
          <w:p w14:paraId="270ABB20" w14:textId="46011916" w:rsidR="0069437C" w:rsidRDefault="0069437C" w:rsidP="0069437C">
            <w:pPr>
              <w:suppressAutoHyphens/>
              <w:spacing w:line="240" w:lineRule="auto"/>
              <w:rPr>
                <w:rFonts w:ascii="Calibri" w:hAnsi="Calibri"/>
              </w:rPr>
            </w:pPr>
            <w:r>
              <w:rPr>
                <w:rFonts w:ascii="Calibri" w:hAnsi="Calibri"/>
              </w:rPr>
              <w:t xml:space="preserve">Section 3 of the IRTP currently offers the </w:t>
            </w:r>
            <w:r w:rsidRPr="0069437C">
              <w:rPr>
                <w:rFonts w:ascii="Calibri" w:hAnsi="Calibri"/>
                <w:b/>
              </w:rPr>
              <w:t>option</w:t>
            </w:r>
            <w:r>
              <w:rPr>
                <w:rFonts w:ascii="Calibri" w:hAnsi="Calibri"/>
              </w:rPr>
              <w:t xml:space="preserve"> </w:t>
            </w:r>
            <w:r w:rsidR="006209F1">
              <w:rPr>
                <w:rFonts w:ascii="Calibri" w:hAnsi="Calibri"/>
              </w:rPr>
              <w:t>for</w:t>
            </w:r>
            <w:r>
              <w:rPr>
                <w:rFonts w:ascii="Calibri" w:hAnsi="Calibri"/>
              </w:rPr>
              <w:t xml:space="preserve"> the Registrar of Record to notify the registrant that a transfer has been requested. The WG agreed that </w:t>
            </w:r>
            <w:r w:rsidRPr="0069437C">
              <w:rPr>
                <w:rFonts w:ascii="Calibri" w:hAnsi="Calibri"/>
                <w:b/>
              </w:rPr>
              <w:t>requiring</w:t>
            </w:r>
            <w:r>
              <w:rPr>
                <w:rFonts w:ascii="Calibri" w:hAnsi="Calibri"/>
              </w:rPr>
              <w:t xml:space="preserve"> this notification might alert the registrant at an earlier stage that a transfer has been requested.  This offers the possibility that potential conflicts might be brought to light before a transfer has been completed and therefore might reduce the number of conflicts between the admin contact and registrant that would require undoing a transfer.</w:t>
            </w:r>
          </w:p>
          <w:p w14:paraId="0F3510B2" w14:textId="77777777" w:rsidR="0069437C" w:rsidRPr="001A0F98" w:rsidRDefault="0069437C" w:rsidP="0069437C">
            <w:pPr>
              <w:spacing w:line="240" w:lineRule="auto"/>
              <w:rPr>
                <w:rFonts w:ascii="Arial" w:hAnsi="Arial" w:cs="Arial"/>
                <w:sz w:val="20"/>
                <w:szCs w:val="20"/>
              </w:rPr>
            </w:pPr>
          </w:p>
          <w:p w14:paraId="442E018C" w14:textId="71457C1C" w:rsidR="0069437C" w:rsidRPr="001A0F98" w:rsidRDefault="0069437C" w:rsidP="00A96DE6">
            <w:pPr>
              <w:rPr>
                <w:rFonts w:ascii="Arial" w:hAnsi="Arial" w:cs="Arial"/>
                <w:sz w:val="20"/>
                <w:szCs w:val="20"/>
              </w:rPr>
            </w:pPr>
            <w:r w:rsidRPr="001A0F98">
              <w:rPr>
                <w:rFonts w:ascii="Arial" w:hAnsi="Arial" w:cs="Arial"/>
                <w:b/>
                <w:sz w:val="20"/>
                <w:szCs w:val="20"/>
              </w:rPr>
              <w:t>BC Position:</w:t>
            </w:r>
            <w:r>
              <w:rPr>
                <w:rFonts w:ascii="Arial" w:hAnsi="Arial" w:cs="Arial"/>
                <w:b/>
                <w:sz w:val="20"/>
                <w:szCs w:val="20"/>
              </w:rPr>
              <w:br/>
            </w:r>
            <w:r>
              <w:rPr>
                <w:rFonts w:ascii="Arial" w:hAnsi="Arial" w:cs="Arial"/>
                <w:i/>
                <w:sz w:val="20"/>
                <w:szCs w:val="20"/>
              </w:rPr>
              <w:t xml:space="preserve">The BC supports this </w:t>
            </w:r>
            <w:r w:rsidR="00A96DE6">
              <w:rPr>
                <w:rFonts w:ascii="Arial" w:hAnsi="Arial" w:cs="Arial"/>
                <w:i/>
                <w:sz w:val="20"/>
                <w:szCs w:val="20"/>
              </w:rPr>
              <w:t>proactive approach to reducing the number of post-transfer disputes.</w:t>
            </w:r>
            <w:r>
              <w:rPr>
                <w:rFonts w:ascii="Arial" w:hAnsi="Arial" w:cs="Arial"/>
                <w:i/>
                <w:sz w:val="20"/>
                <w:szCs w:val="20"/>
              </w:rPr>
              <w:t xml:space="preserve">   </w:t>
            </w:r>
            <w:r>
              <w:rPr>
                <w:rFonts w:ascii="Arial" w:hAnsi="Arial" w:cs="Arial"/>
                <w:sz w:val="20"/>
                <w:szCs w:val="20"/>
              </w:rPr>
              <w:t xml:space="preserve">  </w:t>
            </w:r>
            <w:r w:rsidRPr="00730BAD">
              <w:rPr>
                <w:rFonts w:ascii="Arial" w:hAnsi="Arial" w:cs="Arial"/>
                <w:sz w:val="20"/>
                <w:szCs w:val="20"/>
              </w:rPr>
              <w:t xml:space="preserve"> </w:t>
            </w:r>
          </w:p>
        </w:tc>
      </w:tr>
      <w:tr w:rsidR="006E6292" w:rsidRPr="00AA632F" w14:paraId="4A93BE52" w14:textId="77777777" w:rsidTr="006E6292">
        <w:trPr>
          <w:cantSplit/>
          <w:jc w:val="center"/>
        </w:trPr>
        <w:tc>
          <w:tcPr>
            <w:tcW w:w="11030" w:type="dxa"/>
            <w:gridSpan w:val="3"/>
            <w:shd w:val="clear" w:color="auto" w:fill="FFCC99"/>
            <w:vAlign w:val="center"/>
          </w:tcPr>
          <w:p w14:paraId="5B32E54E" w14:textId="7FC7071A" w:rsidR="006E6292" w:rsidRPr="006E6292" w:rsidRDefault="006E6292" w:rsidP="006E6292">
            <w:pPr>
              <w:pStyle w:val="NormalWeb"/>
              <w:spacing w:before="2" w:after="2"/>
              <w:rPr>
                <w:rFonts w:ascii="Calibri" w:hAnsi="Calibri"/>
                <w:b/>
                <w:sz w:val="22"/>
              </w:rPr>
            </w:pPr>
            <w:r w:rsidRPr="00F17FF8">
              <w:rPr>
                <w:rFonts w:ascii="Calibri" w:hAnsi="Calibri"/>
                <w:b/>
                <w:sz w:val="22"/>
              </w:rPr>
              <w:t>Issue C: Whether special provisions are needed for a change of registrant near a change of registrar. The policy does not currently deal with change of registrant, which often figures in hijacking cases</w:t>
            </w:r>
            <w:r>
              <w:rPr>
                <w:rFonts w:ascii="Calibri" w:hAnsi="Calibri"/>
                <w:b/>
                <w:sz w:val="22"/>
              </w:rPr>
              <w:t>.</w:t>
            </w:r>
          </w:p>
        </w:tc>
      </w:tr>
      <w:tr w:rsidR="000B51B4" w:rsidRPr="00AA632F" w14:paraId="48C9958E" w14:textId="77777777" w:rsidTr="00734628">
        <w:trPr>
          <w:cantSplit/>
          <w:jc w:val="center"/>
        </w:trPr>
        <w:tc>
          <w:tcPr>
            <w:tcW w:w="4735" w:type="dxa"/>
            <w:vAlign w:val="center"/>
          </w:tcPr>
          <w:p w14:paraId="3EB91593" w14:textId="3959006A" w:rsidR="000B51B4" w:rsidRPr="005C1231" w:rsidRDefault="000B51B4" w:rsidP="00691F7E">
            <w:pPr>
              <w:suppressAutoHyphens/>
              <w:spacing w:line="360" w:lineRule="auto"/>
              <w:rPr>
                <w:b/>
              </w:rPr>
            </w:pPr>
            <w:r>
              <w:rPr>
                <w:rFonts w:ascii="Calibri" w:hAnsi="Calibri"/>
                <w:b/>
              </w:rPr>
              <w:lastRenderedPageBreak/>
              <w:t>Request for comments regarding a lock following a change of registrant information:</w:t>
            </w:r>
          </w:p>
        </w:tc>
        <w:tc>
          <w:tcPr>
            <w:tcW w:w="1398" w:type="dxa"/>
            <w:vAlign w:val="center"/>
          </w:tcPr>
          <w:p w14:paraId="5D7D823D" w14:textId="2AE8F481" w:rsidR="000B51B4" w:rsidRPr="001A0F98" w:rsidRDefault="00BA3D4A" w:rsidP="00622713">
            <w:pPr>
              <w:jc w:val="center"/>
              <w:rPr>
                <w:sz w:val="20"/>
                <w:szCs w:val="20"/>
              </w:rPr>
            </w:pPr>
            <w:r>
              <w:rPr>
                <w:rFonts w:ascii="Calibri" w:eastAsia="Calibri" w:hAnsi="Calibri"/>
                <w:sz w:val="20"/>
                <w:szCs w:val="20"/>
              </w:rPr>
              <w:pict w14:anchorId="1A46D869">
                <v:shape id="_x0000_i1040" type="#_x0000_t75" style="width:15.35pt;height:14.65pt">
                  <v:imagedata r:id="rId32" o:title=""/>
                </v:shape>
              </w:pict>
            </w:r>
          </w:p>
        </w:tc>
        <w:tc>
          <w:tcPr>
            <w:tcW w:w="4897" w:type="dxa"/>
          </w:tcPr>
          <w:p w14:paraId="45F8C0B3" w14:textId="77777777" w:rsidR="000B51B4" w:rsidRPr="001A0F98" w:rsidRDefault="000B51B4" w:rsidP="00B47264">
            <w:pPr>
              <w:rPr>
                <w:rFonts w:ascii="Arial" w:hAnsi="Arial" w:cs="Arial"/>
                <w:sz w:val="20"/>
                <w:szCs w:val="20"/>
              </w:rPr>
            </w:pPr>
          </w:p>
          <w:p w14:paraId="73057C26" w14:textId="77777777" w:rsidR="000B51B4" w:rsidRPr="001A0F98" w:rsidRDefault="000B51B4" w:rsidP="00B47264">
            <w:pPr>
              <w:rPr>
                <w:rFonts w:ascii="Arial" w:hAnsi="Arial" w:cs="Arial"/>
                <w:b/>
                <w:sz w:val="20"/>
                <w:szCs w:val="20"/>
              </w:rPr>
            </w:pPr>
            <w:r>
              <w:rPr>
                <w:rFonts w:ascii="Arial" w:hAnsi="Arial" w:cs="Arial"/>
                <w:b/>
                <w:sz w:val="20"/>
                <w:szCs w:val="20"/>
              </w:rPr>
              <w:t>Comment:</w:t>
            </w:r>
          </w:p>
          <w:p w14:paraId="16354F07" w14:textId="72A53660" w:rsidR="000B51B4" w:rsidRDefault="000B51B4" w:rsidP="00B47264">
            <w:pPr>
              <w:spacing w:line="240" w:lineRule="auto"/>
              <w:rPr>
                <w:rFonts w:ascii="Calibri" w:hAnsi="Calibri"/>
              </w:rPr>
            </w:pPr>
            <w:r>
              <w:rPr>
                <w:rFonts w:ascii="Calibri" w:hAnsi="Calibri"/>
              </w:rPr>
              <w:t>Some registrars</w:t>
            </w:r>
            <w:r w:rsidRPr="00F17FF8">
              <w:rPr>
                <w:rFonts w:ascii="Calibri" w:hAnsi="Calibri"/>
              </w:rPr>
              <w:t xml:space="preserve"> lock a domain name registration for a </w:t>
            </w:r>
            <w:r w:rsidR="00B47264" w:rsidRPr="00F17FF8">
              <w:rPr>
                <w:rFonts w:ascii="Calibri" w:hAnsi="Calibri"/>
              </w:rPr>
              <w:t>sixty-day</w:t>
            </w:r>
            <w:r w:rsidRPr="00F17FF8">
              <w:rPr>
                <w:rFonts w:ascii="Calibri" w:hAnsi="Calibri"/>
              </w:rPr>
              <w:t xml:space="preserve"> period following a </w:t>
            </w:r>
            <w:r w:rsidRPr="000B51B4">
              <w:rPr>
                <w:rFonts w:ascii="Calibri" w:hAnsi="Calibri"/>
                <w:b/>
              </w:rPr>
              <w:t>change of registrant</w:t>
            </w:r>
            <w:r w:rsidRPr="00F17FF8">
              <w:rPr>
                <w:rFonts w:ascii="Calibri" w:hAnsi="Calibri"/>
              </w:rPr>
              <w:t xml:space="preserve"> to prevent hijacking and/or unauthorized transfer of a domain name registration. </w:t>
            </w:r>
            <w:r w:rsidR="00966C66">
              <w:rPr>
                <w:rFonts w:ascii="Calibri" w:hAnsi="Calibri"/>
              </w:rPr>
              <w:t xml:space="preserve"> It is useful to make </w:t>
            </w:r>
            <w:r w:rsidR="00966C66" w:rsidRPr="00F17FF8">
              <w:rPr>
                <w:rFonts w:ascii="Calibri" w:hAnsi="Calibri"/>
              </w:rPr>
              <w:t xml:space="preserve">the distinction between changes to </w:t>
            </w:r>
            <w:r w:rsidR="00966C66">
              <w:rPr>
                <w:rFonts w:ascii="Calibri" w:hAnsi="Calibri"/>
              </w:rPr>
              <w:t>WHOIS</w:t>
            </w:r>
            <w:r w:rsidR="00966C66" w:rsidRPr="00F17FF8">
              <w:rPr>
                <w:rFonts w:ascii="Calibri" w:hAnsi="Calibri"/>
              </w:rPr>
              <w:t xml:space="preserve"> information where the registrant simply updates the </w:t>
            </w:r>
            <w:r w:rsidR="00966C66">
              <w:rPr>
                <w:rFonts w:ascii="Calibri" w:hAnsi="Calibri"/>
              </w:rPr>
              <w:t>WHOIS</w:t>
            </w:r>
            <w:r w:rsidR="00966C66" w:rsidRPr="00F17FF8">
              <w:rPr>
                <w:rFonts w:ascii="Calibri" w:hAnsi="Calibri"/>
              </w:rPr>
              <w:t xml:space="preserve"> contact information (i.e., </w:t>
            </w:r>
            <w:r w:rsidR="00966C66" w:rsidRPr="00966C66">
              <w:rPr>
                <w:rFonts w:ascii="Calibri" w:hAnsi="Calibri"/>
                <w:b/>
              </w:rPr>
              <w:t>WHOIS Update</w:t>
            </w:r>
            <w:r w:rsidR="00966C66" w:rsidRPr="00F17FF8">
              <w:rPr>
                <w:rFonts w:ascii="Calibri" w:hAnsi="Calibri"/>
              </w:rPr>
              <w:t xml:space="preserve">) versus where </w:t>
            </w:r>
            <w:r w:rsidR="00966C66">
              <w:rPr>
                <w:rFonts w:ascii="Calibri" w:hAnsi="Calibri"/>
              </w:rPr>
              <w:t>WHOIS</w:t>
            </w:r>
            <w:r w:rsidR="00966C66" w:rsidRPr="00F17FF8">
              <w:rPr>
                <w:rFonts w:ascii="Calibri" w:hAnsi="Calibri"/>
              </w:rPr>
              <w:t xml:space="preserve"> information is updated as a result of the registered name holder being changed from an existing registrant A to a new registrant B (</w:t>
            </w:r>
            <w:r w:rsidR="00966C66" w:rsidRPr="00966C66">
              <w:rPr>
                <w:rFonts w:ascii="Calibri" w:hAnsi="Calibri"/>
                <w:b/>
              </w:rPr>
              <w:t>Registrant Change</w:t>
            </w:r>
            <w:r w:rsidR="00966C66" w:rsidRPr="00F17FF8">
              <w:rPr>
                <w:rFonts w:ascii="Calibri" w:hAnsi="Calibri"/>
              </w:rPr>
              <w:t>).</w:t>
            </w:r>
          </w:p>
          <w:p w14:paraId="4C35D4BC" w14:textId="77777777" w:rsidR="00966C66" w:rsidRDefault="00966C66" w:rsidP="00B47264">
            <w:pPr>
              <w:spacing w:line="240" w:lineRule="auto"/>
              <w:rPr>
                <w:rFonts w:ascii="Calibri" w:hAnsi="Calibri"/>
              </w:rPr>
            </w:pPr>
          </w:p>
          <w:p w14:paraId="482F0B09" w14:textId="3A1374C5" w:rsidR="00966C66" w:rsidRDefault="00966C66" w:rsidP="00B47264">
            <w:pPr>
              <w:spacing w:line="240" w:lineRule="auto"/>
              <w:rPr>
                <w:rFonts w:ascii="Calibri" w:hAnsi="Calibri"/>
              </w:rPr>
            </w:pPr>
            <w:r>
              <w:rPr>
                <w:rFonts w:ascii="Calibri" w:hAnsi="Calibri"/>
              </w:rPr>
              <w:t>The goal of this conversation is to determine whether there are ways to sho</w:t>
            </w:r>
            <w:r w:rsidR="00A92570">
              <w:rPr>
                <w:rFonts w:ascii="Calibri" w:hAnsi="Calibri"/>
              </w:rPr>
              <w:t xml:space="preserve">rt-circuit domain hijackers who use </w:t>
            </w:r>
            <w:r w:rsidR="006209F1">
              <w:rPr>
                <w:rFonts w:ascii="Calibri" w:hAnsi="Calibri"/>
              </w:rPr>
              <w:t>a series of</w:t>
            </w:r>
            <w:r w:rsidR="00A92570">
              <w:rPr>
                <w:rFonts w:ascii="Calibri" w:hAnsi="Calibri"/>
              </w:rPr>
              <w:t xml:space="preserve"> rapid domain-transfers</w:t>
            </w:r>
            <w:r w:rsidR="006209F1">
              <w:rPr>
                <w:rFonts w:ascii="Calibri" w:hAnsi="Calibri"/>
              </w:rPr>
              <w:t xml:space="preserve"> between multiple registrars</w:t>
            </w:r>
            <w:r w:rsidR="00A92570">
              <w:rPr>
                <w:rFonts w:ascii="Calibri" w:hAnsi="Calibri"/>
              </w:rPr>
              <w:t xml:space="preserve"> to frustrate the efforts of registrars and registrants to recover stolen names.</w:t>
            </w:r>
          </w:p>
          <w:p w14:paraId="56A7F87C" w14:textId="77777777" w:rsidR="00966C66" w:rsidRPr="001A0F98" w:rsidRDefault="00966C66" w:rsidP="00B47264">
            <w:pPr>
              <w:spacing w:line="240" w:lineRule="auto"/>
              <w:rPr>
                <w:rFonts w:ascii="Arial" w:hAnsi="Arial" w:cs="Arial"/>
                <w:sz w:val="20"/>
                <w:szCs w:val="20"/>
              </w:rPr>
            </w:pPr>
          </w:p>
          <w:p w14:paraId="73AE10C2" w14:textId="232F7940" w:rsidR="00966C66" w:rsidRDefault="000B51B4" w:rsidP="00966C66">
            <w:pPr>
              <w:rPr>
                <w:rFonts w:ascii="Arial" w:hAnsi="Arial" w:cs="Arial"/>
                <w:i/>
                <w:sz w:val="20"/>
                <w:szCs w:val="20"/>
              </w:rPr>
            </w:pPr>
            <w:r w:rsidRPr="001A0F98">
              <w:rPr>
                <w:rFonts w:ascii="Arial" w:hAnsi="Arial" w:cs="Arial"/>
                <w:b/>
                <w:sz w:val="20"/>
                <w:szCs w:val="20"/>
              </w:rPr>
              <w:t>BC Position:</w:t>
            </w:r>
            <w:r>
              <w:rPr>
                <w:rFonts w:ascii="Arial" w:hAnsi="Arial" w:cs="Arial"/>
                <w:b/>
                <w:sz w:val="20"/>
                <w:szCs w:val="20"/>
              </w:rPr>
              <w:br/>
            </w:r>
            <w:r>
              <w:rPr>
                <w:rFonts w:ascii="Arial" w:hAnsi="Arial" w:cs="Arial"/>
                <w:i/>
                <w:sz w:val="20"/>
                <w:szCs w:val="20"/>
              </w:rPr>
              <w:t xml:space="preserve">The BC supports </w:t>
            </w:r>
            <w:r w:rsidR="00966C66">
              <w:rPr>
                <w:rFonts w:ascii="Arial" w:hAnsi="Arial" w:cs="Arial"/>
                <w:i/>
                <w:sz w:val="20"/>
                <w:szCs w:val="20"/>
              </w:rPr>
              <w:t xml:space="preserve">requiring a lock after WHOIS information is updated </w:t>
            </w:r>
            <w:r w:rsidR="00A92570">
              <w:rPr>
                <w:rFonts w:ascii="Arial" w:hAnsi="Arial" w:cs="Arial"/>
                <w:i/>
                <w:sz w:val="20"/>
                <w:szCs w:val="20"/>
              </w:rPr>
              <w:t>when</w:t>
            </w:r>
            <w:r w:rsidR="00966C66">
              <w:rPr>
                <w:rFonts w:ascii="Arial" w:hAnsi="Arial" w:cs="Arial"/>
                <w:i/>
                <w:sz w:val="20"/>
                <w:szCs w:val="20"/>
              </w:rPr>
              <w:t xml:space="preserve"> that update effects a change of registrant.  The BC defers to registrars when it comes to specifying how long this interval should be, but would suggest something on the order of 60 days as a starting point for discussion.</w:t>
            </w:r>
          </w:p>
          <w:p w14:paraId="77C5E36D" w14:textId="77777777" w:rsidR="00966C66" w:rsidRDefault="00966C66" w:rsidP="00966C66">
            <w:pPr>
              <w:rPr>
                <w:rFonts w:ascii="Arial" w:hAnsi="Arial" w:cs="Arial"/>
                <w:i/>
                <w:sz w:val="20"/>
                <w:szCs w:val="20"/>
              </w:rPr>
            </w:pPr>
          </w:p>
          <w:p w14:paraId="32FA5632" w14:textId="0DC690DF" w:rsidR="00966C66" w:rsidRPr="00966C66" w:rsidRDefault="00966C66" w:rsidP="00A92570">
            <w:pPr>
              <w:spacing w:line="240" w:lineRule="auto"/>
              <w:rPr>
                <w:rFonts w:ascii="Arial" w:hAnsi="Arial" w:cs="Arial"/>
                <w:i/>
                <w:sz w:val="20"/>
                <w:szCs w:val="20"/>
              </w:rPr>
            </w:pPr>
            <w:r w:rsidRPr="00966C66">
              <w:rPr>
                <w:rFonts w:ascii="Arial" w:hAnsi="Arial" w:cs="Arial"/>
                <w:i/>
                <w:sz w:val="20"/>
                <w:szCs w:val="20"/>
              </w:rPr>
              <w:t xml:space="preserve">The BC also supports prohibiting </w:t>
            </w:r>
            <w:r w:rsidRPr="00966C66">
              <w:rPr>
                <w:rFonts w:ascii="Calibri" w:hAnsi="Calibri"/>
                <w:i/>
              </w:rPr>
              <w:t>a transfer of a domain name registration for 60-days following a transfer</w:t>
            </w:r>
            <w:r w:rsidR="00A92570">
              <w:rPr>
                <w:rFonts w:ascii="Calibri" w:hAnsi="Calibri"/>
                <w:i/>
              </w:rPr>
              <w:t>,</w:t>
            </w:r>
            <w:r w:rsidRPr="00966C66">
              <w:rPr>
                <w:rFonts w:ascii="Calibri" w:hAnsi="Calibri"/>
                <w:i/>
              </w:rPr>
              <w:t xml:space="preserve"> which is </w:t>
            </w:r>
            <w:r w:rsidR="00A92570">
              <w:rPr>
                <w:rFonts w:ascii="Calibri" w:hAnsi="Calibri"/>
                <w:i/>
              </w:rPr>
              <w:t xml:space="preserve">currently </w:t>
            </w:r>
            <w:r w:rsidRPr="00966C66">
              <w:rPr>
                <w:rFonts w:ascii="Calibri" w:hAnsi="Calibri"/>
                <w:i/>
              </w:rPr>
              <w:t xml:space="preserve">an </w:t>
            </w:r>
            <w:r w:rsidR="00A92570" w:rsidRPr="00A92570">
              <w:rPr>
                <w:rFonts w:ascii="Calibri" w:hAnsi="Calibri"/>
                <w:b/>
                <w:i/>
              </w:rPr>
              <w:t>option</w:t>
            </w:r>
            <w:r w:rsidRPr="00966C66">
              <w:rPr>
                <w:rFonts w:ascii="Calibri" w:hAnsi="Calibri"/>
                <w:i/>
              </w:rPr>
              <w:t xml:space="preserve"> under reason of denial #9 in the IRTP</w:t>
            </w:r>
            <w:r w:rsidR="00A92570">
              <w:rPr>
                <w:rFonts w:ascii="Calibri" w:hAnsi="Calibri"/>
                <w:i/>
              </w:rPr>
              <w:t>.</w:t>
            </w:r>
          </w:p>
        </w:tc>
      </w:tr>
      <w:tr w:rsidR="006E6292" w:rsidRPr="00AA632F" w14:paraId="4E6AA2FF" w14:textId="77777777" w:rsidTr="00657D9E">
        <w:trPr>
          <w:cantSplit/>
          <w:jc w:val="center"/>
        </w:trPr>
        <w:tc>
          <w:tcPr>
            <w:tcW w:w="4735" w:type="dxa"/>
            <w:tcBorders>
              <w:bottom w:val="single" w:sz="4" w:space="0" w:color="auto"/>
            </w:tcBorders>
            <w:vAlign w:val="center"/>
          </w:tcPr>
          <w:p w14:paraId="4D6D49F2" w14:textId="77777777" w:rsidR="006E6292" w:rsidRDefault="006E6292" w:rsidP="00691F7E">
            <w:pPr>
              <w:suppressAutoHyphens/>
              <w:spacing w:line="360" w:lineRule="auto"/>
              <w:rPr>
                <w:rFonts w:ascii="Calibri" w:hAnsi="Calibri"/>
              </w:rPr>
            </w:pPr>
            <w:r w:rsidRPr="005C1231">
              <w:rPr>
                <w:rFonts w:ascii="Calibri" w:hAnsi="Calibri"/>
                <w:b/>
              </w:rPr>
              <w:lastRenderedPageBreak/>
              <w:t>Recommendation #6:</w:t>
            </w:r>
            <w:r>
              <w:rPr>
                <w:rFonts w:ascii="Calibri" w:hAnsi="Calibri"/>
              </w:rPr>
              <w:t xml:space="preserve"> The WG </w:t>
            </w:r>
            <w:r w:rsidRPr="00DB1975">
              <w:rPr>
                <w:rFonts w:ascii="Calibri" w:hAnsi="Calibri"/>
              </w:rPr>
              <w:t xml:space="preserve">recommends that </w:t>
            </w:r>
            <w:r>
              <w:rPr>
                <w:rFonts w:ascii="Calibri" w:hAnsi="Calibri"/>
              </w:rPr>
              <w:t>[IRTP]</w:t>
            </w:r>
            <w:r w:rsidRPr="00DB1975">
              <w:rPr>
                <w:rFonts w:ascii="Calibri" w:hAnsi="Calibri"/>
              </w:rPr>
              <w:t xml:space="preserve"> language </w:t>
            </w:r>
            <w:r>
              <w:rPr>
                <w:rFonts w:ascii="Calibri" w:hAnsi="Calibri"/>
              </w:rPr>
              <w:t>[be]</w:t>
            </w:r>
            <w:r w:rsidRPr="00DB1975">
              <w:rPr>
                <w:rFonts w:ascii="Calibri" w:hAnsi="Calibri"/>
              </w:rPr>
              <w:t xml:space="preserve"> expanded and clarified to tailor it more to explicitly address registrar-specific (i.e. non-EPP) locks in order to make it clear that the registrant must give some sort of informed opt-in express consent to having such a lock applied, and the registrant must be able to have the lock removed upon reasonable notice and authentication.</w:t>
            </w:r>
          </w:p>
          <w:p w14:paraId="36D499DB" w14:textId="77777777" w:rsidR="00657D9E" w:rsidRDefault="00657D9E" w:rsidP="00691F7E">
            <w:pPr>
              <w:suppressAutoHyphens/>
              <w:spacing w:line="360" w:lineRule="auto"/>
              <w:rPr>
                <w:rFonts w:ascii="Calibri" w:hAnsi="Calibri"/>
              </w:rPr>
            </w:pPr>
          </w:p>
          <w:p w14:paraId="36E01286" w14:textId="5E55B6E5" w:rsidR="00657D9E" w:rsidRPr="000621CC" w:rsidRDefault="00657D9E" w:rsidP="00691F7E">
            <w:pPr>
              <w:suppressAutoHyphens/>
              <w:spacing w:line="360" w:lineRule="auto"/>
              <w:rPr>
                <w:b/>
              </w:rPr>
            </w:pPr>
            <w:r>
              <w:rPr>
                <w:rFonts w:ascii="Calibri" w:hAnsi="Calibri"/>
              </w:rPr>
              <w:t>Specifically, the WG recommends that denial reason #6 be modified to read as follows: “</w:t>
            </w:r>
            <w:r w:rsidRPr="003C4B8F">
              <w:rPr>
                <w:rFonts w:ascii="Calibri" w:hAnsi="Calibri"/>
              </w:rPr>
              <w:t>Express objection to the transfer by the Transfer Contact.</w:t>
            </w:r>
            <w:r>
              <w:rPr>
                <w:rFonts w:ascii="Calibri" w:hAnsi="Calibri"/>
              </w:rPr>
              <w:t xml:space="preserve"> </w:t>
            </w:r>
            <w:r w:rsidRPr="003C4B8F">
              <w:rPr>
                <w:rFonts w:ascii="Calibri" w:hAnsi="Calibri"/>
              </w:rPr>
              <w:t>Objection could take the form of specific request (either by paper or</w:t>
            </w:r>
            <w:r>
              <w:rPr>
                <w:rFonts w:ascii="Calibri" w:hAnsi="Calibri"/>
              </w:rPr>
              <w:t xml:space="preserve"> </w:t>
            </w:r>
            <w:r w:rsidRPr="003C4B8F">
              <w:rPr>
                <w:rFonts w:ascii="Calibri" w:hAnsi="Calibri"/>
              </w:rPr>
              <w:t>electronic means) by the Transfer Contact to deny a particular transfer</w:t>
            </w:r>
            <w:r>
              <w:rPr>
                <w:rFonts w:ascii="Calibri" w:hAnsi="Calibri"/>
              </w:rPr>
              <w:t xml:space="preserve"> </w:t>
            </w:r>
            <w:r w:rsidRPr="003C4B8F">
              <w:rPr>
                <w:rFonts w:ascii="Calibri" w:hAnsi="Calibri"/>
              </w:rPr>
              <w:t>request, or a general objection to all transfer requests received by the</w:t>
            </w:r>
            <w:r>
              <w:rPr>
                <w:rFonts w:ascii="Calibri" w:hAnsi="Calibri"/>
              </w:rPr>
              <w:t xml:space="preserve"> </w:t>
            </w:r>
            <w:r w:rsidRPr="003C4B8F">
              <w:rPr>
                <w:rFonts w:ascii="Calibri" w:hAnsi="Calibri"/>
              </w:rPr>
              <w:t>Registrar, either temporarily or indefinitely. In all cases, the</w:t>
            </w:r>
            <w:r>
              <w:rPr>
                <w:rFonts w:ascii="Calibri" w:hAnsi="Calibri"/>
              </w:rPr>
              <w:t xml:space="preserve"> </w:t>
            </w:r>
            <w:r w:rsidRPr="003C4B8F">
              <w:rPr>
                <w:rFonts w:ascii="Calibri" w:hAnsi="Calibri"/>
              </w:rPr>
              <w:t>objection must be provided with the express and informed consent of the</w:t>
            </w:r>
            <w:r>
              <w:rPr>
                <w:rFonts w:ascii="Calibri" w:hAnsi="Calibri"/>
              </w:rPr>
              <w:t xml:space="preserve"> </w:t>
            </w:r>
            <w:r w:rsidRPr="003C4B8F">
              <w:rPr>
                <w:rFonts w:ascii="Calibri" w:hAnsi="Calibri"/>
              </w:rPr>
              <w:t>Transfer Contact on an opt-in basis</w:t>
            </w:r>
            <w:r>
              <w:rPr>
                <w:rFonts w:ascii="Calibri" w:hAnsi="Calibri"/>
              </w:rPr>
              <w:t xml:space="preserve"> </w:t>
            </w:r>
            <w:r w:rsidRPr="007A6F27">
              <w:rPr>
                <w:rFonts w:ascii="Calibri" w:hAnsi="Calibri"/>
              </w:rPr>
              <w:t>and upon request by the Transfer Contact, the Registrar must remove the lock or provide a reasonably accessible method for the Transfer Contact to remove the lock within five (5) calendar days</w:t>
            </w:r>
            <w:r w:rsidRPr="003C4B8F">
              <w:rPr>
                <w:rFonts w:ascii="Calibri" w:hAnsi="Calibri"/>
              </w:rPr>
              <w:t>.</w:t>
            </w:r>
            <w:r>
              <w:rPr>
                <w:rFonts w:ascii="Calibri" w:hAnsi="Calibri"/>
              </w:rPr>
              <w:t>”</w:t>
            </w:r>
          </w:p>
        </w:tc>
        <w:tc>
          <w:tcPr>
            <w:tcW w:w="1398" w:type="dxa"/>
            <w:tcBorders>
              <w:bottom w:val="single" w:sz="4" w:space="0" w:color="auto"/>
            </w:tcBorders>
            <w:vAlign w:val="center"/>
          </w:tcPr>
          <w:p w14:paraId="4D336BB5" w14:textId="56F80E83" w:rsidR="006E6292" w:rsidRPr="001A0F98" w:rsidRDefault="00BA3D4A" w:rsidP="00622713">
            <w:pPr>
              <w:jc w:val="center"/>
              <w:rPr>
                <w:sz w:val="20"/>
                <w:szCs w:val="20"/>
              </w:rPr>
            </w:pPr>
            <w:r>
              <w:rPr>
                <w:rFonts w:ascii="Calibri" w:eastAsia="Calibri" w:hAnsi="Calibri"/>
                <w:sz w:val="20"/>
                <w:szCs w:val="20"/>
              </w:rPr>
              <w:pict w14:anchorId="0858EFE6">
                <v:shape id="_x0000_i1041" type="#_x0000_t75" style="width:15.35pt;height:14.65pt">
                  <v:imagedata r:id="rId33" o:title=""/>
                </v:shape>
              </w:pict>
            </w:r>
          </w:p>
        </w:tc>
        <w:tc>
          <w:tcPr>
            <w:tcW w:w="4897" w:type="dxa"/>
            <w:tcBorders>
              <w:bottom w:val="single" w:sz="4" w:space="0" w:color="auto"/>
            </w:tcBorders>
          </w:tcPr>
          <w:p w14:paraId="0551AE21" w14:textId="77777777" w:rsidR="006E6292" w:rsidRPr="001A0F98" w:rsidRDefault="006E6292" w:rsidP="006E6292">
            <w:pPr>
              <w:rPr>
                <w:rFonts w:ascii="Arial" w:hAnsi="Arial" w:cs="Arial"/>
                <w:sz w:val="20"/>
                <w:szCs w:val="20"/>
              </w:rPr>
            </w:pPr>
          </w:p>
          <w:p w14:paraId="2991E91A" w14:textId="77777777" w:rsidR="006E6292" w:rsidRPr="001A0F98" w:rsidRDefault="006E6292" w:rsidP="006E6292">
            <w:pPr>
              <w:rPr>
                <w:rFonts w:ascii="Arial" w:hAnsi="Arial" w:cs="Arial"/>
                <w:b/>
                <w:sz w:val="20"/>
                <w:szCs w:val="20"/>
              </w:rPr>
            </w:pPr>
            <w:r>
              <w:rPr>
                <w:rFonts w:ascii="Arial" w:hAnsi="Arial" w:cs="Arial"/>
                <w:b/>
                <w:sz w:val="20"/>
                <w:szCs w:val="20"/>
              </w:rPr>
              <w:t>Comment:</w:t>
            </w:r>
          </w:p>
          <w:p w14:paraId="5525D8A0" w14:textId="77777777" w:rsidR="00D12EB1" w:rsidRDefault="006E6292" w:rsidP="006E6292">
            <w:pPr>
              <w:spacing w:line="240" w:lineRule="auto"/>
              <w:rPr>
                <w:rFonts w:ascii="Calibri" w:hAnsi="Calibri"/>
              </w:rPr>
            </w:pPr>
            <w:r>
              <w:rPr>
                <w:rFonts w:ascii="Calibri" w:hAnsi="Calibri"/>
              </w:rPr>
              <w:t xml:space="preserve">There is an important distinction between locks on domain names that are consistent across all registrars in a TLD (locks supported by the registry’s implementation of the Extended Provisioning Protocol or EPP), and those locks that are unique to a given registrar (non-EPP locks).  </w:t>
            </w:r>
          </w:p>
          <w:p w14:paraId="62695085" w14:textId="77777777" w:rsidR="00D12EB1" w:rsidRDefault="00D12EB1" w:rsidP="006E6292">
            <w:pPr>
              <w:spacing w:line="240" w:lineRule="auto"/>
              <w:rPr>
                <w:rFonts w:ascii="Calibri" w:hAnsi="Calibri"/>
              </w:rPr>
            </w:pPr>
          </w:p>
          <w:p w14:paraId="68D181D3" w14:textId="0CD21583" w:rsidR="006E6292" w:rsidRDefault="00D12EB1" w:rsidP="006E6292">
            <w:pPr>
              <w:spacing w:line="240" w:lineRule="auto"/>
              <w:rPr>
                <w:rFonts w:ascii="Calibri" w:hAnsi="Calibri"/>
              </w:rPr>
            </w:pPr>
            <w:r>
              <w:rPr>
                <w:rFonts w:ascii="Calibri" w:hAnsi="Calibri"/>
              </w:rPr>
              <w:t>The</w:t>
            </w:r>
            <w:r w:rsidR="006E6292">
              <w:rPr>
                <w:rFonts w:ascii="Calibri" w:hAnsi="Calibri"/>
              </w:rPr>
              <w:t xml:space="preserve"> current IRTP is unclear how these non-E</w:t>
            </w:r>
            <w:r>
              <w:rPr>
                <w:rFonts w:ascii="Calibri" w:hAnsi="Calibri"/>
              </w:rPr>
              <w:t>PP locks should be handled, which provides an opportunity for a registrar to prevent a registrant from transferring a domain away from that registrar by using a lock that is not clearly addressed by the IRTP.</w:t>
            </w:r>
          </w:p>
          <w:p w14:paraId="486E7902" w14:textId="77777777" w:rsidR="006E6292" w:rsidRPr="001A0F98" w:rsidRDefault="006E6292" w:rsidP="006E6292">
            <w:pPr>
              <w:spacing w:line="240" w:lineRule="auto"/>
              <w:rPr>
                <w:rFonts w:ascii="Arial" w:hAnsi="Arial" w:cs="Arial"/>
                <w:sz w:val="20"/>
                <w:szCs w:val="20"/>
              </w:rPr>
            </w:pPr>
          </w:p>
          <w:p w14:paraId="1733439C" w14:textId="77777777" w:rsidR="00D12EB1" w:rsidRDefault="006E6292" w:rsidP="006E6292">
            <w:pPr>
              <w:rPr>
                <w:rFonts w:ascii="Arial" w:hAnsi="Arial" w:cs="Arial"/>
                <w:i/>
                <w:sz w:val="20"/>
                <w:szCs w:val="20"/>
              </w:rPr>
            </w:pPr>
            <w:r w:rsidRPr="001A0F98">
              <w:rPr>
                <w:rFonts w:ascii="Arial" w:hAnsi="Arial" w:cs="Arial"/>
                <w:b/>
                <w:sz w:val="20"/>
                <w:szCs w:val="20"/>
              </w:rPr>
              <w:t>BC Position:</w:t>
            </w:r>
            <w:r>
              <w:rPr>
                <w:rFonts w:ascii="Arial" w:hAnsi="Arial" w:cs="Arial"/>
                <w:b/>
                <w:sz w:val="20"/>
                <w:szCs w:val="20"/>
              </w:rPr>
              <w:br/>
            </w:r>
            <w:r w:rsidR="00D12EB1">
              <w:rPr>
                <w:rFonts w:ascii="Arial" w:hAnsi="Arial" w:cs="Arial"/>
                <w:i/>
                <w:sz w:val="20"/>
                <w:szCs w:val="20"/>
              </w:rPr>
              <w:t xml:space="preserve">The BC supports modifying the IRTP to close this gap in the policy.  </w:t>
            </w:r>
          </w:p>
          <w:p w14:paraId="6B098560" w14:textId="77777777" w:rsidR="00D12EB1" w:rsidRDefault="00D12EB1" w:rsidP="006E6292">
            <w:pPr>
              <w:rPr>
                <w:rFonts w:ascii="Arial" w:hAnsi="Arial" w:cs="Arial"/>
                <w:i/>
                <w:sz w:val="20"/>
                <w:szCs w:val="20"/>
              </w:rPr>
            </w:pPr>
          </w:p>
          <w:p w14:paraId="674E9A3A" w14:textId="566B11C5" w:rsidR="00D12EB1" w:rsidRDefault="00D12EB1" w:rsidP="006E6292">
            <w:pPr>
              <w:rPr>
                <w:rFonts w:ascii="Arial" w:hAnsi="Arial" w:cs="Arial"/>
                <w:i/>
                <w:sz w:val="20"/>
                <w:szCs w:val="20"/>
              </w:rPr>
            </w:pPr>
            <w:r>
              <w:rPr>
                <w:rFonts w:ascii="Arial" w:hAnsi="Arial" w:cs="Arial"/>
                <w:i/>
                <w:sz w:val="20"/>
                <w:szCs w:val="20"/>
              </w:rPr>
              <w:t>The BC supports the idea of splitting the current Denial Reason #6 into two.  The first would provide an express objection to a particular</w:t>
            </w:r>
            <w:r w:rsidR="008B5AC5">
              <w:rPr>
                <w:rFonts w:ascii="Arial" w:hAnsi="Arial" w:cs="Arial"/>
                <w:i/>
                <w:sz w:val="20"/>
                <w:szCs w:val="20"/>
              </w:rPr>
              <w:t xml:space="preserve"> transfer</w:t>
            </w:r>
            <w:r>
              <w:rPr>
                <w:rFonts w:ascii="Arial" w:hAnsi="Arial" w:cs="Arial"/>
                <w:i/>
                <w:sz w:val="20"/>
                <w:szCs w:val="20"/>
              </w:rPr>
              <w:t>.  The second would provide a general indefinite lock to deny all transfer requests.</w:t>
            </w:r>
          </w:p>
          <w:p w14:paraId="61604581" w14:textId="77777777" w:rsidR="00D12EB1" w:rsidRDefault="00D12EB1" w:rsidP="006E6292">
            <w:pPr>
              <w:rPr>
                <w:rFonts w:ascii="Arial" w:hAnsi="Arial" w:cs="Arial"/>
                <w:i/>
                <w:sz w:val="20"/>
                <w:szCs w:val="20"/>
              </w:rPr>
            </w:pPr>
          </w:p>
          <w:p w14:paraId="48B7CE1A" w14:textId="19458462" w:rsidR="006E6292" w:rsidRPr="001A0F98" w:rsidRDefault="006E6292" w:rsidP="00657D9E">
            <w:pPr>
              <w:rPr>
                <w:rFonts w:ascii="Arial" w:hAnsi="Arial" w:cs="Arial"/>
                <w:sz w:val="20"/>
                <w:szCs w:val="20"/>
              </w:rPr>
            </w:pPr>
          </w:p>
        </w:tc>
      </w:tr>
      <w:tr w:rsidR="00657D9E" w:rsidRPr="00AA632F" w14:paraId="480EA6DC" w14:textId="77777777" w:rsidTr="00657D9E">
        <w:trPr>
          <w:cantSplit/>
          <w:jc w:val="center"/>
        </w:trPr>
        <w:tc>
          <w:tcPr>
            <w:tcW w:w="11030" w:type="dxa"/>
            <w:gridSpan w:val="3"/>
            <w:shd w:val="clear" w:color="auto" w:fill="FFCC99"/>
            <w:vAlign w:val="center"/>
          </w:tcPr>
          <w:p w14:paraId="301C484E" w14:textId="5EA35D72" w:rsidR="00657D9E" w:rsidRPr="00657D9E" w:rsidRDefault="00657D9E" w:rsidP="00657D9E">
            <w:pPr>
              <w:pStyle w:val="NormalWeb"/>
              <w:spacing w:before="2" w:after="2"/>
              <w:rPr>
                <w:rFonts w:ascii="Calibri" w:hAnsi="Calibri"/>
                <w:b/>
                <w:sz w:val="22"/>
              </w:rPr>
            </w:pPr>
            <w:r w:rsidRPr="00F17FF8">
              <w:rPr>
                <w:rFonts w:ascii="Calibri" w:hAnsi="Calibri"/>
                <w:b/>
                <w:sz w:val="22"/>
              </w:rPr>
              <w:t>Issue D: Whether standards or best practices should be implemented regarding use of Registrar Lock status (e.g., when it may/may not, should/should not be applied)</w:t>
            </w:r>
          </w:p>
        </w:tc>
      </w:tr>
      <w:tr w:rsidR="00657D9E" w:rsidRPr="00AA632F" w14:paraId="6A0282D2" w14:textId="77777777" w:rsidTr="00734628">
        <w:trPr>
          <w:cantSplit/>
          <w:jc w:val="center"/>
        </w:trPr>
        <w:tc>
          <w:tcPr>
            <w:tcW w:w="4735" w:type="dxa"/>
            <w:vAlign w:val="center"/>
          </w:tcPr>
          <w:p w14:paraId="6CB40551" w14:textId="24B57BEF" w:rsidR="00657D9E" w:rsidRDefault="00657D9E" w:rsidP="00691F7E">
            <w:pPr>
              <w:pStyle w:val="NormalWeb"/>
              <w:spacing w:line="360" w:lineRule="auto"/>
              <w:rPr>
                <w:rFonts w:ascii="Calibri" w:hAnsi="Calibri"/>
                <w:sz w:val="22"/>
                <w:szCs w:val="22"/>
              </w:rPr>
            </w:pPr>
            <w:r w:rsidRPr="00DB1975">
              <w:rPr>
                <w:rFonts w:ascii="Calibri" w:hAnsi="Calibri"/>
                <w:b/>
                <w:sz w:val="22"/>
                <w:szCs w:val="22"/>
              </w:rPr>
              <w:lastRenderedPageBreak/>
              <w:t>Recommendation #</w:t>
            </w:r>
            <w:r>
              <w:rPr>
                <w:rFonts w:ascii="Calibri" w:hAnsi="Calibri"/>
                <w:b/>
                <w:sz w:val="22"/>
                <w:szCs w:val="22"/>
              </w:rPr>
              <w:t>7</w:t>
            </w:r>
            <w:r w:rsidRPr="00DB1975">
              <w:rPr>
                <w:rFonts w:ascii="Calibri" w:hAnsi="Calibri"/>
                <w:sz w:val="22"/>
                <w:szCs w:val="22"/>
              </w:rPr>
              <w:t xml:space="preserve">: The WG recommends that if a review of the UDRP is conducted in the near future, the issue of requiring the locking of a domain name subject to UDRP proceedings </w:t>
            </w:r>
            <w:proofErr w:type="gramStart"/>
            <w:r w:rsidRPr="00DB1975">
              <w:rPr>
                <w:rFonts w:ascii="Calibri" w:hAnsi="Calibri"/>
                <w:sz w:val="22"/>
                <w:szCs w:val="22"/>
              </w:rPr>
              <w:t>is</w:t>
            </w:r>
            <w:proofErr w:type="gramEnd"/>
            <w:r w:rsidRPr="00DB1975">
              <w:rPr>
                <w:rFonts w:ascii="Calibri" w:hAnsi="Calibri"/>
                <w:sz w:val="22"/>
                <w:szCs w:val="22"/>
              </w:rPr>
              <w:t xml:space="preserve"> taken into consideration</w:t>
            </w:r>
            <w:r>
              <w:rPr>
                <w:rFonts w:ascii="Calibri" w:hAnsi="Calibri"/>
                <w:sz w:val="22"/>
                <w:szCs w:val="22"/>
              </w:rPr>
              <w:t>.</w:t>
            </w:r>
          </w:p>
          <w:p w14:paraId="6BFBEB86" w14:textId="77777777" w:rsidR="00657D9E" w:rsidRPr="000621CC" w:rsidRDefault="00657D9E" w:rsidP="00186C2A">
            <w:pPr>
              <w:suppressAutoHyphens/>
              <w:spacing w:line="360" w:lineRule="auto"/>
              <w:rPr>
                <w:b/>
              </w:rPr>
            </w:pPr>
          </w:p>
        </w:tc>
        <w:tc>
          <w:tcPr>
            <w:tcW w:w="1398" w:type="dxa"/>
            <w:vAlign w:val="center"/>
          </w:tcPr>
          <w:p w14:paraId="3A875A2F" w14:textId="504A9E5A" w:rsidR="00657D9E" w:rsidRPr="001A0F98" w:rsidRDefault="00BA3D4A" w:rsidP="00622713">
            <w:pPr>
              <w:jc w:val="center"/>
              <w:rPr>
                <w:sz w:val="20"/>
                <w:szCs w:val="20"/>
              </w:rPr>
            </w:pPr>
            <w:r>
              <w:rPr>
                <w:rFonts w:ascii="Calibri" w:eastAsia="Calibri" w:hAnsi="Calibri"/>
                <w:sz w:val="20"/>
                <w:szCs w:val="20"/>
              </w:rPr>
              <w:pict w14:anchorId="4C7F7224">
                <v:shape id="_x0000_i1042" type="#_x0000_t75" style="width:15.35pt;height:14.65pt">
                  <v:imagedata r:id="rId34" o:title=""/>
                </v:shape>
              </w:pict>
            </w:r>
          </w:p>
        </w:tc>
        <w:tc>
          <w:tcPr>
            <w:tcW w:w="4897" w:type="dxa"/>
          </w:tcPr>
          <w:p w14:paraId="59A9C347" w14:textId="77777777" w:rsidR="00657D9E" w:rsidRPr="001A0F98" w:rsidRDefault="00657D9E" w:rsidP="00657D9E">
            <w:pPr>
              <w:rPr>
                <w:rFonts w:ascii="Arial" w:hAnsi="Arial" w:cs="Arial"/>
                <w:sz w:val="20"/>
                <w:szCs w:val="20"/>
              </w:rPr>
            </w:pPr>
          </w:p>
          <w:p w14:paraId="60B559CD" w14:textId="77777777" w:rsidR="00657D9E" w:rsidRPr="001A0F98" w:rsidRDefault="00657D9E" w:rsidP="00657D9E">
            <w:pPr>
              <w:rPr>
                <w:rFonts w:ascii="Arial" w:hAnsi="Arial" w:cs="Arial"/>
                <w:b/>
                <w:sz w:val="20"/>
                <w:szCs w:val="20"/>
              </w:rPr>
            </w:pPr>
            <w:r>
              <w:rPr>
                <w:rFonts w:ascii="Arial" w:hAnsi="Arial" w:cs="Arial"/>
                <w:b/>
                <w:sz w:val="20"/>
                <w:szCs w:val="20"/>
              </w:rPr>
              <w:t>Comment:</w:t>
            </w:r>
          </w:p>
          <w:p w14:paraId="20EE10C2" w14:textId="35F78F2F" w:rsidR="00657D9E" w:rsidRDefault="00D9395C" w:rsidP="00657D9E">
            <w:pPr>
              <w:spacing w:line="240" w:lineRule="auto"/>
              <w:rPr>
                <w:rFonts w:ascii="Calibri" w:hAnsi="Calibri"/>
              </w:rPr>
            </w:pPr>
            <w:r>
              <w:rPr>
                <w:rFonts w:ascii="Calibri" w:hAnsi="Calibri"/>
              </w:rPr>
              <w:t xml:space="preserve">WIPO suggested locking a domain name during a UDRP dispute in their comments to the WG.  </w:t>
            </w:r>
          </w:p>
          <w:p w14:paraId="6805A16A" w14:textId="77777777" w:rsidR="00657D9E" w:rsidRPr="001A0F98" w:rsidRDefault="00657D9E" w:rsidP="00657D9E">
            <w:pPr>
              <w:spacing w:line="240" w:lineRule="auto"/>
              <w:rPr>
                <w:rFonts w:ascii="Arial" w:hAnsi="Arial" w:cs="Arial"/>
                <w:sz w:val="20"/>
                <w:szCs w:val="20"/>
              </w:rPr>
            </w:pPr>
          </w:p>
          <w:p w14:paraId="3851F101" w14:textId="77777777" w:rsidR="003B3BA0" w:rsidRDefault="00657D9E" w:rsidP="003B3BA0">
            <w:pPr>
              <w:rPr>
                <w:rFonts w:ascii="Arial" w:hAnsi="Arial" w:cs="Arial"/>
                <w:i/>
                <w:sz w:val="20"/>
                <w:szCs w:val="20"/>
              </w:rPr>
            </w:pPr>
            <w:r w:rsidRPr="001A0F98">
              <w:rPr>
                <w:rFonts w:ascii="Arial" w:hAnsi="Arial" w:cs="Arial"/>
                <w:b/>
                <w:sz w:val="20"/>
                <w:szCs w:val="20"/>
              </w:rPr>
              <w:t>BC Position:</w:t>
            </w:r>
            <w:r>
              <w:rPr>
                <w:rFonts w:ascii="Arial" w:hAnsi="Arial" w:cs="Arial"/>
                <w:b/>
                <w:sz w:val="20"/>
                <w:szCs w:val="20"/>
              </w:rPr>
              <w:br/>
            </w:r>
            <w:r>
              <w:rPr>
                <w:rFonts w:ascii="Arial" w:hAnsi="Arial" w:cs="Arial"/>
                <w:i/>
                <w:sz w:val="20"/>
                <w:szCs w:val="20"/>
              </w:rPr>
              <w:t xml:space="preserve">The BC supports </w:t>
            </w:r>
            <w:r w:rsidR="003B3BA0">
              <w:rPr>
                <w:rFonts w:ascii="Arial" w:hAnsi="Arial" w:cs="Arial"/>
                <w:i/>
                <w:sz w:val="20"/>
                <w:szCs w:val="20"/>
              </w:rPr>
              <w:t xml:space="preserve">this recommendation, and would also support elevating this recommendation from an optional “best practice” to a policy change that makes this kind of lock mandatory.  </w:t>
            </w:r>
          </w:p>
          <w:p w14:paraId="616D2871" w14:textId="77777777" w:rsidR="003B3BA0" w:rsidRDefault="003B3BA0" w:rsidP="003B3BA0">
            <w:pPr>
              <w:rPr>
                <w:rFonts w:ascii="Arial" w:hAnsi="Arial" w:cs="Arial"/>
                <w:i/>
                <w:sz w:val="20"/>
                <w:szCs w:val="20"/>
              </w:rPr>
            </w:pPr>
          </w:p>
          <w:p w14:paraId="759B8321" w14:textId="33B56AAB" w:rsidR="00657D9E" w:rsidRPr="003B3BA0" w:rsidRDefault="003B3BA0" w:rsidP="003B3BA0">
            <w:pPr>
              <w:rPr>
                <w:rFonts w:ascii="Arial" w:hAnsi="Arial" w:cs="Arial"/>
                <w:i/>
                <w:sz w:val="20"/>
                <w:szCs w:val="20"/>
              </w:rPr>
            </w:pPr>
            <w:r>
              <w:rPr>
                <w:rFonts w:ascii="Arial" w:hAnsi="Arial" w:cs="Arial"/>
                <w:i/>
                <w:sz w:val="20"/>
                <w:szCs w:val="20"/>
              </w:rPr>
              <w:t>The BC would also support proceeding with this policy change as a part of this PDP rather than waiting for the launch of a UDRP PDP that either may be some time off, or never launch at all.</w:t>
            </w:r>
          </w:p>
        </w:tc>
      </w:tr>
      <w:tr w:rsidR="003B3BA0" w:rsidRPr="00AA632F" w14:paraId="5B6FE47C" w14:textId="77777777" w:rsidTr="00734628">
        <w:trPr>
          <w:cantSplit/>
          <w:jc w:val="center"/>
        </w:trPr>
        <w:tc>
          <w:tcPr>
            <w:tcW w:w="4735" w:type="dxa"/>
            <w:vAlign w:val="center"/>
          </w:tcPr>
          <w:p w14:paraId="7D61999D" w14:textId="639CA7E1" w:rsidR="003B3BA0" w:rsidRPr="000621CC" w:rsidRDefault="003B3BA0" w:rsidP="00186C2A">
            <w:pPr>
              <w:suppressAutoHyphens/>
              <w:spacing w:line="360" w:lineRule="auto"/>
              <w:rPr>
                <w:b/>
              </w:rPr>
            </w:pPr>
            <w:r w:rsidRPr="00DB1975">
              <w:rPr>
                <w:rFonts w:ascii="Calibri" w:hAnsi="Calibri"/>
                <w:b/>
              </w:rPr>
              <w:t>Recommendation #</w:t>
            </w:r>
            <w:r>
              <w:rPr>
                <w:rFonts w:ascii="Calibri" w:hAnsi="Calibri"/>
                <w:b/>
              </w:rPr>
              <w:t>8</w:t>
            </w:r>
            <w:r w:rsidRPr="00DB1975">
              <w:rPr>
                <w:rFonts w:ascii="Calibri" w:hAnsi="Calibri"/>
              </w:rPr>
              <w:t>: The WG recommends standardizing and clarifying WHOIS status messages regarding Registrar Lock status.</w:t>
            </w:r>
          </w:p>
        </w:tc>
        <w:tc>
          <w:tcPr>
            <w:tcW w:w="1398" w:type="dxa"/>
            <w:vAlign w:val="center"/>
          </w:tcPr>
          <w:p w14:paraId="244F0862" w14:textId="052F2772" w:rsidR="003B3BA0" w:rsidRPr="001A0F98" w:rsidRDefault="00BA3D4A" w:rsidP="00622713">
            <w:pPr>
              <w:jc w:val="center"/>
              <w:rPr>
                <w:sz w:val="20"/>
                <w:szCs w:val="20"/>
              </w:rPr>
            </w:pPr>
            <w:r>
              <w:rPr>
                <w:rFonts w:ascii="Calibri" w:eastAsia="Calibri" w:hAnsi="Calibri"/>
                <w:sz w:val="20"/>
                <w:szCs w:val="20"/>
              </w:rPr>
              <w:pict w14:anchorId="5D4A4468">
                <v:shape id="_x0000_i1043" type="#_x0000_t75" style="width:15.35pt;height:14.65pt">
                  <v:imagedata r:id="rId35" o:title=""/>
                </v:shape>
              </w:pict>
            </w:r>
          </w:p>
        </w:tc>
        <w:tc>
          <w:tcPr>
            <w:tcW w:w="4897" w:type="dxa"/>
          </w:tcPr>
          <w:p w14:paraId="7D08F5D6" w14:textId="77777777" w:rsidR="003B3BA0" w:rsidRPr="001A0F98" w:rsidRDefault="003B3BA0" w:rsidP="003B3BA0">
            <w:pPr>
              <w:rPr>
                <w:rFonts w:ascii="Arial" w:hAnsi="Arial" w:cs="Arial"/>
                <w:sz w:val="20"/>
                <w:szCs w:val="20"/>
              </w:rPr>
            </w:pPr>
          </w:p>
          <w:p w14:paraId="5BCC0023" w14:textId="77777777" w:rsidR="003B3BA0" w:rsidRPr="001A0F98" w:rsidRDefault="003B3BA0" w:rsidP="003B3BA0">
            <w:pPr>
              <w:rPr>
                <w:rFonts w:ascii="Arial" w:hAnsi="Arial" w:cs="Arial"/>
                <w:b/>
                <w:sz w:val="20"/>
                <w:szCs w:val="20"/>
              </w:rPr>
            </w:pPr>
            <w:r>
              <w:rPr>
                <w:rFonts w:ascii="Arial" w:hAnsi="Arial" w:cs="Arial"/>
                <w:b/>
                <w:sz w:val="20"/>
                <w:szCs w:val="20"/>
              </w:rPr>
              <w:t>Comment:</w:t>
            </w:r>
          </w:p>
          <w:p w14:paraId="3C2E200C" w14:textId="522DE158" w:rsidR="003B3BA0" w:rsidRDefault="003B3BA0" w:rsidP="003B3BA0">
            <w:pPr>
              <w:spacing w:line="240" w:lineRule="auto"/>
              <w:rPr>
                <w:rFonts w:ascii="Calibri" w:hAnsi="Calibri"/>
              </w:rPr>
            </w:pPr>
            <w:r>
              <w:rPr>
                <w:rFonts w:ascii="Calibri" w:hAnsi="Calibri"/>
              </w:rPr>
              <w:t xml:space="preserve">Current WHOIS status messages vary quite a lot between registrars and registries which </w:t>
            </w:r>
            <w:proofErr w:type="gramStart"/>
            <w:r>
              <w:rPr>
                <w:rFonts w:ascii="Calibri" w:hAnsi="Calibri"/>
              </w:rPr>
              <w:t>is</w:t>
            </w:r>
            <w:proofErr w:type="gramEnd"/>
            <w:r>
              <w:rPr>
                <w:rFonts w:ascii="Calibri" w:hAnsi="Calibri"/>
              </w:rPr>
              <w:t xml:space="preserve"> confusing and causes operational headaches for registrants, registrar and registries. </w:t>
            </w:r>
          </w:p>
          <w:p w14:paraId="50904453" w14:textId="77777777" w:rsidR="003B3BA0" w:rsidRPr="001A0F98" w:rsidRDefault="003B3BA0" w:rsidP="003B3BA0">
            <w:pPr>
              <w:spacing w:line="240" w:lineRule="auto"/>
              <w:rPr>
                <w:rFonts w:ascii="Arial" w:hAnsi="Arial" w:cs="Arial"/>
                <w:sz w:val="20"/>
                <w:szCs w:val="20"/>
              </w:rPr>
            </w:pPr>
          </w:p>
          <w:p w14:paraId="07016442" w14:textId="452AD92A" w:rsidR="003B3BA0" w:rsidRPr="003B3BA0" w:rsidRDefault="003B3BA0" w:rsidP="00622713">
            <w:pPr>
              <w:rPr>
                <w:rFonts w:ascii="Arial" w:hAnsi="Arial" w:cs="Arial"/>
                <w:i/>
                <w:sz w:val="20"/>
                <w:szCs w:val="20"/>
              </w:rPr>
            </w:pPr>
            <w:r w:rsidRPr="001A0F98">
              <w:rPr>
                <w:rFonts w:ascii="Arial" w:hAnsi="Arial" w:cs="Arial"/>
                <w:b/>
                <w:sz w:val="20"/>
                <w:szCs w:val="20"/>
              </w:rPr>
              <w:t>BC Position:</w:t>
            </w:r>
            <w:r>
              <w:rPr>
                <w:rFonts w:ascii="Arial" w:hAnsi="Arial" w:cs="Arial"/>
                <w:b/>
                <w:sz w:val="20"/>
                <w:szCs w:val="20"/>
              </w:rPr>
              <w:br/>
            </w:r>
            <w:r>
              <w:rPr>
                <w:rFonts w:ascii="Arial" w:hAnsi="Arial" w:cs="Arial"/>
                <w:i/>
                <w:sz w:val="20"/>
                <w:szCs w:val="20"/>
              </w:rPr>
              <w:t xml:space="preserve">The BC supports this recommendation and notes that standardizing these messages would also improve the post-expiration domain name recovery process. </w:t>
            </w:r>
          </w:p>
        </w:tc>
      </w:tr>
      <w:tr w:rsidR="003B3BA0" w:rsidRPr="00AA632F" w14:paraId="2EE233A9" w14:textId="77777777" w:rsidTr="00734628">
        <w:trPr>
          <w:cantSplit/>
          <w:jc w:val="center"/>
        </w:trPr>
        <w:tc>
          <w:tcPr>
            <w:tcW w:w="4735" w:type="dxa"/>
            <w:vAlign w:val="center"/>
          </w:tcPr>
          <w:p w14:paraId="46403520" w14:textId="77777777" w:rsidR="003B3BA0" w:rsidRDefault="003B3BA0" w:rsidP="00691F7E">
            <w:pPr>
              <w:pStyle w:val="NormalWeb"/>
              <w:spacing w:line="360" w:lineRule="auto"/>
              <w:rPr>
                <w:rFonts w:ascii="Calibri" w:hAnsi="Calibri"/>
                <w:sz w:val="22"/>
                <w:szCs w:val="22"/>
              </w:rPr>
            </w:pPr>
            <w:r w:rsidRPr="009901BD">
              <w:rPr>
                <w:rFonts w:ascii="Calibri" w:hAnsi="Calibri"/>
                <w:b/>
                <w:sz w:val="22"/>
                <w:szCs w:val="22"/>
              </w:rPr>
              <w:lastRenderedPageBreak/>
              <w:t>Recommendation #</w:t>
            </w:r>
            <w:r>
              <w:rPr>
                <w:rFonts w:ascii="Calibri" w:hAnsi="Calibri"/>
                <w:b/>
                <w:sz w:val="22"/>
                <w:szCs w:val="22"/>
              </w:rPr>
              <w:t>9</w:t>
            </w:r>
            <w:r w:rsidRPr="00DB1975">
              <w:rPr>
                <w:rFonts w:ascii="Calibri" w:hAnsi="Calibri"/>
                <w:sz w:val="22"/>
                <w:szCs w:val="22"/>
              </w:rPr>
              <w:t xml:space="preserve">: The WG recommends deleting denial reason #7 as a valid reason for denial under section 3 of the IRTP as it is technically not possible to initiate a transfer for a domain name that is locked, and hence cannot be denied, making this denial reason obsolete. Instead </w:t>
            </w:r>
            <w:proofErr w:type="gramStart"/>
            <w:r w:rsidRPr="00DB1975">
              <w:rPr>
                <w:rFonts w:ascii="Calibri" w:hAnsi="Calibri"/>
                <w:sz w:val="22"/>
                <w:szCs w:val="22"/>
              </w:rPr>
              <w:t>denial reason #7 should be replaced by adding a new provision in a different section of the IRTP on when and how domains may be locked or unlocked</w:t>
            </w:r>
            <w:proofErr w:type="gramEnd"/>
            <w:r w:rsidRPr="00DB1975">
              <w:rPr>
                <w:rFonts w:ascii="Calibri" w:hAnsi="Calibri"/>
                <w:sz w:val="22"/>
                <w:szCs w:val="22"/>
              </w:rPr>
              <w:t xml:space="preserve">. The WG recommends that ICANN staff </w:t>
            </w:r>
            <w:proofErr w:type="gramStart"/>
            <w:r w:rsidRPr="00DB1975">
              <w:rPr>
                <w:rFonts w:ascii="Calibri" w:hAnsi="Calibri"/>
                <w:sz w:val="22"/>
                <w:szCs w:val="22"/>
              </w:rPr>
              <w:t>is</w:t>
            </w:r>
            <w:proofErr w:type="gramEnd"/>
            <w:r w:rsidRPr="00DB1975">
              <w:rPr>
                <w:rFonts w:ascii="Calibri" w:hAnsi="Calibri"/>
                <w:sz w:val="22"/>
                <w:szCs w:val="22"/>
              </w:rPr>
              <w:t xml:space="preserve"> asked to develop an implementation plan for community consideration including proposed changes to the IRTP to reflect this recommendation.</w:t>
            </w:r>
          </w:p>
          <w:p w14:paraId="73C1C435" w14:textId="77777777" w:rsidR="003B3BA0" w:rsidRPr="000621CC" w:rsidRDefault="003B3BA0" w:rsidP="00186C2A">
            <w:pPr>
              <w:suppressAutoHyphens/>
              <w:spacing w:line="360" w:lineRule="auto"/>
              <w:rPr>
                <w:b/>
              </w:rPr>
            </w:pPr>
          </w:p>
        </w:tc>
        <w:tc>
          <w:tcPr>
            <w:tcW w:w="1398" w:type="dxa"/>
            <w:vAlign w:val="center"/>
          </w:tcPr>
          <w:p w14:paraId="6B912095" w14:textId="4FD2F3C8" w:rsidR="003B3BA0" w:rsidRPr="001A0F98" w:rsidRDefault="00BA3D4A" w:rsidP="00622713">
            <w:pPr>
              <w:jc w:val="center"/>
              <w:rPr>
                <w:sz w:val="20"/>
                <w:szCs w:val="20"/>
              </w:rPr>
            </w:pPr>
            <w:r>
              <w:rPr>
                <w:rFonts w:ascii="Calibri" w:eastAsia="Calibri" w:hAnsi="Calibri"/>
                <w:sz w:val="20"/>
                <w:szCs w:val="20"/>
              </w:rPr>
              <w:pict w14:anchorId="53FDEF52">
                <v:shape id="_x0000_i1044" type="#_x0000_t75" style="width:15.35pt;height:14.65pt">
                  <v:imagedata r:id="rId36" o:title=""/>
                </v:shape>
              </w:pict>
            </w:r>
          </w:p>
        </w:tc>
        <w:tc>
          <w:tcPr>
            <w:tcW w:w="4897" w:type="dxa"/>
          </w:tcPr>
          <w:p w14:paraId="6ADF1512" w14:textId="77777777" w:rsidR="003B3BA0" w:rsidRPr="001A0F98" w:rsidRDefault="003B3BA0" w:rsidP="003B3BA0">
            <w:pPr>
              <w:rPr>
                <w:rFonts w:ascii="Arial" w:hAnsi="Arial" w:cs="Arial"/>
                <w:sz w:val="20"/>
                <w:szCs w:val="20"/>
              </w:rPr>
            </w:pPr>
          </w:p>
          <w:p w14:paraId="0B385671" w14:textId="77777777" w:rsidR="003B3BA0" w:rsidRPr="001A0F98" w:rsidRDefault="003B3BA0" w:rsidP="003B3BA0">
            <w:pPr>
              <w:rPr>
                <w:rFonts w:ascii="Arial" w:hAnsi="Arial" w:cs="Arial"/>
                <w:b/>
                <w:sz w:val="20"/>
                <w:szCs w:val="20"/>
              </w:rPr>
            </w:pPr>
            <w:r>
              <w:rPr>
                <w:rFonts w:ascii="Arial" w:hAnsi="Arial" w:cs="Arial"/>
                <w:b/>
                <w:sz w:val="20"/>
                <w:szCs w:val="20"/>
              </w:rPr>
              <w:t>Comment:</w:t>
            </w:r>
          </w:p>
          <w:p w14:paraId="0B58ED1E" w14:textId="60F173E0" w:rsidR="003B3BA0" w:rsidRDefault="003B3BA0" w:rsidP="003B3BA0">
            <w:pPr>
              <w:spacing w:line="240" w:lineRule="auto"/>
              <w:rPr>
                <w:rFonts w:ascii="Calibri" w:hAnsi="Calibri"/>
              </w:rPr>
            </w:pPr>
            <w:r>
              <w:rPr>
                <w:rFonts w:ascii="Calibri" w:hAnsi="Calibri"/>
              </w:rPr>
              <w:t xml:space="preserve">This is </w:t>
            </w:r>
            <w:r w:rsidR="00AA00FC">
              <w:rPr>
                <w:rFonts w:ascii="Calibri" w:hAnsi="Calibri"/>
              </w:rPr>
              <w:t>a recommendation to cure a logical impossibility in the current IRTP.</w:t>
            </w:r>
          </w:p>
          <w:p w14:paraId="6D8D56FC" w14:textId="77777777" w:rsidR="003B3BA0" w:rsidRPr="001A0F98" w:rsidRDefault="003B3BA0" w:rsidP="003B3BA0">
            <w:pPr>
              <w:spacing w:line="240" w:lineRule="auto"/>
              <w:rPr>
                <w:rFonts w:ascii="Arial" w:hAnsi="Arial" w:cs="Arial"/>
                <w:sz w:val="20"/>
                <w:szCs w:val="20"/>
              </w:rPr>
            </w:pPr>
          </w:p>
          <w:p w14:paraId="399BF3BC" w14:textId="0CC6D42E" w:rsidR="003B3BA0" w:rsidRPr="001A0F98" w:rsidRDefault="003B3BA0" w:rsidP="00AA00FC">
            <w:pPr>
              <w:rPr>
                <w:rFonts w:ascii="Arial" w:hAnsi="Arial" w:cs="Arial"/>
                <w:sz w:val="20"/>
                <w:szCs w:val="20"/>
              </w:rPr>
            </w:pPr>
            <w:r w:rsidRPr="001A0F98">
              <w:rPr>
                <w:rFonts w:ascii="Arial" w:hAnsi="Arial" w:cs="Arial"/>
                <w:b/>
                <w:sz w:val="20"/>
                <w:szCs w:val="20"/>
              </w:rPr>
              <w:t>BC Position:</w:t>
            </w:r>
            <w:r>
              <w:rPr>
                <w:rFonts w:ascii="Arial" w:hAnsi="Arial" w:cs="Arial"/>
                <w:b/>
                <w:sz w:val="20"/>
                <w:szCs w:val="20"/>
              </w:rPr>
              <w:br/>
            </w:r>
            <w:r>
              <w:rPr>
                <w:rFonts w:ascii="Arial" w:hAnsi="Arial" w:cs="Arial"/>
                <w:i/>
                <w:sz w:val="20"/>
                <w:szCs w:val="20"/>
              </w:rPr>
              <w:t xml:space="preserve">The BC supports this </w:t>
            </w:r>
            <w:r w:rsidR="00AA00FC">
              <w:rPr>
                <w:rFonts w:ascii="Arial" w:hAnsi="Arial" w:cs="Arial"/>
                <w:i/>
                <w:sz w:val="20"/>
                <w:szCs w:val="20"/>
              </w:rPr>
              <w:t>recommendation</w:t>
            </w:r>
            <w:r>
              <w:rPr>
                <w:rFonts w:ascii="Arial" w:hAnsi="Arial" w:cs="Arial"/>
                <w:i/>
                <w:sz w:val="20"/>
                <w:szCs w:val="20"/>
              </w:rPr>
              <w:t xml:space="preserve"> </w:t>
            </w:r>
          </w:p>
        </w:tc>
      </w:tr>
    </w:tbl>
    <w:p w14:paraId="30E60A9F" w14:textId="77777777" w:rsidR="004367CF" w:rsidRDefault="004367CF" w:rsidP="008B1093">
      <w:pPr>
        <w:rPr>
          <w:rFonts w:ascii="Arial" w:hAnsi="Arial" w:cs="Arial"/>
          <w:sz w:val="20"/>
          <w:szCs w:val="20"/>
        </w:rPr>
      </w:pPr>
    </w:p>
    <w:p w14:paraId="043247D0" w14:textId="77777777" w:rsidR="00E62020" w:rsidRDefault="00E62020" w:rsidP="008B1093">
      <w:pPr>
        <w:rPr>
          <w:rFonts w:ascii="Arial" w:hAnsi="Arial" w:cs="Arial"/>
          <w:sz w:val="20"/>
          <w:szCs w:val="20"/>
        </w:rPr>
      </w:pPr>
    </w:p>
    <w:p w14:paraId="17F9A612" w14:textId="77777777" w:rsidR="00E62020" w:rsidRDefault="00E62020">
      <w:pPr>
        <w:spacing w:line="240" w:lineRule="auto"/>
        <w:rPr>
          <w:rFonts w:ascii="Arial" w:hAnsi="Arial" w:cs="Arial"/>
          <w:sz w:val="20"/>
          <w:szCs w:val="20"/>
        </w:rPr>
      </w:pPr>
      <w:r>
        <w:rPr>
          <w:rFonts w:ascii="Arial" w:hAnsi="Arial" w:cs="Arial"/>
          <w:sz w:val="20"/>
          <w:szCs w:val="20"/>
        </w:rPr>
        <w:br w:type="page"/>
      </w:r>
    </w:p>
    <w:p w14:paraId="5F64BA28" w14:textId="4912F089" w:rsidR="00E62020" w:rsidRPr="004750FA" w:rsidRDefault="00E62020" w:rsidP="00E62020">
      <w:pPr>
        <w:pStyle w:val="BodyText2"/>
        <w:pBdr>
          <w:top w:val="single" w:sz="4" w:space="1" w:color="auto"/>
          <w:left w:val="single" w:sz="4" w:space="4" w:color="auto"/>
          <w:bottom w:val="single" w:sz="4" w:space="1" w:color="auto"/>
          <w:right w:val="single" w:sz="4" w:space="4" w:color="auto"/>
        </w:pBdr>
        <w:rPr>
          <w:b/>
          <w:bCs/>
          <w:color w:val="31849B" w:themeColor="accent5" w:themeShade="BF"/>
          <w:sz w:val="40"/>
          <w:szCs w:val="22"/>
        </w:rPr>
      </w:pPr>
      <w:r>
        <w:rPr>
          <w:b/>
          <w:bCs/>
          <w:color w:val="31849B" w:themeColor="accent5" w:themeShade="BF"/>
          <w:sz w:val="40"/>
          <w:szCs w:val="22"/>
        </w:rPr>
        <w:lastRenderedPageBreak/>
        <w:t>Conclusion</w:t>
      </w:r>
      <w:r w:rsidR="00AA00FC">
        <w:rPr>
          <w:b/>
          <w:bCs/>
          <w:color w:val="31849B" w:themeColor="accent5" w:themeShade="BF"/>
          <w:sz w:val="40"/>
          <w:szCs w:val="22"/>
        </w:rPr>
        <w:t xml:space="preserve"> and voting</w:t>
      </w:r>
      <w:r w:rsidRPr="004750FA">
        <w:rPr>
          <w:b/>
          <w:bCs/>
          <w:color w:val="31849B" w:themeColor="accent5" w:themeShade="BF"/>
          <w:sz w:val="40"/>
          <w:szCs w:val="22"/>
        </w:rPr>
        <w:t>:</w:t>
      </w:r>
    </w:p>
    <w:p w14:paraId="36468485" w14:textId="77777777" w:rsidR="00E62020" w:rsidRDefault="00E62020" w:rsidP="00E62020">
      <w:pPr>
        <w:rPr>
          <w:rFonts w:ascii="Arial" w:hAnsi="Arial" w:cs="Arial"/>
          <w:sz w:val="20"/>
          <w:szCs w:val="20"/>
        </w:rPr>
      </w:pPr>
    </w:p>
    <w:p w14:paraId="4A56C30C" w14:textId="56B38282" w:rsidR="00130B7B" w:rsidRDefault="00130B7B" w:rsidP="00130B7B">
      <w:pPr>
        <w:rPr>
          <w:rFonts w:ascii="Arial" w:hAnsi="Arial" w:cs="Arial"/>
          <w:sz w:val="20"/>
          <w:szCs w:val="20"/>
        </w:rPr>
      </w:pPr>
      <w:r>
        <w:rPr>
          <w:rFonts w:ascii="Arial" w:hAnsi="Arial" w:cs="Arial"/>
          <w:sz w:val="20"/>
          <w:szCs w:val="20"/>
        </w:rPr>
        <w:t xml:space="preserve">In summary, the BC takes the position that </w:t>
      </w:r>
      <w:r w:rsidR="00AA00FC">
        <w:rPr>
          <w:rFonts w:ascii="Arial" w:hAnsi="Arial" w:cs="Arial"/>
          <w:sz w:val="20"/>
          <w:szCs w:val="20"/>
        </w:rPr>
        <w:t>is broadly supportive of the working group.</w:t>
      </w:r>
    </w:p>
    <w:p w14:paraId="7D85904D" w14:textId="77777777" w:rsidR="00130B7B" w:rsidRDefault="00130B7B" w:rsidP="00130B7B">
      <w:pPr>
        <w:rPr>
          <w:rFonts w:ascii="Arial" w:hAnsi="Arial" w:cs="Arial"/>
          <w:sz w:val="20"/>
          <w:szCs w:val="20"/>
        </w:rPr>
      </w:pPr>
    </w:p>
    <w:p w14:paraId="07FDDE3A" w14:textId="77777777" w:rsidR="00130B7B" w:rsidRDefault="00130B7B" w:rsidP="00130B7B">
      <w:pPr>
        <w:rPr>
          <w:rFonts w:ascii="Arial" w:hAnsi="Arial" w:cs="Arial"/>
          <w:sz w:val="20"/>
          <w:szCs w:val="20"/>
        </w:rPr>
      </w:pPr>
    </w:p>
    <w:p w14:paraId="3142FB1D" w14:textId="77777777" w:rsidR="00130B7B" w:rsidRDefault="00130B7B" w:rsidP="00130B7B">
      <w:pPr>
        <w:rPr>
          <w:rFonts w:ascii="Arial" w:hAnsi="Arial" w:cs="Arial"/>
          <w:sz w:val="20"/>
          <w:szCs w:val="20"/>
        </w:rPr>
      </w:pPr>
    </w:p>
    <w:p w14:paraId="71A8492B" w14:textId="77777777" w:rsidR="00130B7B" w:rsidRDefault="00130B7B" w:rsidP="00130B7B">
      <w:pPr>
        <w:rPr>
          <w:rFonts w:ascii="Arial" w:hAnsi="Arial" w:cs="Arial"/>
          <w:sz w:val="20"/>
          <w:szCs w:val="20"/>
        </w:rPr>
      </w:pPr>
    </w:p>
    <w:p w14:paraId="600BFB51" w14:textId="77777777" w:rsidR="00130B7B" w:rsidRDefault="00130B7B" w:rsidP="00130B7B">
      <w:pPr>
        <w:rPr>
          <w:rFonts w:ascii="Arial" w:hAnsi="Arial" w:cs="Arial"/>
          <w:sz w:val="20"/>
          <w:szCs w:val="20"/>
        </w:rPr>
      </w:pPr>
    </w:p>
    <w:p w14:paraId="46B546A4" w14:textId="77777777" w:rsidR="00130B7B" w:rsidRDefault="00130B7B" w:rsidP="00130B7B">
      <w:pPr>
        <w:rPr>
          <w:rFonts w:ascii="Arial" w:hAnsi="Arial" w:cs="Arial"/>
          <w:sz w:val="20"/>
          <w:szCs w:val="20"/>
        </w:rPr>
      </w:pPr>
    </w:p>
    <w:p w14:paraId="3363D0DA" w14:textId="77777777" w:rsidR="00130B7B" w:rsidRDefault="00130B7B" w:rsidP="00130B7B">
      <w:pPr>
        <w:rPr>
          <w:rFonts w:ascii="Arial" w:hAnsi="Arial" w:cs="Arial"/>
          <w:b/>
          <w:sz w:val="20"/>
          <w:szCs w:val="20"/>
        </w:rPr>
      </w:pPr>
      <w:r w:rsidRPr="004916CD">
        <w:rPr>
          <w:rFonts w:ascii="Arial" w:hAnsi="Arial" w:cs="Arial"/>
          <w:b/>
          <w:sz w:val="20"/>
          <w:szCs w:val="20"/>
        </w:rPr>
        <w:t>Business Constituency Support Stats:</w:t>
      </w:r>
    </w:p>
    <w:p w14:paraId="17501BC8" w14:textId="77777777" w:rsidR="00130B7B" w:rsidRPr="00101E18" w:rsidRDefault="00130B7B" w:rsidP="00130B7B">
      <w:pPr>
        <w:pStyle w:val="ListParagraph"/>
        <w:numPr>
          <w:ilvl w:val="0"/>
          <w:numId w:val="34"/>
        </w:numPr>
        <w:rPr>
          <w:rFonts w:ascii="Arial" w:hAnsi="Arial" w:cs="Arial"/>
          <w:sz w:val="20"/>
          <w:szCs w:val="20"/>
        </w:rPr>
      </w:pPr>
      <w:r w:rsidRPr="00101E18">
        <w:rPr>
          <w:rFonts w:ascii="Arial" w:hAnsi="Arial" w:cs="Arial"/>
          <w:b/>
          <w:sz w:val="20"/>
          <w:szCs w:val="20"/>
        </w:rPr>
        <w:t>Position Statement author:</w:t>
      </w:r>
      <w:r w:rsidRPr="00101E18">
        <w:rPr>
          <w:rFonts w:ascii="Arial" w:hAnsi="Arial" w:cs="Arial"/>
          <w:sz w:val="20"/>
          <w:szCs w:val="20"/>
        </w:rPr>
        <w:t xml:space="preserve">  </w:t>
      </w:r>
      <w:r w:rsidR="001A0F98" w:rsidRPr="00101E18">
        <w:rPr>
          <w:rFonts w:ascii="Arial" w:hAnsi="Arial" w:cs="Arial"/>
          <w:sz w:val="20"/>
          <w:szCs w:val="20"/>
        </w:rPr>
        <w:t xml:space="preserve">Mike O’Conner </w:t>
      </w:r>
    </w:p>
    <w:p w14:paraId="7746804D" w14:textId="0959FF04" w:rsidR="00130B7B" w:rsidRDefault="00130B7B" w:rsidP="00130B7B">
      <w:pPr>
        <w:pStyle w:val="ListParagraph"/>
        <w:numPr>
          <w:ilvl w:val="0"/>
          <w:numId w:val="34"/>
        </w:numPr>
        <w:rPr>
          <w:rFonts w:ascii="Arial" w:hAnsi="Arial" w:cs="Arial"/>
          <w:sz w:val="20"/>
          <w:szCs w:val="20"/>
        </w:rPr>
      </w:pPr>
      <w:r w:rsidRPr="00101E18">
        <w:rPr>
          <w:rFonts w:ascii="Arial" w:hAnsi="Arial" w:cs="Arial"/>
          <w:b/>
          <w:sz w:val="20"/>
          <w:szCs w:val="20"/>
        </w:rPr>
        <w:t xml:space="preserve">BC Members on </w:t>
      </w:r>
      <w:r w:rsidR="00BA3D4A">
        <w:rPr>
          <w:rFonts w:ascii="Arial" w:hAnsi="Arial" w:cs="Arial"/>
          <w:b/>
          <w:sz w:val="20"/>
          <w:szCs w:val="20"/>
        </w:rPr>
        <w:t>IRTP</w:t>
      </w:r>
      <w:r w:rsidRPr="00101E18">
        <w:rPr>
          <w:rFonts w:ascii="Arial" w:hAnsi="Arial" w:cs="Arial"/>
          <w:b/>
          <w:sz w:val="20"/>
          <w:szCs w:val="20"/>
        </w:rPr>
        <w:t>:</w:t>
      </w:r>
      <w:r w:rsidR="001A0F98">
        <w:rPr>
          <w:rFonts w:ascii="Arial" w:hAnsi="Arial" w:cs="Arial"/>
          <w:sz w:val="20"/>
          <w:szCs w:val="20"/>
        </w:rPr>
        <w:t xml:space="preserve">  </w:t>
      </w:r>
    </w:p>
    <w:p w14:paraId="36189681" w14:textId="77777777" w:rsidR="00BA3D4A" w:rsidRDefault="00BA3D4A" w:rsidP="00BA3D4A">
      <w:pPr>
        <w:rPr>
          <w:rFonts w:ascii="Arial" w:hAnsi="Arial" w:cs="Arial"/>
          <w:sz w:val="20"/>
          <w:szCs w:val="20"/>
        </w:rPr>
      </w:pPr>
    </w:p>
    <w:tbl>
      <w:tblPr>
        <w:tblW w:w="0" w:type="auto"/>
        <w:jc w:val="center"/>
        <w:tblBorders>
          <w:top w:val="nil"/>
          <w:left w:val="nil"/>
          <w:right w:val="nil"/>
        </w:tblBorders>
        <w:tblLayout w:type="fixed"/>
        <w:tblLook w:val="0000" w:firstRow="0" w:lastRow="0" w:firstColumn="0" w:lastColumn="0" w:noHBand="0" w:noVBand="0"/>
      </w:tblPr>
      <w:tblGrid>
        <w:gridCol w:w="3320"/>
        <w:gridCol w:w="1300"/>
        <w:gridCol w:w="2125"/>
      </w:tblGrid>
      <w:tr w:rsidR="00BA3D4A" w:rsidRPr="00F17FF8" w14:paraId="56B2B296" w14:textId="77777777" w:rsidTr="0054575E">
        <w:tblPrEx>
          <w:tblCellMar>
            <w:top w:w="0" w:type="dxa"/>
            <w:bottom w:w="0" w:type="dxa"/>
          </w:tblCellMar>
        </w:tblPrEx>
        <w:trPr>
          <w:jc w:val="center"/>
        </w:trPr>
        <w:tc>
          <w:tcPr>
            <w:tcW w:w="332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42A6FE4" w14:textId="77777777" w:rsidR="00BA3D4A" w:rsidRPr="00F17FF8" w:rsidRDefault="00BA3D4A" w:rsidP="0054575E">
            <w:pPr>
              <w:widowControl w:val="0"/>
              <w:autoSpaceDE w:val="0"/>
              <w:autoSpaceDN w:val="0"/>
              <w:adjustRightInd w:val="0"/>
              <w:spacing w:line="300" w:lineRule="atLeast"/>
              <w:rPr>
                <w:rFonts w:cs="Verdana"/>
                <w:szCs w:val="24"/>
              </w:rPr>
            </w:pPr>
            <w:r w:rsidRPr="00F17FF8">
              <w:rPr>
                <w:rFonts w:cs="Verdana"/>
                <w:b/>
                <w:bCs/>
                <w:szCs w:val="24"/>
              </w:rPr>
              <w:t>Name</w:t>
            </w:r>
          </w:p>
        </w:tc>
        <w:tc>
          <w:tcPr>
            <w:tcW w:w="13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B13580B" w14:textId="77777777" w:rsidR="00BA3D4A" w:rsidRPr="00F17FF8" w:rsidRDefault="00BA3D4A" w:rsidP="0054575E">
            <w:pPr>
              <w:widowControl w:val="0"/>
              <w:autoSpaceDE w:val="0"/>
              <w:autoSpaceDN w:val="0"/>
              <w:adjustRightInd w:val="0"/>
              <w:spacing w:line="300" w:lineRule="atLeast"/>
              <w:rPr>
                <w:rFonts w:cs="Verdana"/>
                <w:szCs w:val="24"/>
              </w:rPr>
            </w:pPr>
            <w:r w:rsidRPr="00F17FF8">
              <w:rPr>
                <w:rFonts w:cs="Verdana"/>
                <w:b/>
                <w:bCs/>
                <w:szCs w:val="24"/>
              </w:rPr>
              <w:t>Affiliation</w:t>
            </w:r>
            <w:r>
              <w:rPr>
                <w:rFonts w:cs="Verdana"/>
                <w:b/>
                <w:bCs/>
                <w:szCs w:val="24"/>
              </w:rPr>
              <w:t>*</w:t>
            </w:r>
          </w:p>
        </w:tc>
        <w:tc>
          <w:tcPr>
            <w:tcW w:w="2125" w:type="dxa"/>
            <w:tcBorders>
              <w:top w:val="single" w:sz="8" w:space="0" w:color="000000"/>
              <w:left w:val="single" w:sz="8" w:space="0" w:color="000000"/>
              <w:bottom w:val="single" w:sz="8" w:space="0" w:color="000000"/>
              <w:right w:val="single" w:sz="8" w:space="0" w:color="000000"/>
            </w:tcBorders>
          </w:tcPr>
          <w:p w14:paraId="20256C26" w14:textId="77777777" w:rsidR="00BA3D4A" w:rsidRPr="00F17FF8" w:rsidRDefault="00BA3D4A" w:rsidP="0054575E">
            <w:pPr>
              <w:widowControl w:val="0"/>
              <w:autoSpaceDE w:val="0"/>
              <w:autoSpaceDN w:val="0"/>
              <w:adjustRightInd w:val="0"/>
              <w:spacing w:line="300" w:lineRule="atLeast"/>
              <w:rPr>
                <w:rFonts w:cs="Verdana"/>
                <w:b/>
                <w:bCs/>
                <w:szCs w:val="24"/>
              </w:rPr>
            </w:pPr>
            <w:r>
              <w:rPr>
                <w:rFonts w:cs="Verdana"/>
                <w:b/>
                <w:bCs/>
                <w:szCs w:val="24"/>
              </w:rPr>
              <w:t>Meetings Attended</w:t>
            </w:r>
          </w:p>
        </w:tc>
      </w:tr>
      <w:tr w:rsidR="00BA3D4A" w:rsidRPr="00F17FF8" w14:paraId="5D851F85" w14:textId="77777777" w:rsidTr="0054575E">
        <w:tblPrEx>
          <w:tblBorders>
            <w:top w:val="none" w:sz="0" w:space="0" w:color="auto"/>
          </w:tblBorders>
          <w:tblCellMar>
            <w:top w:w="0" w:type="dxa"/>
            <w:bottom w:w="0" w:type="dxa"/>
          </w:tblCellMar>
        </w:tblPrEx>
        <w:trPr>
          <w:jc w:val="center"/>
        </w:trPr>
        <w:tc>
          <w:tcPr>
            <w:tcW w:w="332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4D38664" w14:textId="77777777" w:rsidR="00BA3D4A" w:rsidRPr="00F17FF8" w:rsidRDefault="00BA3D4A" w:rsidP="0054575E">
            <w:pPr>
              <w:widowControl w:val="0"/>
              <w:autoSpaceDE w:val="0"/>
              <w:autoSpaceDN w:val="0"/>
              <w:adjustRightInd w:val="0"/>
              <w:spacing w:line="300" w:lineRule="atLeast"/>
              <w:rPr>
                <w:rFonts w:cs="Verdana"/>
                <w:szCs w:val="24"/>
              </w:rPr>
            </w:pPr>
            <w:r w:rsidRPr="00F17FF8">
              <w:rPr>
                <w:rFonts w:cs="Verdana"/>
                <w:szCs w:val="24"/>
              </w:rPr>
              <w:t>Berry Cobb</w:t>
            </w:r>
          </w:p>
        </w:tc>
        <w:tc>
          <w:tcPr>
            <w:tcW w:w="13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1D79B8C" w14:textId="77777777" w:rsidR="00BA3D4A" w:rsidRPr="00F17FF8" w:rsidRDefault="00BA3D4A" w:rsidP="0054575E">
            <w:pPr>
              <w:widowControl w:val="0"/>
              <w:autoSpaceDE w:val="0"/>
              <w:autoSpaceDN w:val="0"/>
              <w:adjustRightInd w:val="0"/>
              <w:spacing w:line="300" w:lineRule="atLeast"/>
              <w:rPr>
                <w:rFonts w:cs="Verdana"/>
                <w:szCs w:val="24"/>
              </w:rPr>
            </w:pPr>
            <w:r w:rsidRPr="00F17FF8">
              <w:rPr>
                <w:rFonts w:cs="Verdana"/>
                <w:szCs w:val="24"/>
              </w:rPr>
              <w:t>CBUC</w:t>
            </w:r>
          </w:p>
        </w:tc>
        <w:tc>
          <w:tcPr>
            <w:tcW w:w="2125" w:type="dxa"/>
            <w:tcBorders>
              <w:top w:val="single" w:sz="8" w:space="0" w:color="000000"/>
              <w:left w:val="single" w:sz="8" w:space="0" w:color="000000"/>
              <w:bottom w:val="single" w:sz="8" w:space="0" w:color="000000"/>
              <w:right w:val="single" w:sz="8" w:space="0" w:color="000000"/>
            </w:tcBorders>
          </w:tcPr>
          <w:p w14:paraId="67770EF1" w14:textId="77777777" w:rsidR="00BA3D4A" w:rsidRPr="00F17FF8" w:rsidRDefault="00BA3D4A" w:rsidP="0054575E">
            <w:pPr>
              <w:widowControl w:val="0"/>
              <w:autoSpaceDE w:val="0"/>
              <w:autoSpaceDN w:val="0"/>
              <w:adjustRightInd w:val="0"/>
              <w:spacing w:line="300" w:lineRule="atLeast"/>
              <w:jc w:val="center"/>
              <w:rPr>
                <w:rFonts w:cs="Verdana"/>
                <w:szCs w:val="24"/>
              </w:rPr>
            </w:pPr>
            <w:r>
              <w:rPr>
                <w:rFonts w:cs="Verdana"/>
                <w:szCs w:val="24"/>
              </w:rPr>
              <w:t>41</w:t>
            </w:r>
          </w:p>
        </w:tc>
      </w:tr>
      <w:tr w:rsidR="00BA3D4A" w:rsidRPr="00F17FF8" w14:paraId="50E61B97" w14:textId="77777777" w:rsidTr="0054575E">
        <w:tblPrEx>
          <w:tblBorders>
            <w:top w:val="none" w:sz="0" w:space="0" w:color="auto"/>
          </w:tblBorders>
          <w:tblCellMar>
            <w:top w:w="0" w:type="dxa"/>
            <w:bottom w:w="0" w:type="dxa"/>
          </w:tblCellMar>
        </w:tblPrEx>
        <w:trPr>
          <w:jc w:val="center"/>
        </w:trPr>
        <w:tc>
          <w:tcPr>
            <w:tcW w:w="332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6020A05" w14:textId="77777777" w:rsidR="00BA3D4A" w:rsidRPr="00F17FF8" w:rsidRDefault="00BA3D4A" w:rsidP="0054575E">
            <w:pPr>
              <w:widowControl w:val="0"/>
              <w:autoSpaceDE w:val="0"/>
              <w:autoSpaceDN w:val="0"/>
              <w:adjustRightInd w:val="0"/>
              <w:spacing w:line="300" w:lineRule="atLeast"/>
              <w:rPr>
                <w:rFonts w:cs="Verdana"/>
                <w:szCs w:val="24"/>
              </w:rPr>
            </w:pPr>
            <w:r w:rsidRPr="00F17FF8">
              <w:rPr>
                <w:rFonts w:cs="Verdana"/>
                <w:szCs w:val="24"/>
              </w:rPr>
              <w:t xml:space="preserve">Chris </w:t>
            </w:r>
            <w:proofErr w:type="spellStart"/>
            <w:r w:rsidRPr="00F17FF8">
              <w:rPr>
                <w:rFonts w:cs="Verdana"/>
                <w:szCs w:val="24"/>
              </w:rPr>
              <w:t>Chaplow</w:t>
            </w:r>
            <w:proofErr w:type="spellEnd"/>
          </w:p>
        </w:tc>
        <w:tc>
          <w:tcPr>
            <w:tcW w:w="13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7471C42" w14:textId="77777777" w:rsidR="00BA3D4A" w:rsidRPr="00F17FF8" w:rsidRDefault="00BA3D4A" w:rsidP="0054575E">
            <w:pPr>
              <w:widowControl w:val="0"/>
              <w:autoSpaceDE w:val="0"/>
              <w:autoSpaceDN w:val="0"/>
              <w:adjustRightInd w:val="0"/>
              <w:spacing w:line="300" w:lineRule="atLeast"/>
              <w:rPr>
                <w:rFonts w:cs="Verdana"/>
                <w:szCs w:val="24"/>
              </w:rPr>
            </w:pPr>
            <w:r w:rsidRPr="00F17FF8">
              <w:rPr>
                <w:rFonts w:cs="Verdana"/>
                <w:szCs w:val="24"/>
              </w:rPr>
              <w:t>CBUC</w:t>
            </w:r>
          </w:p>
        </w:tc>
        <w:tc>
          <w:tcPr>
            <w:tcW w:w="2125" w:type="dxa"/>
            <w:tcBorders>
              <w:top w:val="single" w:sz="8" w:space="0" w:color="000000"/>
              <w:left w:val="single" w:sz="8" w:space="0" w:color="000000"/>
              <w:bottom w:val="single" w:sz="8" w:space="0" w:color="000000"/>
              <w:right w:val="single" w:sz="8" w:space="0" w:color="000000"/>
            </w:tcBorders>
          </w:tcPr>
          <w:p w14:paraId="2E1403E4" w14:textId="77777777" w:rsidR="00BA3D4A" w:rsidRPr="00F17FF8" w:rsidRDefault="00BA3D4A" w:rsidP="0054575E">
            <w:pPr>
              <w:widowControl w:val="0"/>
              <w:autoSpaceDE w:val="0"/>
              <w:autoSpaceDN w:val="0"/>
              <w:adjustRightInd w:val="0"/>
              <w:spacing w:line="300" w:lineRule="atLeast"/>
              <w:jc w:val="center"/>
              <w:rPr>
                <w:rFonts w:cs="Verdana"/>
                <w:szCs w:val="24"/>
              </w:rPr>
            </w:pPr>
            <w:r>
              <w:rPr>
                <w:rFonts w:cs="Verdana"/>
                <w:szCs w:val="24"/>
              </w:rPr>
              <w:t>40</w:t>
            </w:r>
          </w:p>
        </w:tc>
      </w:tr>
      <w:tr w:rsidR="00BA3D4A" w:rsidRPr="00F17FF8" w14:paraId="68A4C997" w14:textId="77777777" w:rsidTr="0054575E">
        <w:tblPrEx>
          <w:tblBorders>
            <w:top w:val="none" w:sz="0" w:space="0" w:color="auto"/>
          </w:tblBorders>
          <w:tblCellMar>
            <w:top w:w="0" w:type="dxa"/>
            <w:bottom w:w="0" w:type="dxa"/>
          </w:tblCellMar>
        </w:tblPrEx>
        <w:trPr>
          <w:jc w:val="center"/>
        </w:trPr>
        <w:tc>
          <w:tcPr>
            <w:tcW w:w="332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96E236A" w14:textId="5C98EC7B" w:rsidR="00BA3D4A" w:rsidRPr="00F17FF8" w:rsidRDefault="00BA3D4A" w:rsidP="0054575E">
            <w:pPr>
              <w:widowControl w:val="0"/>
              <w:autoSpaceDE w:val="0"/>
              <w:autoSpaceDN w:val="0"/>
              <w:adjustRightInd w:val="0"/>
              <w:spacing w:line="300" w:lineRule="atLeast"/>
              <w:rPr>
                <w:rFonts w:cs="Verdana"/>
                <w:szCs w:val="24"/>
              </w:rPr>
            </w:pPr>
            <w:r w:rsidRPr="00F17FF8">
              <w:rPr>
                <w:rFonts w:cs="Verdana"/>
                <w:szCs w:val="24"/>
              </w:rPr>
              <w:t>Mike</w:t>
            </w:r>
            <w:r>
              <w:rPr>
                <w:rFonts w:cs="Verdana"/>
                <w:szCs w:val="24"/>
              </w:rPr>
              <w:t>y</w:t>
            </w:r>
            <w:bookmarkStart w:id="0" w:name="_GoBack"/>
            <w:bookmarkEnd w:id="0"/>
            <w:r w:rsidRPr="00F17FF8">
              <w:rPr>
                <w:rFonts w:cs="Verdana"/>
                <w:szCs w:val="24"/>
              </w:rPr>
              <w:t xml:space="preserve"> O'Connor</w:t>
            </w:r>
          </w:p>
        </w:tc>
        <w:tc>
          <w:tcPr>
            <w:tcW w:w="13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151743E" w14:textId="77777777" w:rsidR="00BA3D4A" w:rsidRPr="00F17FF8" w:rsidRDefault="00BA3D4A" w:rsidP="0054575E">
            <w:pPr>
              <w:widowControl w:val="0"/>
              <w:autoSpaceDE w:val="0"/>
              <w:autoSpaceDN w:val="0"/>
              <w:adjustRightInd w:val="0"/>
              <w:spacing w:line="300" w:lineRule="atLeast"/>
              <w:rPr>
                <w:rFonts w:cs="Verdana"/>
                <w:szCs w:val="24"/>
              </w:rPr>
            </w:pPr>
            <w:r w:rsidRPr="00F17FF8">
              <w:rPr>
                <w:rFonts w:cs="Verdana"/>
                <w:szCs w:val="24"/>
              </w:rPr>
              <w:t>CBUC</w:t>
            </w:r>
          </w:p>
        </w:tc>
        <w:tc>
          <w:tcPr>
            <w:tcW w:w="2125" w:type="dxa"/>
            <w:tcBorders>
              <w:top w:val="single" w:sz="8" w:space="0" w:color="000000"/>
              <w:left w:val="single" w:sz="8" w:space="0" w:color="000000"/>
              <w:bottom w:val="single" w:sz="8" w:space="0" w:color="000000"/>
              <w:right w:val="single" w:sz="8" w:space="0" w:color="000000"/>
            </w:tcBorders>
          </w:tcPr>
          <w:p w14:paraId="5CE56D73" w14:textId="77777777" w:rsidR="00BA3D4A" w:rsidRPr="00F17FF8" w:rsidRDefault="00BA3D4A" w:rsidP="0054575E">
            <w:pPr>
              <w:widowControl w:val="0"/>
              <w:autoSpaceDE w:val="0"/>
              <w:autoSpaceDN w:val="0"/>
              <w:adjustRightInd w:val="0"/>
              <w:spacing w:line="300" w:lineRule="atLeast"/>
              <w:jc w:val="center"/>
              <w:rPr>
                <w:rFonts w:cs="Verdana"/>
                <w:szCs w:val="24"/>
              </w:rPr>
            </w:pPr>
            <w:r>
              <w:rPr>
                <w:rFonts w:cs="Verdana"/>
                <w:szCs w:val="24"/>
              </w:rPr>
              <w:t>38</w:t>
            </w:r>
          </w:p>
        </w:tc>
      </w:tr>
      <w:tr w:rsidR="00BA3D4A" w:rsidRPr="00F17FF8" w14:paraId="15F74C88" w14:textId="77777777" w:rsidTr="0054575E">
        <w:tblPrEx>
          <w:tblBorders>
            <w:top w:val="none" w:sz="0" w:space="0" w:color="auto"/>
          </w:tblBorders>
          <w:tblCellMar>
            <w:top w:w="0" w:type="dxa"/>
            <w:bottom w:w="0" w:type="dxa"/>
          </w:tblCellMar>
        </w:tblPrEx>
        <w:trPr>
          <w:jc w:val="center"/>
        </w:trPr>
        <w:tc>
          <w:tcPr>
            <w:tcW w:w="332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4D68684" w14:textId="77777777" w:rsidR="00BA3D4A" w:rsidRPr="00F17FF8" w:rsidRDefault="00BA3D4A" w:rsidP="0054575E">
            <w:pPr>
              <w:widowControl w:val="0"/>
              <w:autoSpaceDE w:val="0"/>
              <w:autoSpaceDN w:val="0"/>
              <w:adjustRightInd w:val="0"/>
              <w:spacing w:line="300" w:lineRule="atLeast"/>
              <w:rPr>
                <w:rFonts w:cs="Verdana"/>
                <w:szCs w:val="24"/>
              </w:rPr>
            </w:pPr>
            <w:r w:rsidRPr="00F17FF8">
              <w:rPr>
                <w:rFonts w:cs="Verdana"/>
                <w:szCs w:val="24"/>
              </w:rPr>
              <w:t xml:space="preserve">Mike </w:t>
            </w:r>
            <w:proofErr w:type="spellStart"/>
            <w:r w:rsidRPr="00F17FF8">
              <w:rPr>
                <w:rFonts w:cs="Verdana"/>
                <w:szCs w:val="24"/>
              </w:rPr>
              <w:t>Rodenbaugh</w:t>
            </w:r>
            <w:proofErr w:type="spellEnd"/>
          </w:p>
        </w:tc>
        <w:tc>
          <w:tcPr>
            <w:tcW w:w="13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4F33592" w14:textId="77777777" w:rsidR="00BA3D4A" w:rsidRPr="00F17FF8" w:rsidRDefault="00BA3D4A" w:rsidP="0054575E">
            <w:pPr>
              <w:widowControl w:val="0"/>
              <w:autoSpaceDE w:val="0"/>
              <w:autoSpaceDN w:val="0"/>
              <w:adjustRightInd w:val="0"/>
              <w:spacing w:line="300" w:lineRule="atLeast"/>
              <w:rPr>
                <w:rFonts w:cs="Verdana"/>
                <w:szCs w:val="24"/>
              </w:rPr>
            </w:pPr>
            <w:r w:rsidRPr="00F17FF8">
              <w:rPr>
                <w:rFonts w:cs="Verdana"/>
                <w:szCs w:val="24"/>
              </w:rPr>
              <w:t>CBUC</w:t>
            </w:r>
          </w:p>
        </w:tc>
        <w:tc>
          <w:tcPr>
            <w:tcW w:w="2125" w:type="dxa"/>
            <w:tcBorders>
              <w:top w:val="single" w:sz="8" w:space="0" w:color="000000"/>
              <w:left w:val="single" w:sz="8" w:space="0" w:color="000000"/>
              <w:bottom w:val="single" w:sz="8" w:space="0" w:color="000000"/>
              <w:right w:val="single" w:sz="8" w:space="0" w:color="000000"/>
            </w:tcBorders>
          </w:tcPr>
          <w:p w14:paraId="015ADDB0" w14:textId="77777777" w:rsidR="00BA3D4A" w:rsidRPr="00F17FF8" w:rsidRDefault="00BA3D4A" w:rsidP="0054575E">
            <w:pPr>
              <w:widowControl w:val="0"/>
              <w:autoSpaceDE w:val="0"/>
              <w:autoSpaceDN w:val="0"/>
              <w:adjustRightInd w:val="0"/>
              <w:spacing w:line="300" w:lineRule="atLeast"/>
              <w:jc w:val="center"/>
              <w:rPr>
                <w:rFonts w:cs="Verdana"/>
                <w:szCs w:val="24"/>
              </w:rPr>
            </w:pPr>
            <w:r>
              <w:rPr>
                <w:rFonts w:cs="Verdana"/>
                <w:szCs w:val="24"/>
              </w:rPr>
              <w:t>1</w:t>
            </w:r>
          </w:p>
        </w:tc>
      </w:tr>
    </w:tbl>
    <w:p w14:paraId="24F41DDD" w14:textId="77777777" w:rsidR="00BA3D4A" w:rsidRPr="00BA3D4A" w:rsidRDefault="00BA3D4A" w:rsidP="00BA3D4A">
      <w:pPr>
        <w:rPr>
          <w:rFonts w:ascii="Arial" w:hAnsi="Arial" w:cs="Arial"/>
          <w:sz w:val="20"/>
          <w:szCs w:val="20"/>
        </w:rPr>
      </w:pPr>
    </w:p>
    <w:p w14:paraId="66B4F019" w14:textId="77777777" w:rsidR="00130B7B" w:rsidRPr="004916CD" w:rsidRDefault="00130B7B" w:rsidP="00130B7B">
      <w:pPr>
        <w:rPr>
          <w:rFonts w:ascii="Arial" w:hAnsi="Arial" w:cs="Arial"/>
          <w:b/>
          <w:sz w:val="20"/>
          <w:szCs w:val="20"/>
        </w:rPr>
      </w:pPr>
    </w:p>
    <w:p w14:paraId="466BDF1A" w14:textId="77777777" w:rsidR="00130B7B" w:rsidRPr="00B20E91" w:rsidRDefault="00130B7B" w:rsidP="00130B7B">
      <w:pPr>
        <w:widowControl w:val="0"/>
        <w:autoSpaceDE w:val="0"/>
        <w:autoSpaceDN w:val="0"/>
        <w:adjustRightInd w:val="0"/>
        <w:spacing w:line="360" w:lineRule="auto"/>
        <w:ind w:left="360"/>
        <w:contextualSpacing/>
        <w:rPr>
          <w:rFonts w:ascii="Arial" w:hAnsi="Arial" w:cs="Arial"/>
          <w:b/>
          <w:sz w:val="20"/>
          <w:szCs w:val="20"/>
        </w:rPr>
      </w:pPr>
      <w:r w:rsidRPr="00B20E91">
        <w:rPr>
          <w:rFonts w:ascii="Arial" w:hAnsi="Arial" w:cs="Arial"/>
          <w:b/>
          <w:sz w:val="20"/>
          <w:szCs w:val="20"/>
        </w:rPr>
        <w:t>BC Information with Regard to this Position Statement:</w:t>
      </w:r>
    </w:p>
    <w:p w14:paraId="335AB120" w14:textId="77777777" w:rsidR="00130B7B" w:rsidRPr="00A55001" w:rsidRDefault="00130B7B" w:rsidP="00130B7B">
      <w:pPr>
        <w:widowControl w:val="0"/>
        <w:numPr>
          <w:ilvl w:val="0"/>
          <w:numId w:val="28"/>
        </w:numPr>
        <w:autoSpaceDE w:val="0"/>
        <w:autoSpaceDN w:val="0"/>
        <w:adjustRightInd w:val="0"/>
        <w:spacing w:line="360" w:lineRule="auto"/>
        <w:contextualSpacing/>
        <w:rPr>
          <w:rFonts w:ascii="Arial" w:hAnsi="Arial" w:cs="Arial"/>
          <w:sz w:val="20"/>
          <w:szCs w:val="20"/>
        </w:rPr>
      </w:pPr>
      <w:r w:rsidRPr="00A55001">
        <w:rPr>
          <w:rFonts w:ascii="Arial" w:hAnsi="Arial" w:cs="Arial"/>
          <w:sz w:val="20"/>
          <w:szCs w:val="20"/>
        </w:rPr>
        <w:t>Total # of BC Members</w:t>
      </w:r>
      <w:r>
        <w:rPr>
          <w:rFonts w:ascii="Arial" w:hAnsi="Arial" w:cs="Arial"/>
          <w:sz w:val="20"/>
          <w:szCs w:val="20"/>
        </w:rPr>
        <w:t>:  49</w:t>
      </w:r>
      <w:r w:rsidR="001A0F98">
        <w:rPr>
          <w:rFonts w:ascii="Arial" w:hAnsi="Arial" w:cs="Arial"/>
          <w:sz w:val="20"/>
          <w:szCs w:val="20"/>
        </w:rPr>
        <w:t>??</w:t>
      </w:r>
    </w:p>
    <w:p w14:paraId="3949F9CF" w14:textId="77777777" w:rsidR="00130B7B" w:rsidRPr="00A55001" w:rsidRDefault="00130B7B" w:rsidP="00130B7B">
      <w:pPr>
        <w:widowControl w:val="0"/>
        <w:numPr>
          <w:ilvl w:val="0"/>
          <w:numId w:val="28"/>
        </w:numPr>
        <w:autoSpaceDE w:val="0"/>
        <w:autoSpaceDN w:val="0"/>
        <w:adjustRightInd w:val="0"/>
        <w:spacing w:line="360" w:lineRule="auto"/>
        <w:contextualSpacing/>
        <w:rPr>
          <w:rFonts w:ascii="Arial" w:hAnsi="Arial" w:cs="Arial"/>
          <w:sz w:val="20"/>
          <w:szCs w:val="20"/>
        </w:rPr>
      </w:pPr>
      <w:r w:rsidRPr="00B20E91">
        <w:rPr>
          <w:rFonts w:ascii="Arial" w:hAnsi="Arial" w:cs="Arial"/>
          <w:sz w:val="20"/>
          <w:szCs w:val="20"/>
        </w:rPr>
        <w:t>Total # of eli</w:t>
      </w:r>
      <w:r w:rsidRPr="00A55001">
        <w:rPr>
          <w:rFonts w:ascii="Arial" w:hAnsi="Arial" w:cs="Arial"/>
          <w:sz w:val="20"/>
          <w:szCs w:val="20"/>
        </w:rPr>
        <w:t>gible BC Members:  4</w:t>
      </w:r>
      <w:r>
        <w:rPr>
          <w:rFonts w:ascii="Arial" w:hAnsi="Arial" w:cs="Arial"/>
          <w:sz w:val="20"/>
          <w:szCs w:val="20"/>
        </w:rPr>
        <w:t>9</w:t>
      </w:r>
      <w:r w:rsidR="001A0F98">
        <w:rPr>
          <w:rFonts w:ascii="Arial" w:hAnsi="Arial" w:cs="Arial"/>
          <w:sz w:val="20"/>
          <w:szCs w:val="20"/>
        </w:rPr>
        <w:t>??</w:t>
      </w:r>
    </w:p>
    <w:p w14:paraId="6601443A" w14:textId="77777777" w:rsidR="00130B7B" w:rsidRPr="00A55001" w:rsidRDefault="00130B7B" w:rsidP="00130B7B">
      <w:pPr>
        <w:widowControl w:val="0"/>
        <w:numPr>
          <w:ilvl w:val="0"/>
          <w:numId w:val="28"/>
        </w:numPr>
        <w:autoSpaceDE w:val="0"/>
        <w:autoSpaceDN w:val="0"/>
        <w:adjustRightInd w:val="0"/>
        <w:spacing w:line="360" w:lineRule="auto"/>
        <w:contextualSpacing/>
        <w:rPr>
          <w:rFonts w:ascii="Arial" w:hAnsi="Arial" w:cs="Arial"/>
          <w:sz w:val="20"/>
          <w:szCs w:val="20"/>
        </w:rPr>
      </w:pPr>
      <w:r w:rsidRPr="00A55001">
        <w:rPr>
          <w:rFonts w:ascii="Arial" w:hAnsi="Arial" w:cs="Arial"/>
          <w:sz w:val="20"/>
          <w:szCs w:val="20"/>
        </w:rPr>
        <w:t xml:space="preserve">Minimum requirement for majority of Active Members:  </w:t>
      </w:r>
      <w:r>
        <w:rPr>
          <w:rFonts w:ascii="Arial" w:hAnsi="Arial" w:cs="Arial"/>
          <w:sz w:val="20"/>
          <w:szCs w:val="20"/>
        </w:rPr>
        <w:t>25</w:t>
      </w:r>
      <w:r w:rsidR="001A0F98">
        <w:rPr>
          <w:rFonts w:ascii="Arial" w:hAnsi="Arial" w:cs="Arial"/>
          <w:sz w:val="20"/>
          <w:szCs w:val="20"/>
        </w:rPr>
        <w:t>??</w:t>
      </w:r>
    </w:p>
    <w:p w14:paraId="59A35097" w14:textId="77777777" w:rsidR="00130B7B" w:rsidRPr="00B20E91" w:rsidRDefault="00130B7B" w:rsidP="00130B7B">
      <w:pPr>
        <w:widowControl w:val="0"/>
        <w:numPr>
          <w:ilvl w:val="0"/>
          <w:numId w:val="28"/>
        </w:numPr>
        <w:autoSpaceDE w:val="0"/>
        <w:autoSpaceDN w:val="0"/>
        <w:adjustRightInd w:val="0"/>
        <w:spacing w:line="360" w:lineRule="auto"/>
        <w:contextualSpacing/>
        <w:rPr>
          <w:rFonts w:ascii="Arial" w:hAnsi="Arial" w:cs="Arial"/>
          <w:sz w:val="20"/>
          <w:szCs w:val="20"/>
        </w:rPr>
      </w:pPr>
      <w:r w:rsidRPr="00B20E91">
        <w:rPr>
          <w:rFonts w:ascii="Arial" w:hAnsi="Arial" w:cs="Arial"/>
          <w:sz w:val="20"/>
          <w:szCs w:val="20"/>
        </w:rPr>
        <w:t xml:space="preserve"># of Members that </w:t>
      </w:r>
      <w:r w:rsidR="001A0F98">
        <w:rPr>
          <w:rFonts w:ascii="Arial" w:hAnsi="Arial" w:cs="Arial"/>
          <w:sz w:val="20"/>
          <w:szCs w:val="20"/>
        </w:rPr>
        <w:t>participated in this process:  4</w:t>
      </w:r>
    </w:p>
    <w:p w14:paraId="6957A3CB" w14:textId="77777777" w:rsidR="00130B7B" w:rsidRPr="00B20E91" w:rsidRDefault="00130B7B" w:rsidP="00130B7B">
      <w:pPr>
        <w:widowControl w:val="0"/>
        <w:autoSpaceDE w:val="0"/>
        <w:autoSpaceDN w:val="0"/>
        <w:adjustRightInd w:val="0"/>
        <w:spacing w:line="360" w:lineRule="auto"/>
        <w:ind w:left="360"/>
        <w:contextualSpacing/>
        <w:rPr>
          <w:rFonts w:ascii="Arial" w:hAnsi="Arial" w:cs="Arial"/>
          <w:b/>
          <w:sz w:val="20"/>
          <w:szCs w:val="20"/>
        </w:rPr>
      </w:pPr>
      <w:r w:rsidRPr="00B20E91">
        <w:rPr>
          <w:rFonts w:ascii="Arial" w:hAnsi="Arial" w:cs="Arial"/>
          <w:b/>
          <w:sz w:val="20"/>
          <w:szCs w:val="20"/>
        </w:rPr>
        <w:t>Level of Support of Active Members: ***</w:t>
      </w:r>
    </w:p>
    <w:p w14:paraId="62339503" w14:textId="77777777" w:rsidR="00130B7B" w:rsidRPr="00B20E91" w:rsidRDefault="00130B7B" w:rsidP="00130B7B">
      <w:pPr>
        <w:widowControl w:val="0"/>
        <w:numPr>
          <w:ilvl w:val="0"/>
          <w:numId w:val="28"/>
        </w:numPr>
        <w:autoSpaceDE w:val="0"/>
        <w:autoSpaceDN w:val="0"/>
        <w:adjustRightInd w:val="0"/>
        <w:spacing w:line="360" w:lineRule="auto"/>
        <w:contextualSpacing/>
        <w:rPr>
          <w:rFonts w:ascii="Arial" w:hAnsi="Arial" w:cs="Arial"/>
          <w:sz w:val="20"/>
          <w:szCs w:val="20"/>
        </w:rPr>
      </w:pPr>
      <w:r w:rsidRPr="00B20E91">
        <w:rPr>
          <w:rFonts w:ascii="Arial" w:hAnsi="Arial" w:cs="Arial"/>
          <w:sz w:val="20"/>
          <w:szCs w:val="20"/>
        </w:rPr>
        <w:t># of Members in Favor:  XX</w:t>
      </w:r>
      <w:r w:rsidRPr="00B20E91">
        <w:rPr>
          <w:rFonts w:ascii="Arial" w:hAnsi="Arial" w:cs="Arial"/>
          <w:sz w:val="20"/>
          <w:szCs w:val="20"/>
        </w:rPr>
        <w:tab/>
      </w:r>
    </w:p>
    <w:p w14:paraId="6FE86E00" w14:textId="77777777" w:rsidR="00130B7B" w:rsidRPr="00B20E91" w:rsidRDefault="00130B7B" w:rsidP="00130B7B">
      <w:pPr>
        <w:widowControl w:val="0"/>
        <w:numPr>
          <w:ilvl w:val="0"/>
          <w:numId w:val="28"/>
        </w:numPr>
        <w:autoSpaceDE w:val="0"/>
        <w:autoSpaceDN w:val="0"/>
        <w:adjustRightInd w:val="0"/>
        <w:spacing w:line="360" w:lineRule="auto"/>
        <w:contextualSpacing/>
        <w:rPr>
          <w:rFonts w:ascii="Arial" w:hAnsi="Arial" w:cs="Arial"/>
          <w:sz w:val="20"/>
          <w:szCs w:val="20"/>
        </w:rPr>
      </w:pPr>
      <w:r w:rsidRPr="00B20E91">
        <w:rPr>
          <w:rFonts w:ascii="Arial" w:hAnsi="Arial" w:cs="Arial"/>
          <w:sz w:val="20"/>
          <w:szCs w:val="20"/>
        </w:rPr>
        <w:t># of Members Opposed:  XX</w:t>
      </w:r>
      <w:r w:rsidRPr="00B20E91">
        <w:rPr>
          <w:rFonts w:ascii="Arial" w:hAnsi="Arial" w:cs="Arial"/>
          <w:sz w:val="20"/>
          <w:szCs w:val="20"/>
        </w:rPr>
        <w:tab/>
        <w:t xml:space="preserve">  </w:t>
      </w:r>
    </w:p>
    <w:p w14:paraId="42D0F501" w14:textId="77777777" w:rsidR="00130B7B" w:rsidRPr="00B20E91" w:rsidRDefault="00130B7B" w:rsidP="00130B7B">
      <w:pPr>
        <w:widowControl w:val="0"/>
        <w:numPr>
          <w:ilvl w:val="0"/>
          <w:numId w:val="28"/>
        </w:numPr>
        <w:autoSpaceDE w:val="0"/>
        <w:autoSpaceDN w:val="0"/>
        <w:adjustRightInd w:val="0"/>
        <w:spacing w:line="360" w:lineRule="auto"/>
        <w:contextualSpacing/>
        <w:rPr>
          <w:rFonts w:ascii="Arial" w:hAnsi="Arial" w:cs="Arial"/>
          <w:sz w:val="20"/>
          <w:szCs w:val="20"/>
        </w:rPr>
      </w:pPr>
      <w:r w:rsidRPr="00B20E91">
        <w:rPr>
          <w:rFonts w:ascii="Arial" w:hAnsi="Arial" w:cs="Arial"/>
          <w:sz w:val="20"/>
          <w:szCs w:val="20"/>
        </w:rPr>
        <w:t># of Members that Abstained:  XX</w:t>
      </w:r>
    </w:p>
    <w:p w14:paraId="6553FCB4" w14:textId="77777777" w:rsidR="00130B7B" w:rsidRDefault="00130B7B" w:rsidP="00130B7B">
      <w:pPr>
        <w:widowControl w:val="0"/>
        <w:numPr>
          <w:ilvl w:val="0"/>
          <w:numId w:val="28"/>
        </w:numPr>
        <w:autoSpaceDE w:val="0"/>
        <w:autoSpaceDN w:val="0"/>
        <w:adjustRightInd w:val="0"/>
        <w:spacing w:line="360" w:lineRule="auto"/>
        <w:contextualSpacing/>
        <w:rPr>
          <w:rFonts w:ascii="Arial" w:hAnsi="Arial" w:cs="Arial"/>
          <w:sz w:val="20"/>
          <w:szCs w:val="20"/>
        </w:rPr>
      </w:pPr>
      <w:r w:rsidRPr="00B20E91">
        <w:rPr>
          <w:rFonts w:ascii="Arial" w:hAnsi="Arial" w:cs="Arial"/>
          <w:sz w:val="20"/>
          <w:szCs w:val="20"/>
        </w:rPr>
        <w:t># of Members that did not vote:  XX</w:t>
      </w:r>
    </w:p>
    <w:p w14:paraId="62128152" w14:textId="77777777" w:rsidR="001A0F98" w:rsidRPr="004933B6" w:rsidRDefault="001A0F98" w:rsidP="001A0F98">
      <w:pPr>
        <w:widowControl w:val="0"/>
        <w:autoSpaceDE w:val="0"/>
        <w:autoSpaceDN w:val="0"/>
        <w:adjustRightInd w:val="0"/>
        <w:spacing w:line="360" w:lineRule="auto"/>
        <w:contextualSpacing/>
        <w:rPr>
          <w:rFonts w:ascii="Arial" w:hAnsi="Arial" w:cs="Arial"/>
          <w:sz w:val="20"/>
          <w:szCs w:val="20"/>
        </w:rPr>
      </w:pPr>
    </w:p>
    <w:p w14:paraId="6C86CB48" w14:textId="5AECCA1F" w:rsidR="00E62020" w:rsidRPr="00AA00FC" w:rsidRDefault="00E62020" w:rsidP="00AA00FC">
      <w:pPr>
        <w:spacing w:line="240" w:lineRule="auto"/>
        <w:rPr>
          <w:rFonts w:ascii="Arial" w:hAnsi="Arial" w:cs="Arial"/>
          <w:b/>
          <w:sz w:val="24"/>
          <w:szCs w:val="24"/>
        </w:rPr>
      </w:pPr>
    </w:p>
    <w:sectPr w:rsidR="00E62020" w:rsidRPr="00AA00FC" w:rsidSect="004D3EFA">
      <w:footerReference w:type="default" r:id="rId3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BCBF4" w14:textId="77777777" w:rsidR="003B3BA0" w:rsidRDefault="003B3BA0" w:rsidP="004D3EFA">
      <w:pPr>
        <w:spacing w:line="240" w:lineRule="auto"/>
      </w:pPr>
      <w:r>
        <w:separator/>
      </w:r>
    </w:p>
  </w:endnote>
  <w:endnote w:type="continuationSeparator" w:id="0">
    <w:p w14:paraId="71C40A49" w14:textId="77777777" w:rsidR="003B3BA0" w:rsidRDefault="003B3BA0" w:rsidP="004D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A00002BF" w:usb1="68C7FCFB" w:usb2="00000010" w:usb3="00000000" w:csb0="0002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026EF" w14:textId="77777777" w:rsidR="003B3BA0" w:rsidRDefault="003B3BA0">
    <w:pPr>
      <w:pStyle w:val="Footer"/>
      <w:jc w:val="right"/>
    </w:pPr>
    <w:r>
      <w:fldChar w:fldCharType="begin"/>
    </w:r>
    <w:r>
      <w:instrText xml:space="preserve"> PAGE   \* MERGEFORMAT </w:instrText>
    </w:r>
    <w:r>
      <w:fldChar w:fldCharType="separate"/>
    </w:r>
    <w:r w:rsidR="00BA3D4A">
      <w:rPr>
        <w:noProof/>
      </w:rPr>
      <w:t>12</w:t>
    </w:r>
    <w:r>
      <w:rPr>
        <w:noProof/>
      </w:rPr>
      <w:fldChar w:fldCharType="end"/>
    </w:r>
  </w:p>
  <w:p w14:paraId="69924170" w14:textId="77777777" w:rsidR="003B3BA0" w:rsidRDefault="003B3B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34942" w14:textId="77777777" w:rsidR="003B3BA0" w:rsidRDefault="003B3BA0" w:rsidP="004D3EFA">
      <w:pPr>
        <w:spacing w:line="240" w:lineRule="auto"/>
      </w:pPr>
      <w:r>
        <w:separator/>
      </w:r>
    </w:p>
  </w:footnote>
  <w:footnote w:type="continuationSeparator" w:id="0">
    <w:p w14:paraId="1D1C5FDF" w14:textId="77777777" w:rsidR="003B3BA0" w:rsidRDefault="003B3BA0" w:rsidP="004D3EF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3DB"/>
    <w:multiLevelType w:val="hybridMultilevel"/>
    <w:tmpl w:val="36A2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53BC1"/>
    <w:multiLevelType w:val="hybridMultilevel"/>
    <w:tmpl w:val="3B20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82346"/>
    <w:multiLevelType w:val="hybridMultilevel"/>
    <w:tmpl w:val="C14895B8"/>
    <w:lvl w:ilvl="0" w:tplc="AD90E64A">
      <w:start w:val="16"/>
      <w:numFmt w:val="bullet"/>
      <w:lvlText w:val="-"/>
      <w:lvlJc w:val="left"/>
      <w:pPr>
        <w:ind w:left="750" w:hanging="360"/>
      </w:pPr>
      <w:rPr>
        <w:rFonts w:ascii="Arial Rounded MT Bold" w:eastAsia="Calibri" w:hAnsi="Arial Rounded MT Bold" w:cs="Times New Roman"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CC4B38"/>
    <w:multiLevelType w:val="hybridMultilevel"/>
    <w:tmpl w:val="B89A8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6F23A1"/>
    <w:multiLevelType w:val="hybridMultilevel"/>
    <w:tmpl w:val="0930F446"/>
    <w:lvl w:ilvl="0" w:tplc="D042FB3C">
      <w:start w:val="1"/>
      <w:numFmt w:val="bullet"/>
      <w:lvlText w:val="•"/>
      <w:lvlJc w:val="left"/>
      <w:pPr>
        <w:tabs>
          <w:tab w:val="num" w:pos="720"/>
        </w:tabs>
        <w:ind w:left="720" w:hanging="360"/>
      </w:pPr>
      <w:rPr>
        <w:rFonts w:ascii="Arial" w:hAnsi="Arial" w:hint="default"/>
      </w:rPr>
    </w:lvl>
    <w:lvl w:ilvl="1" w:tplc="F15047EE" w:tentative="1">
      <w:start w:val="1"/>
      <w:numFmt w:val="bullet"/>
      <w:lvlText w:val="•"/>
      <w:lvlJc w:val="left"/>
      <w:pPr>
        <w:tabs>
          <w:tab w:val="num" w:pos="1440"/>
        </w:tabs>
        <w:ind w:left="1440" w:hanging="360"/>
      </w:pPr>
      <w:rPr>
        <w:rFonts w:ascii="Arial" w:hAnsi="Arial" w:hint="default"/>
      </w:rPr>
    </w:lvl>
    <w:lvl w:ilvl="2" w:tplc="F97A4132" w:tentative="1">
      <w:start w:val="1"/>
      <w:numFmt w:val="bullet"/>
      <w:lvlText w:val="•"/>
      <w:lvlJc w:val="left"/>
      <w:pPr>
        <w:tabs>
          <w:tab w:val="num" w:pos="2160"/>
        </w:tabs>
        <w:ind w:left="2160" w:hanging="360"/>
      </w:pPr>
      <w:rPr>
        <w:rFonts w:ascii="Arial" w:hAnsi="Arial" w:hint="default"/>
      </w:rPr>
    </w:lvl>
    <w:lvl w:ilvl="3" w:tplc="788ACE6E" w:tentative="1">
      <w:start w:val="1"/>
      <w:numFmt w:val="bullet"/>
      <w:lvlText w:val="•"/>
      <w:lvlJc w:val="left"/>
      <w:pPr>
        <w:tabs>
          <w:tab w:val="num" w:pos="2880"/>
        </w:tabs>
        <w:ind w:left="2880" w:hanging="360"/>
      </w:pPr>
      <w:rPr>
        <w:rFonts w:ascii="Arial" w:hAnsi="Arial" w:hint="default"/>
      </w:rPr>
    </w:lvl>
    <w:lvl w:ilvl="4" w:tplc="095A2856" w:tentative="1">
      <w:start w:val="1"/>
      <w:numFmt w:val="bullet"/>
      <w:lvlText w:val="•"/>
      <w:lvlJc w:val="left"/>
      <w:pPr>
        <w:tabs>
          <w:tab w:val="num" w:pos="3600"/>
        </w:tabs>
        <w:ind w:left="3600" w:hanging="360"/>
      </w:pPr>
      <w:rPr>
        <w:rFonts w:ascii="Arial" w:hAnsi="Arial" w:hint="default"/>
      </w:rPr>
    </w:lvl>
    <w:lvl w:ilvl="5" w:tplc="B664BC3E" w:tentative="1">
      <w:start w:val="1"/>
      <w:numFmt w:val="bullet"/>
      <w:lvlText w:val="•"/>
      <w:lvlJc w:val="left"/>
      <w:pPr>
        <w:tabs>
          <w:tab w:val="num" w:pos="4320"/>
        </w:tabs>
        <w:ind w:left="4320" w:hanging="360"/>
      </w:pPr>
      <w:rPr>
        <w:rFonts w:ascii="Arial" w:hAnsi="Arial" w:hint="default"/>
      </w:rPr>
    </w:lvl>
    <w:lvl w:ilvl="6" w:tplc="34A8A04A" w:tentative="1">
      <w:start w:val="1"/>
      <w:numFmt w:val="bullet"/>
      <w:lvlText w:val="•"/>
      <w:lvlJc w:val="left"/>
      <w:pPr>
        <w:tabs>
          <w:tab w:val="num" w:pos="5040"/>
        </w:tabs>
        <w:ind w:left="5040" w:hanging="360"/>
      </w:pPr>
      <w:rPr>
        <w:rFonts w:ascii="Arial" w:hAnsi="Arial" w:hint="default"/>
      </w:rPr>
    </w:lvl>
    <w:lvl w:ilvl="7" w:tplc="B9F8F10E" w:tentative="1">
      <w:start w:val="1"/>
      <w:numFmt w:val="bullet"/>
      <w:lvlText w:val="•"/>
      <w:lvlJc w:val="left"/>
      <w:pPr>
        <w:tabs>
          <w:tab w:val="num" w:pos="5760"/>
        </w:tabs>
        <w:ind w:left="5760" w:hanging="360"/>
      </w:pPr>
      <w:rPr>
        <w:rFonts w:ascii="Arial" w:hAnsi="Arial" w:hint="default"/>
      </w:rPr>
    </w:lvl>
    <w:lvl w:ilvl="8" w:tplc="2FB22448" w:tentative="1">
      <w:start w:val="1"/>
      <w:numFmt w:val="bullet"/>
      <w:lvlText w:val="•"/>
      <w:lvlJc w:val="left"/>
      <w:pPr>
        <w:tabs>
          <w:tab w:val="num" w:pos="6480"/>
        </w:tabs>
        <w:ind w:left="6480" w:hanging="360"/>
      </w:pPr>
      <w:rPr>
        <w:rFonts w:ascii="Arial" w:hAnsi="Arial" w:hint="default"/>
      </w:rPr>
    </w:lvl>
  </w:abstractNum>
  <w:abstractNum w:abstractNumId="6">
    <w:nsid w:val="268629F6"/>
    <w:multiLevelType w:val="hybridMultilevel"/>
    <w:tmpl w:val="22E2AB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2B6C16"/>
    <w:multiLevelType w:val="hybridMultilevel"/>
    <w:tmpl w:val="9F62DA86"/>
    <w:lvl w:ilvl="0" w:tplc="DE1C7A5E">
      <w:start w:val="1"/>
      <w:numFmt w:val="bullet"/>
      <w:lvlText w:val=""/>
      <w:lvlJc w:val="left"/>
      <w:pPr>
        <w:ind w:left="360" w:hanging="360"/>
      </w:pPr>
      <w:rPr>
        <w:rFonts w:ascii="Wingdings" w:hAnsi="Wingdings" w:hint="default"/>
        <w:b w:val="0"/>
        <w:i w:val="0"/>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5144A"/>
    <w:multiLevelType w:val="hybridMultilevel"/>
    <w:tmpl w:val="4286629A"/>
    <w:lvl w:ilvl="0" w:tplc="AD90E64A">
      <w:start w:val="16"/>
      <w:numFmt w:val="bullet"/>
      <w:lvlText w:val="-"/>
      <w:lvlJc w:val="left"/>
      <w:pPr>
        <w:ind w:left="720" w:hanging="360"/>
      </w:pPr>
      <w:rPr>
        <w:rFonts w:ascii="Arial Rounded MT Bold" w:eastAsia="Calibri" w:hAnsi="Arial Rounded MT 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8D60C4"/>
    <w:multiLevelType w:val="hybridMultilevel"/>
    <w:tmpl w:val="88EEA714"/>
    <w:lvl w:ilvl="0" w:tplc="13E493AE">
      <w:start w:val="1"/>
      <w:numFmt w:val="lowerLetter"/>
      <w:lvlText w:val="%1)"/>
      <w:lvlJc w:val="left"/>
      <w:pPr>
        <w:ind w:left="360" w:hanging="360"/>
      </w:pPr>
      <w:rPr>
        <w:rFonts w:ascii="Tahoma" w:eastAsia="Times New Roman" w:hAnsi="Tahoma" w:cs="Courier"/>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8E62B6"/>
    <w:multiLevelType w:val="hybridMultilevel"/>
    <w:tmpl w:val="4A92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025C65"/>
    <w:multiLevelType w:val="hybridMultilevel"/>
    <w:tmpl w:val="CAA223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10A7900"/>
    <w:multiLevelType w:val="hybridMultilevel"/>
    <w:tmpl w:val="1FDA56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DB537E"/>
    <w:multiLevelType w:val="hybridMultilevel"/>
    <w:tmpl w:val="9FCC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B33268"/>
    <w:multiLevelType w:val="hybridMultilevel"/>
    <w:tmpl w:val="1F3C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2E5500"/>
    <w:multiLevelType w:val="hybridMultilevel"/>
    <w:tmpl w:val="22E2AB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315E33"/>
    <w:multiLevelType w:val="hybridMultilevel"/>
    <w:tmpl w:val="22E2AB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2C655F"/>
    <w:multiLevelType w:val="hybridMultilevel"/>
    <w:tmpl w:val="655C0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F608E"/>
    <w:multiLevelType w:val="hybridMultilevel"/>
    <w:tmpl w:val="012678D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nsid w:val="4BA53848"/>
    <w:multiLevelType w:val="hybridMultilevel"/>
    <w:tmpl w:val="C3F6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E46628"/>
    <w:multiLevelType w:val="hybridMultilevel"/>
    <w:tmpl w:val="7186A8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9F2F32"/>
    <w:multiLevelType w:val="hybridMultilevel"/>
    <w:tmpl w:val="7C5E9E3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2">
    <w:nsid w:val="56FD7243"/>
    <w:multiLevelType w:val="hybridMultilevel"/>
    <w:tmpl w:val="A72E06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9445C73"/>
    <w:multiLevelType w:val="hybridMultilevel"/>
    <w:tmpl w:val="D4F2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753335"/>
    <w:multiLevelType w:val="hybridMultilevel"/>
    <w:tmpl w:val="8EFE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3D2DC6"/>
    <w:multiLevelType w:val="hybridMultilevel"/>
    <w:tmpl w:val="7AC40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E7D1A36"/>
    <w:multiLevelType w:val="hybridMultilevel"/>
    <w:tmpl w:val="C92AF572"/>
    <w:lvl w:ilvl="0" w:tplc="60EA6D20">
      <w:start w:val="1"/>
      <w:numFmt w:val="decimal"/>
      <w:lvlText w:val="%1."/>
      <w:lvlJc w:val="left"/>
      <w:pPr>
        <w:ind w:left="39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7">
    <w:nsid w:val="615C4635"/>
    <w:multiLevelType w:val="hybridMultilevel"/>
    <w:tmpl w:val="DAC43DBC"/>
    <w:lvl w:ilvl="0" w:tplc="7620066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A126A1"/>
    <w:multiLevelType w:val="hybridMultilevel"/>
    <w:tmpl w:val="094C0726"/>
    <w:lvl w:ilvl="0" w:tplc="8BB2BD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3B267E"/>
    <w:multiLevelType w:val="hybridMultilevel"/>
    <w:tmpl w:val="359AA27A"/>
    <w:lvl w:ilvl="0" w:tplc="B9EE51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821E8C"/>
    <w:multiLevelType w:val="hybridMultilevel"/>
    <w:tmpl w:val="4168C1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C2F2732"/>
    <w:multiLevelType w:val="hybridMultilevel"/>
    <w:tmpl w:val="96581D88"/>
    <w:lvl w:ilvl="0" w:tplc="7062BC3A">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D96E24"/>
    <w:multiLevelType w:val="hybridMultilevel"/>
    <w:tmpl w:val="643A8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144043"/>
    <w:multiLevelType w:val="hybridMultilevel"/>
    <w:tmpl w:val="E724D60E"/>
    <w:lvl w:ilvl="0" w:tplc="D482169C">
      <w:start w:val="1"/>
      <w:numFmt w:val="bullet"/>
      <w:lvlText w:val="-"/>
      <w:lvlJc w:val="left"/>
      <w:pPr>
        <w:ind w:left="390" w:hanging="360"/>
      </w:pPr>
      <w:rPr>
        <w:rFonts w:ascii="Calibri" w:eastAsia="Calibri"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4">
    <w:nsid w:val="7DAB670D"/>
    <w:multiLevelType w:val="hybridMultilevel"/>
    <w:tmpl w:val="524A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3510F1"/>
    <w:multiLevelType w:val="hybridMultilevel"/>
    <w:tmpl w:val="2EE43294"/>
    <w:lvl w:ilvl="0" w:tplc="B10CBAC8">
      <w:start w:val="1"/>
      <w:numFmt w:val="bullet"/>
      <w:lvlText w:val="•"/>
      <w:lvlJc w:val="left"/>
      <w:pPr>
        <w:tabs>
          <w:tab w:val="num" w:pos="720"/>
        </w:tabs>
        <w:ind w:left="720" w:hanging="360"/>
      </w:pPr>
      <w:rPr>
        <w:rFonts w:ascii="Arial" w:hAnsi="Arial" w:hint="default"/>
      </w:rPr>
    </w:lvl>
    <w:lvl w:ilvl="1" w:tplc="10ACEE86">
      <w:start w:val="1648"/>
      <w:numFmt w:val="bullet"/>
      <w:lvlText w:val="–"/>
      <w:lvlJc w:val="left"/>
      <w:pPr>
        <w:tabs>
          <w:tab w:val="num" w:pos="1440"/>
        </w:tabs>
        <w:ind w:left="1440" w:hanging="360"/>
      </w:pPr>
      <w:rPr>
        <w:rFonts w:ascii="Arial" w:hAnsi="Arial" w:hint="default"/>
      </w:rPr>
    </w:lvl>
    <w:lvl w:ilvl="2" w:tplc="2BAA90D0">
      <w:start w:val="1"/>
      <w:numFmt w:val="bullet"/>
      <w:lvlText w:val="•"/>
      <w:lvlJc w:val="left"/>
      <w:pPr>
        <w:tabs>
          <w:tab w:val="num" w:pos="2160"/>
        </w:tabs>
        <w:ind w:left="2160" w:hanging="360"/>
      </w:pPr>
      <w:rPr>
        <w:rFonts w:ascii="Arial" w:hAnsi="Arial" w:hint="default"/>
      </w:rPr>
    </w:lvl>
    <w:lvl w:ilvl="3" w:tplc="14706C18" w:tentative="1">
      <w:start w:val="1"/>
      <w:numFmt w:val="bullet"/>
      <w:lvlText w:val="•"/>
      <w:lvlJc w:val="left"/>
      <w:pPr>
        <w:tabs>
          <w:tab w:val="num" w:pos="2880"/>
        </w:tabs>
        <w:ind w:left="2880" w:hanging="360"/>
      </w:pPr>
      <w:rPr>
        <w:rFonts w:ascii="Arial" w:hAnsi="Arial" w:hint="default"/>
      </w:rPr>
    </w:lvl>
    <w:lvl w:ilvl="4" w:tplc="3500C9B2" w:tentative="1">
      <w:start w:val="1"/>
      <w:numFmt w:val="bullet"/>
      <w:lvlText w:val="•"/>
      <w:lvlJc w:val="left"/>
      <w:pPr>
        <w:tabs>
          <w:tab w:val="num" w:pos="3600"/>
        </w:tabs>
        <w:ind w:left="3600" w:hanging="360"/>
      </w:pPr>
      <w:rPr>
        <w:rFonts w:ascii="Arial" w:hAnsi="Arial" w:hint="default"/>
      </w:rPr>
    </w:lvl>
    <w:lvl w:ilvl="5" w:tplc="5962A112" w:tentative="1">
      <w:start w:val="1"/>
      <w:numFmt w:val="bullet"/>
      <w:lvlText w:val="•"/>
      <w:lvlJc w:val="left"/>
      <w:pPr>
        <w:tabs>
          <w:tab w:val="num" w:pos="4320"/>
        </w:tabs>
        <w:ind w:left="4320" w:hanging="360"/>
      </w:pPr>
      <w:rPr>
        <w:rFonts w:ascii="Arial" w:hAnsi="Arial" w:hint="default"/>
      </w:rPr>
    </w:lvl>
    <w:lvl w:ilvl="6" w:tplc="C83AD664" w:tentative="1">
      <w:start w:val="1"/>
      <w:numFmt w:val="bullet"/>
      <w:lvlText w:val="•"/>
      <w:lvlJc w:val="left"/>
      <w:pPr>
        <w:tabs>
          <w:tab w:val="num" w:pos="5040"/>
        </w:tabs>
        <w:ind w:left="5040" w:hanging="360"/>
      </w:pPr>
      <w:rPr>
        <w:rFonts w:ascii="Arial" w:hAnsi="Arial" w:hint="default"/>
      </w:rPr>
    </w:lvl>
    <w:lvl w:ilvl="7" w:tplc="676624B6" w:tentative="1">
      <w:start w:val="1"/>
      <w:numFmt w:val="bullet"/>
      <w:lvlText w:val="•"/>
      <w:lvlJc w:val="left"/>
      <w:pPr>
        <w:tabs>
          <w:tab w:val="num" w:pos="5760"/>
        </w:tabs>
        <w:ind w:left="5760" w:hanging="360"/>
      </w:pPr>
      <w:rPr>
        <w:rFonts w:ascii="Arial" w:hAnsi="Arial" w:hint="default"/>
      </w:rPr>
    </w:lvl>
    <w:lvl w:ilvl="8" w:tplc="B3DA3332"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33"/>
  </w:num>
  <w:num w:numId="3">
    <w:abstractNumId w:val="9"/>
  </w:num>
  <w:num w:numId="4">
    <w:abstractNumId w:val="22"/>
  </w:num>
  <w:num w:numId="5">
    <w:abstractNumId w:val="31"/>
  </w:num>
  <w:num w:numId="6">
    <w:abstractNumId w:val="12"/>
  </w:num>
  <w:num w:numId="7">
    <w:abstractNumId w:val="17"/>
  </w:num>
  <w:num w:numId="8">
    <w:abstractNumId w:val="20"/>
  </w:num>
  <w:num w:numId="9">
    <w:abstractNumId w:val="18"/>
  </w:num>
  <w:num w:numId="10">
    <w:abstractNumId w:val="26"/>
  </w:num>
  <w:num w:numId="11">
    <w:abstractNumId w:val="16"/>
  </w:num>
  <w:num w:numId="12">
    <w:abstractNumId w:val="6"/>
  </w:num>
  <w:num w:numId="13">
    <w:abstractNumId w:val="11"/>
  </w:num>
  <w:num w:numId="14">
    <w:abstractNumId w:val="25"/>
  </w:num>
  <w:num w:numId="15">
    <w:abstractNumId w:val="35"/>
  </w:num>
  <w:num w:numId="16">
    <w:abstractNumId w:val="5"/>
  </w:num>
  <w:num w:numId="17">
    <w:abstractNumId w:val="1"/>
  </w:num>
  <w:num w:numId="18">
    <w:abstractNumId w:val="23"/>
  </w:num>
  <w:num w:numId="19">
    <w:abstractNumId w:val="19"/>
  </w:num>
  <w:num w:numId="20">
    <w:abstractNumId w:val="0"/>
  </w:num>
  <w:num w:numId="21">
    <w:abstractNumId w:val="8"/>
  </w:num>
  <w:num w:numId="22">
    <w:abstractNumId w:val="2"/>
  </w:num>
  <w:num w:numId="23">
    <w:abstractNumId w:val="10"/>
  </w:num>
  <w:num w:numId="24">
    <w:abstractNumId w:val="34"/>
  </w:num>
  <w:num w:numId="25">
    <w:abstractNumId w:val="21"/>
  </w:num>
  <w:num w:numId="26">
    <w:abstractNumId w:val="24"/>
  </w:num>
  <w:num w:numId="27">
    <w:abstractNumId w:val="32"/>
  </w:num>
  <w:num w:numId="28">
    <w:abstractNumId w:val="4"/>
  </w:num>
  <w:num w:numId="29">
    <w:abstractNumId w:val="30"/>
  </w:num>
  <w:num w:numId="30">
    <w:abstractNumId w:val="27"/>
  </w:num>
  <w:num w:numId="31">
    <w:abstractNumId w:val="28"/>
  </w:num>
  <w:num w:numId="32">
    <w:abstractNumId w:val="29"/>
  </w:num>
  <w:num w:numId="33">
    <w:abstractNumId w:val="13"/>
  </w:num>
  <w:num w:numId="34">
    <w:abstractNumId w:val="14"/>
  </w:num>
  <w:num w:numId="35">
    <w:abstractNumId w:val="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63"/>
    <w:rsid w:val="000035B8"/>
    <w:rsid w:val="0000639B"/>
    <w:rsid w:val="000159A4"/>
    <w:rsid w:val="00020768"/>
    <w:rsid w:val="000259D5"/>
    <w:rsid w:val="000331AC"/>
    <w:rsid w:val="000335BC"/>
    <w:rsid w:val="00045860"/>
    <w:rsid w:val="00046237"/>
    <w:rsid w:val="00053479"/>
    <w:rsid w:val="00055251"/>
    <w:rsid w:val="00056253"/>
    <w:rsid w:val="00057ED5"/>
    <w:rsid w:val="00067690"/>
    <w:rsid w:val="00073676"/>
    <w:rsid w:val="00074B3D"/>
    <w:rsid w:val="000A2A54"/>
    <w:rsid w:val="000A7DC4"/>
    <w:rsid w:val="000B4EA5"/>
    <w:rsid w:val="000B51B4"/>
    <w:rsid w:val="000C013E"/>
    <w:rsid w:val="000D6DA1"/>
    <w:rsid w:val="000E08F8"/>
    <w:rsid w:val="000E7141"/>
    <w:rsid w:val="000F75E9"/>
    <w:rsid w:val="00100211"/>
    <w:rsid w:val="001004C9"/>
    <w:rsid w:val="00100BA1"/>
    <w:rsid w:val="00100E53"/>
    <w:rsid w:val="00101E18"/>
    <w:rsid w:val="0010292B"/>
    <w:rsid w:val="00110AC3"/>
    <w:rsid w:val="00130B7B"/>
    <w:rsid w:val="0013266C"/>
    <w:rsid w:val="00133D01"/>
    <w:rsid w:val="00136989"/>
    <w:rsid w:val="00152D9C"/>
    <w:rsid w:val="0015477D"/>
    <w:rsid w:val="00157854"/>
    <w:rsid w:val="00160448"/>
    <w:rsid w:val="00167C79"/>
    <w:rsid w:val="00180FE4"/>
    <w:rsid w:val="00186C2A"/>
    <w:rsid w:val="00191E3D"/>
    <w:rsid w:val="001A0F98"/>
    <w:rsid w:val="001A4A2B"/>
    <w:rsid w:val="001C19F4"/>
    <w:rsid w:val="001C1B25"/>
    <w:rsid w:val="001E3DFE"/>
    <w:rsid w:val="001E4901"/>
    <w:rsid w:val="001E4BC1"/>
    <w:rsid w:val="001F7AE7"/>
    <w:rsid w:val="00207167"/>
    <w:rsid w:val="00210895"/>
    <w:rsid w:val="00210FA0"/>
    <w:rsid w:val="002119FB"/>
    <w:rsid w:val="0021341C"/>
    <w:rsid w:val="00214D93"/>
    <w:rsid w:val="002267F2"/>
    <w:rsid w:val="00230910"/>
    <w:rsid w:val="00232E4B"/>
    <w:rsid w:val="00237CDA"/>
    <w:rsid w:val="00245738"/>
    <w:rsid w:val="00254326"/>
    <w:rsid w:val="002569A6"/>
    <w:rsid w:val="00257464"/>
    <w:rsid w:val="00262285"/>
    <w:rsid w:val="002815C4"/>
    <w:rsid w:val="002912A4"/>
    <w:rsid w:val="002937AC"/>
    <w:rsid w:val="002941DD"/>
    <w:rsid w:val="002C4AC4"/>
    <w:rsid w:val="002C5EEB"/>
    <w:rsid w:val="002C7A12"/>
    <w:rsid w:val="002D6DF4"/>
    <w:rsid w:val="002E5153"/>
    <w:rsid w:val="002E52D3"/>
    <w:rsid w:val="002E7323"/>
    <w:rsid w:val="002E76D0"/>
    <w:rsid w:val="002F084E"/>
    <w:rsid w:val="002F3562"/>
    <w:rsid w:val="00302DE6"/>
    <w:rsid w:val="0030749F"/>
    <w:rsid w:val="003139AE"/>
    <w:rsid w:val="00330D6F"/>
    <w:rsid w:val="00335F7B"/>
    <w:rsid w:val="00341323"/>
    <w:rsid w:val="00342B79"/>
    <w:rsid w:val="003541DE"/>
    <w:rsid w:val="003635DF"/>
    <w:rsid w:val="003736D1"/>
    <w:rsid w:val="00377AC6"/>
    <w:rsid w:val="00380B2C"/>
    <w:rsid w:val="00382B71"/>
    <w:rsid w:val="00392B6D"/>
    <w:rsid w:val="003A54BF"/>
    <w:rsid w:val="003A5BA0"/>
    <w:rsid w:val="003B3B73"/>
    <w:rsid w:val="003B3BA0"/>
    <w:rsid w:val="003B5524"/>
    <w:rsid w:val="003C2FE7"/>
    <w:rsid w:val="003D6CEC"/>
    <w:rsid w:val="003D7804"/>
    <w:rsid w:val="003E27DA"/>
    <w:rsid w:val="003E6991"/>
    <w:rsid w:val="0040606C"/>
    <w:rsid w:val="00413C6E"/>
    <w:rsid w:val="004235EC"/>
    <w:rsid w:val="004367CF"/>
    <w:rsid w:val="00440015"/>
    <w:rsid w:val="00445E7A"/>
    <w:rsid w:val="00451651"/>
    <w:rsid w:val="0045590D"/>
    <w:rsid w:val="00473967"/>
    <w:rsid w:val="004750FA"/>
    <w:rsid w:val="004811C6"/>
    <w:rsid w:val="004873BB"/>
    <w:rsid w:val="004916CD"/>
    <w:rsid w:val="00491A2F"/>
    <w:rsid w:val="00492AD5"/>
    <w:rsid w:val="004933B6"/>
    <w:rsid w:val="004945D1"/>
    <w:rsid w:val="004A3911"/>
    <w:rsid w:val="004B0DBD"/>
    <w:rsid w:val="004B349D"/>
    <w:rsid w:val="004B543E"/>
    <w:rsid w:val="004B6760"/>
    <w:rsid w:val="004B6995"/>
    <w:rsid w:val="004D011A"/>
    <w:rsid w:val="004D09C8"/>
    <w:rsid w:val="004D34EA"/>
    <w:rsid w:val="004D3EFA"/>
    <w:rsid w:val="004D440E"/>
    <w:rsid w:val="004F335E"/>
    <w:rsid w:val="004F6B65"/>
    <w:rsid w:val="0050020E"/>
    <w:rsid w:val="00506DA9"/>
    <w:rsid w:val="00513939"/>
    <w:rsid w:val="00517FA4"/>
    <w:rsid w:val="0052047B"/>
    <w:rsid w:val="005402FE"/>
    <w:rsid w:val="00556B53"/>
    <w:rsid w:val="00557F41"/>
    <w:rsid w:val="005652F1"/>
    <w:rsid w:val="005756F8"/>
    <w:rsid w:val="0058611B"/>
    <w:rsid w:val="00590DC0"/>
    <w:rsid w:val="005A0765"/>
    <w:rsid w:val="005A2ED0"/>
    <w:rsid w:val="005C1231"/>
    <w:rsid w:val="005C600F"/>
    <w:rsid w:val="005C72D8"/>
    <w:rsid w:val="005D4223"/>
    <w:rsid w:val="005E063B"/>
    <w:rsid w:val="005E6700"/>
    <w:rsid w:val="00606D59"/>
    <w:rsid w:val="00607629"/>
    <w:rsid w:val="00617AE2"/>
    <w:rsid w:val="006209F1"/>
    <w:rsid w:val="00622713"/>
    <w:rsid w:val="006273E2"/>
    <w:rsid w:val="00632BD7"/>
    <w:rsid w:val="00636EAF"/>
    <w:rsid w:val="00645531"/>
    <w:rsid w:val="00646730"/>
    <w:rsid w:val="00657D9E"/>
    <w:rsid w:val="006706D7"/>
    <w:rsid w:val="0067239D"/>
    <w:rsid w:val="0067578D"/>
    <w:rsid w:val="00675F76"/>
    <w:rsid w:val="00691F7E"/>
    <w:rsid w:val="0069437C"/>
    <w:rsid w:val="006946AB"/>
    <w:rsid w:val="00696213"/>
    <w:rsid w:val="006A32B9"/>
    <w:rsid w:val="006A7983"/>
    <w:rsid w:val="006A7CD9"/>
    <w:rsid w:val="006C6673"/>
    <w:rsid w:val="006C78A3"/>
    <w:rsid w:val="006D28DC"/>
    <w:rsid w:val="006D3210"/>
    <w:rsid w:val="006E05E5"/>
    <w:rsid w:val="006E6292"/>
    <w:rsid w:val="007017F0"/>
    <w:rsid w:val="007054D8"/>
    <w:rsid w:val="007117F0"/>
    <w:rsid w:val="007120C1"/>
    <w:rsid w:val="00723312"/>
    <w:rsid w:val="007247C0"/>
    <w:rsid w:val="00730BAD"/>
    <w:rsid w:val="00734628"/>
    <w:rsid w:val="0073619E"/>
    <w:rsid w:val="00736302"/>
    <w:rsid w:val="00736A30"/>
    <w:rsid w:val="00736D6B"/>
    <w:rsid w:val="00737E8C"/>
    <w:rsid w:val="0074456C"/>
    <w:rsid w:val="0075051B"/>
    <w:rsid w:val="0075147D"/>
    <w:rsid w:val="007527F7"/>
    <w:rsid w:val="00756BED"/>
    <w:rsid w:val="0076006C"/>
    <w:rsid w:val="007800E0"/>
    <w:rsid w:val="0078378D"/>
    <w:rsid w:val="00784349"/>
    <w:rsid w:val="00784A26"/>
    <w:rsid w:val="00794DFE"/>
    <w:rsid w:val="007958D9"/>
    <w:rsid w:val="007973CC"/>
    <w:rsid w:val="007C6415"/>
    <w:rsid w:val="007D4298"/>
    <w:rsid w:val="007D48BF"/>
    <w:rsid w:val="007D7DC8"/>
    <w:rsid w:val="007F0DF7"/>
    <w:rsid w:val="007F6C20"/>
    <w:rsid w:val="007F6C97"/>
    <w:rsid w:val="007F7926"/>
    <w:rsid w:val="008033A9"/>
    <w:rsid w:val="00804071"/>
    <w:rsid w:val="008075F1"/>
    <w:rsid w:val="0082153E"/>
    <w:rsid w:val="008240CF"/>
    <w:rsid w:val="00830EFF"/>
    <w:rsid w:val="008356A9"/>
    <w:rsid w:val="008363BE"/>
    <w:rsid w:val="00837286"/>
    <w:rsid w:val="00837428"/>
    <w:rsid w:val="008377B8"/>
    <w:rsid w:val="008458FB"/>
    <w:rsid w:val="00847EBF"/>
    <w:rsid w:val="00856A7C"/>
    <w:rsid w:val="0086244A"/>
    <w:rsid w:val="00882725"/>
    <w:rsid w:val="00883043"/>
    <w:rsid w:val="0088397A"/>
    <w:rsid w:val="00887ED3"/>
    <w:rsid w:val="008A65C1"/>
    <w:rsid w:val="008B1093"/>
    <w:rsid w:val="008B19AE"/>
    <w:rsid w:val="008B3A38"/>
    <w:rsid w:val="008B5757"/>
    <w:rsid w:val="008B5AC5"/>
    <w:rsid w:val="008C2CF1"/>
    <w:rsid w:val="008C3F29"/>
    <w:rsid w:val="008C712C"/>
    <w:rsid w:val="008C7A43"/>
    <w:rsid w:val="008C7C50"/>
    <w:rsid w:val="008D075A"/>
    <w:rsid w:val="008E342D"/>
    <w:rsid w:val="008E4554"/>
    <w:rsid w:val="008F5D14"/>
    <w:rsid w:val="008F7E70"/>
    <w:rsid w:val="008F7F82"/>
    <w:rsid w:val="00906F44"/>
    <w:rsid w:val="00907DB9"/>
    <w:rsid w:val="00917954"/>
    <w:rsid w:val="00920CA1"/>
    <w:rsid w:val="009370D5"/>
    <w:rsid w:val="009372A8"/>
    <w:rsid w:val="009472BA"/>
    <w:rsid w:val="0096173D"/>
    <w:rsid w:val="00966501"/>
    <w:rsid w:val="00966C66"/>
    <w:rsid w:val="00982817"/>
    <w:rsid w:val="00992BDA"/>
    <w:rsid w:val="0099677E"/>
    <w:rsid w:val="009C15F2"/>
    <w:rsid w:val="009C2C29"/>
    <w:rsid w:val="009C5057"/>
    <w:rsid w:val="009C725B"/>
    <w:rsid w:val="009C7E29"/>
    <w:rsid w:val="009D75E8"/>
    <w:rsid w:val="009D7AA6"/>
    <w:rsid w:val="009E3B1B"/>
    <w:rsid w:val="009F0B4B"/>
    <w:rsid w:val="009F6659"/>
    <w:rsid w:val="00A04CAA"/>
    <w:rsid w:val="00A106D9"/>
    <w:rsid w:val="00A14C25"/>
    <w:rsid w:val="00A2395E"/>
    <w:rsid w:val="00A24CF0"/>
    <w:rsid w:val="00A25976"/>
    <w:rsid w:val="00A33D1F"/>
    <w:rsid w:val="00A35E51"/>
    <w:rsid w:val="00A47DE7"/>
    <w:rsid w:val="00A50529"/>
    <w:rsid w:val="00A55001"/>
    <w:rsid w:val="00A60BB3"/>
    <w:rsid w:val="00A613F4"/>
    <w:rsid w:val="00A61F5A"/>
    <w:rsid w:val="00A63784"/>
    <w:rsid w:val="00A71147"/>
    <w:rsid w:val="00A74567"/>
    <w:rsid w:val="00A80647"/>
    <w:rsid w:val="00A921ED"/>
    <w:rsid w:val="00A92570"/>
    <w:rsid w:val="00A96DE6"/>
    <w:rsid w:val="00AA00FC"/>
    <w:rsid w:val="00AA632F"/>
    <w:rsid w:val="00AC3DEA"/>
    <w:rsid w:val="00AC60B8"/>
    <w:rsid w:val="00AE214D"/>
    <w:rsid w:val="00AF0A91"/>
    <w:rsid w:val="00B01A2C"/>
    <w:rsid w:val="00B05911"/>
    <w:rsid w:val="00B05C9B"/>
    <w:rsid w:val="00B134CA"/>
    <w:rsid w:val="00B137F9"/>
    <w:rsid w:val="00B174D8"/>
    <w:rsid w:val="00B20E91"/>
    <w:rsid w:val="00B22DFE"/>
    <w:rsid w:val="00B3011B"/>
    <w:rsid w:val="00B36452"/>
    <w:rsid w:val="00B376C4"/>
    <w:rsid w:val="00B47264"/>
    <w:rsid w:val="00B519F9"/>
    <w:rsid w:val="00B52A86"/>
    <w:rsid w:val="00B52E1E"/>
    <w:rsid w:val="00B54585"/>
    <w:rsid w:val="00B57D7A"/>
    <w:rsid w:val="00B65A8A"/>
    <w:rsid w:val="00B65CC7"/>
    <w:rsid w:val="00B90187"/>
    <w:rsid w:val="00B975BF"/>
    <w:rsid w:val="00BA3D4A"/>
    <w:rsid w:val="00BB0E9D"/>
    <w:rsid w:val="00BD2828"/>
    <w:rsid w:val="00BD6633"/>
    <w:rsid w:val="00BE0032"/>
    <w:rsid w:val="00BE14BD"/>
    <w:rsid w:val="00BF4215"/>
    <w:rsid w:val="00C14AF5"/>
    <w:rsid w:val="00C15DC1"/>
    <w:rsid w:val="00C41976"/>
    <w:rsid w:val="00C47D22"/>
    <w:rsid w:val="00C6069B"/>
    <w:rsid w:val="00C62219"/>
    <w:rsid w:val="00C81C65"/>
    <w:rsid w:val="00C85C94"/>
    <w:rsid w:val="00C90563"/>
    <w:rsid w:val="00C972CB"/>
    <w:rsid w:val="00CA3D72"/>
    <w:rsid w:val="00CC1D7B"/>
    <w:rsid w:val="00CC2BA8"/>
    <w:rsid w:val="00CC30BA"/>
    <w:rsid w:val="00CC7BE4"/>
    <w:rsid w:val="00CD35D1"/>
    <w:rsid w:val="00CD55CB"/>
    <w:rsid w:val="00CE45E2"/>
    <w:rsid w:val="00CE7BC2"/>
    <w:rsid w:val="00CF7B99"/>
    <w:rsid w:val="00D04118"/>
    <w:rsid w:val="00D12205"/>
    <w:rsid w:val="00D129E7"/>
    <w:rsid w:val="00D12EB1"/>
    <w:rsid w:val="00D17908"/>
    <w:rsid w:val="00D217A8"/>
    <w:rsid w:val="00D232D6"/>
    <w:rsid w:val="00D26209"/>
    <w:rsid w:val="00D31510"/>
    <w:rsid w:val="00D5409B"/>
    <w:rsid w:val="00D55B65"/>
    <w:rsid w:val="00D62BFE"/>
    <w:rsid w:val="00D65837"/>
    <w:rsid w:val="00D75EEE"/>
    <w:rsid w:val="00D779E3"/>
    <w:rsid w:val="00D8656D"/>
    <w:rsid w:val="00D87AEC"/>
    <w:rsid w:val="00D935D5"/>
    <w:rsid w:val="00D9395C"/>
    <w:rsid w:val="00DA3BB3"/>
    <w:rsid w:val="00DA64A8"/>
    <w:rsid w:val="00DB1745"/>
    <w:rsid w:val="00DC7ED6"/>
    <w:rsid w:val="00DD0006"/>
    <w:rsid w:val="00DE280C"/>
    <w:rsid w:val="00DE5863"/>
    <w:rsid w:val="00DF0B1B"/>
    <w:rsid w:val="00DF4D85"/>
    <w:rsid w:val="00E03B30"/>
    <w:rsid w:val="00E1006C"/>
    <w:rsid w:val="00E10BA2"/>
    <w:rsid w:val="00E1155B"/>
    <w:rsid w:val="00E136D0"/>
    <w:rsid w:val="00E13916"/>
    <w:rsid w:val="00E205D9"/>
    <w:rsid w:val="00E271A0"/>
    <w:rsid w:val="00E31071"/>
    <w:rsid w:val="00E4377B"/>
    <w:rsid w:val="00E518A8"/>
    <w:rsid w:val="00E62020"/>
    <w:rsid w:val="00E65721"/>
    <w:rsid w:val="00E7139F"/>
    <w:rsid w:val="00E7226B"/>
    <w:rsid w:val="00E77A47"/>
    <w:rsid w:val="00E83E3E"/>
    <w:rsid w:val="00E85F9E"/>
    <w:rsid w:val="00EB78C9"/>
    <w:rsid w:val="00EE5B96"/>
    <w:rsid w:val="00EE775F"/>
    <w:rsid w:val="00F004EB"/>
    <w:rsid w:val="00F06C41"/>
    <w:rsid w:val="00F16675"/>
    <w:rsid w:val="00F215B1"/>
    <w:rsid w:val="00F4705B"/>
    <w:rsid w:val="00F509E1"/>
    <w:rsid w:val="00F53D40"/>
    <w:rsid w:val="00F5444F"/>
    <w:rsid w:val="00F73603"/>
    <w:rsid w:val="00F82C66"/>
    <w:rsid w:val="00F87FE0"/>
    <w:rsid w:val="00F96CD3"/>
    <w:rsid w:val="00FA5100"/>
    <w:rsid w:val="00FA6B96"/>
    <w:rsid w:val="00FA744D"/>
    <w:rsid w:val="00FB341A"/>
    <w:rsid w:val="00FB5741"/>
    <w:rsid w:val="00FB7587"/>
    <w:rsid w:val="00FD03F7"/>
    <w:rsid w:val="00FD4E0C"/>
    <w:rsid w:val="00FE32DA"/>
    <w:rsid w:val="00FE3A75"/>
    <w:rsid w:val="00FE7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17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C4"/>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C90563"/>
    <w:pPr>
      <w:ind w:left="720"/>
      <w:contextualSpacing/>
    </w:pPr>
  </w:style>
  <w:style w:type="table" w:styleId="TableGrid">
    <w:name w:val="Table Grid"/>
    <w:basedOn w:val="TableNormal"/>
    <w:rsid w:val="006467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349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B349D"/>
    <w:rPr>
      <w:rFonts w:ascii="Tahoma" w:hAnsi="Tahoma" w:cs="Tahoma"/>
      <w:sz w:val="16"/>
      <w:szCs w:val="16"/>
    </w:rPr>
  </w:style>
  <w:style w:type="character" w:customStyle="1" w:styleId="apple-style-span">
    <w:name w:val="apple-style-span"/>
    <w:basedOn w:val="DefaultParagraphFont"/>
    <w:rsid w:val="00133D01"/>
  </w:style>
  <w:style w:type="paragraph" w:styleId="NormalWeb">
    <w:name w:val="Normal (Web)"/>
    <w:basedOn w:val="Normal"/>
    <w:link w:val="NormalWebChar"/>
    <w:unhideWhenUsed/>
    <w:rsid w:val="00FB341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B341A"/>
    <w:rPr>
      <w:b/>
      <w:bCs/>
    </w:rPr>
  </w:style>
  <w:style w:type="character" w:styleId="Hyperlink">
    <w:name w:val="Hyperlink"/>
    <w:unhideWhenUsed/>
    <w:rsid w:val="008E342D"/>
    <w:rPr>
      <w:color w:val="0000FF"/>
      <w:u w:val="single"/>
    </w:rPr>
  </w:style>
  <w:style w:type="paragraph" w:styleId="BodyText2">
    <w:name w:val="Body Text 2"/>
    <w:basedOn w:val="Normal"/>
    <w:link w:val="BodyText2Char"/>
    <w:rsid w:val="00B376C4"/>
    <w:pPr>
      <w:spacing w:line="240" w:lineRule="auto"/>
    </w:pPr>
    <w:rPr>
      <w:rFonts w:ascii="Arial" w:eastAsia="Times New Roman" w:hAnsi="Arial" w:cs="Arial"/>
      <w:sz w:val="20"/>
      <w:szCs w:val="24"/>
    </w:rPr>
  </w:style>
  <w:style w:type="character" w:customStyle="1" w:styleId="BodyText2Char">
    <w:name w:val="Body Text 2 Char"/>
    <w:link w:val="BodyText2"/>
    <w:rsid w:val="00B376C4"/>
    <w:rPr>
      <w:rFonts w:ascii="Arial" w:eastAsia="Times New Roman" w:hAnsi="Arial" w:cs="Arial"/>
      <w:sz w:val="20"/>
      <w:szCs w:val="24"/>
    </w:rPr>
  </w:style>
  <w:style w:type="character" w:styleId="FollowedHyperlink">
    <w:name w:val="FollowedHyperlink"/>
    <w:uiPriority w:val="99"/>
    <w:semiHidden/>
    <w:unhideWhenUsed/>
    <w:rsid w:val="00F5444F"/>
    <w:rPr>
      <w:color w:val="800080"/>
      <w:u w:val="single"/>
    </w:rPr>
  </w:style>
  <w:style w:type="paragraph" w:styleId="Header">
    <w:name w:val="header"/>
    <w:basedOn w:val="Normal"/>
    <w:link w:val="HeaderChar"/>
    <w:uiPriority w:val="99"/>
    <w:semiHidden/>
    <w:unhideWhenUsed/>
    <w:rsid w:val="004D3EF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D3EFA"/>
  </w:style>
  <w:style w:type="paragraph" w:styleId="Footer">
    <w:name w:val="footer"/>
    <w:basedOn w:val="Normal"/>
    <w:link w:val="FooterChar"/>
    <w:uiPriority w:val="99"/>
    <w:unhideWhenUsed/>
    <w:rsid w:val="004D3EFA"/>
    <w:pPr>
      <w:tabs>
        <w:tab w:val="center" w:pos="4680"/>
        <w:tab w:val="right" w:pos="9360"/>
      </w:tabs>
      <w:spacing w:line="240" w:lineRule="auto"/>
    </w:pPr>
  </w:style>
  <w:style w:type="character" w:customStyle="1" w:styleId="FooterChar">
    <w:name w:val="Footer Char"/>
    <w:basedOn w:val="DefaultParagraphFont"/>
    <w:link w:val="Footer"/>
    <w:uiPriority w:val="99"/>
    <w:rsid w:val="004D3EFA"/>
  </w:style>
  <w:style w:type="character" w:customStyle="1" w:styleId="NormalWebChar">
    <w:name w:val="Normal (Web) Char"/>
    <w:link w:val="NormalWeb"/>
    <w:rsid w:val="00632BD7"/>
    <w:rPr>
      <w:rFonts w:ascii="Times New Roman" w:eastAsia="Times New Roman" w:hAnsi="Times New Roman"/>
      <w:sz w:val="24"/>
      <w:szCs w:val="24"/>
    </w:rPr>
  </w:style>
  <w:style w:type="character" w:styleId="CommentReference">
    <w:name w:val="annotation reference"/>
    <w:uiPriority w:val="99"/>
    <w:semiHidden/>
    <w:unhideWhenUsed/>
    <w:rsid w:val="00CC1D7B"/>
    <w:rPr>
      <w:sz w:val="16"/>
      <w:szCs w:val="16"/>
    </w:rPr>
  </w:style>
  <w:style w:type="paragraph" w:styleId="CommentText">
    <w:name w:val="annotation text"/>
    <w:basedOn w:val="Normal"/>
    <w:link w:val="CommentTextChar"/>
    <w:uiPriority w:val="99"/>
    <w:semiHidden/>
    <w:unhideWhenUsed/>
    <w:rsid w:val="00CC1D7B"/>
    <w:pPr>
      <w:spacing w:line="240" w:lineRule="auto"/>
    </w:pPr>
    <w:rPr>
      <w:rFonts w:ascii="Cambria" w:eastAsia="MS Mincho" w:hAnsi="Cambria"/>
      <w:sz w:val="20"/>
      <w:szCs w:val="20"/>
    </w:rPr>
  </w:style>
  <w:style w:type="character" w:customStyle="1" w:styleId="CommentTextChar">
    <w:name w:val="Comment Text Char"/>
    <w:basedOn w:val="DefaultParagraphFont"/>
    <w:link w:val="CommentText"/>
    <w:uiPriority w:val="99"/>
    <w:semiHidden/>
    <w:rsid w:val="00CC1D7B"/>
    <w:rPr>
      <w:rFonts w:ascii="Cambria" w:eastAsia="MS Mincho" w:hAnsi="Cambria"/>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BA3D4A"/>
    <w:rPr>
      <w:rFonts w:ascii="Times New Roman" w:eastAsia="Times New Roman" w:hAnsi="Times New Roman"/>
    </w:rPr>
  </w:style>
  <w:style w:type="character" w:styleId="FootnoteReference">
    <w:name w:val="footnote reference"/>
    <w:semiHidden/>
    <w:rsid w:val="00BA3D4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C4"/>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C90563"/>
    <w:pPr>
      <w:ind w:left="720"/>
      <w:contextualSpacing/>
    </w:pPr>
  </w:style>
  <w:style w:type="table" w:styleId="TableGrid">
    <w:name w:val="Table Grid"/>
    <w:basedOn w:val="TableNormal"/>
    <w:rsid w:val="006467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349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B349D"/>
    <w:rPr>
      <w:rFonts w:ascii="Tahoma" w:hAnsi="Tahoma" w:cs="Tahoma"/>
      <w:sz w:val="16"/>
      <w:szCs w:val="16"/>
    </w:rPr>
  </w:style>
  <w:style w:type="character" w:customStyle="1" w:styleId="apple-style-span">
    <w:name w:val="apple-style-span"/>
    <w:basedOn w:val="DefaultParagraphFont"/>
    <w:rsid w:val="00133D01"/>
  </w:style>
  <w:style w:type="paragraph" w:styleId="NormalWeb">
    <w:name w:val="Normal (Web)"/>
    <w:basedOn w:val="Normal"/>
    <w:link w:val="NormalWebChar"/>
    <w:unhideWhenUsed/>
    <w:rsid w:val="00FB341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B341A"/>
    <w:rPr>
      <w:b/>
      <w:bCs/>
    </w:rPr>
  </w:style>
  <w:style w:type="character" w:styleId="Hyperlink">
    <w:name w:val="Hyperlink"/>
    <w:unhideWhenUsed/>
    <w:rsid w:val="008E342D"/>
    <w:rPr>
      <w:color w:val="0000FF"/>
      <w:u w:val="single"/>
    </w:rPr>
  </w:style>
  <w:style w:type="paragraph" w:styleId="BodyText2">
    <w:name w:val="Body Text 2"/>
    <w:basedOn w:val="Normal"/>
    <w:link w:val="BodyText2Char"/>
    <w:rsid w:val="00B376C4"/>
    <w:pPr>
      <w:spacing w:line="240" w:lineRule="auto"/>
    </w:pPr>
    <w:rPr>
      <w:rFonts w:ascii="Arial" w:eastAsia="Times New Roman" w:hAnsi="Arial" w:cs="Arial"/>
      <w:sz w:val="20"/>
      <w:szCs w:val="24"/>
    </w:rPr>
  </w:style>
  <w:style w:type="character" w:customStyle="1" w:styleId="BodyText2Char">
    <w:name w:val="Body Text 2 Char"/>
    <w:link w:val="BodyText2"/>
    <w:rsid w:val="00B376C4"/>
    <w:rPr>
      <w:rFonts w:ascii="Arial" w:eastAsia="Times New Roman" w:hAnsi="Arial" w:cs="Arial"/>
      <w:sz w:val="20"/>
      <w:szCs w:val="24"/>
    </w:rPr>
  </w:style>
  <w:style w:type="character" w:styleId="FollowedHyperlink">
    <w:name w:val="FollowedHyperlink"/>
    <w:uiPriority w:val="99"/>
    <w:semiHidden/>
    <w:unhideWhenUsed/>
    <w:rsid w:val="00F5444F"/>
    <w:rPr>
      <w:color w:val="800080"/>
      <w:u w:val="single"/>
    </w:rPr>
  </w:style>
  <w:style w:type="paragraph" w:styleId="Header">
    <w:name w:val="header"/>
    <w:basedOn w:val="Normal"/>
    <w:link w:val="HeaderChar"/>
    <w:uiPriority w:val="99"/>
    <w:semiHidden/>
    <w:unhideWhenUsed/>
    <w:rsid w:val="004D3EF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D3EFA"/>
  </w:style>
  <w:style w:type="paragraph" w:styleId="Footer">
    <w:name w:val="footer"/>
    <w:basedOn w:val="Normal"/>
    <w:link w:val="FooterChar"/>
    <w:uiPriority w:val="99"/>
    <w:unhideWhenUsed/>
    <w:rsid w:val="004D3EFA"/>
    <w:pPr>
      <w:tabs>
        <w:tab w:val="center" w:pos="4680"/>
        <w:tab w:val="right" w:pos="9360"/>
      </w:tabs>
      <w:spacing w:line="240" w:lineRule="auto"/>
    </w:pPr>
  </w:style>
  <w:style w:type="character" w:customStyle="1" w:styleId="FooterChar">
    <w:name w:val="Footer Char"/>
    <w:basedOn w:val="DefaultParagraphFont"/>
    <w:link w:val="Footer"/>
    <w:uiPriority w:val="99"/>
    <w:rsid w:val="004D3EFA"/>
  </w:style>
  <w:style w:type="character" w:customStyle="1" w:styleId="NormalWebChar">
    <w:name w:val="Normal (Web) Char"/>
    <w:link w:val="NormalWeb"/>
    <w:rsid w:val="00632BD7"/>
    <w:rPr>
      <w:rFonts w:ascii="Times New Roman" w:eastAsia="Times New Roman" w:hAnsi="Times New Roman"/>
      <w:sz w:val="24"/>
      <w:szCs w:val="24"/>
    </w:rPr>
  </w:style>
  <w:style w:type="character" w:styleId="CommentReference">
    <w:name w:val="annotation reference"/>
    <w:uiPriority w:val="99"/>
    <w:semiHidden/>
    <w:unhideWhenUsed/>
    <w:rsid w:val="00CC1D7B"/>
    <w:rPr>
      <w:sz w:val="16"/>
      <w:szCs w:val="16"/>
    </w:rPr>
  </w:style>
  <w:style w:type="paragraph" w:styleId="CommentText">
    <w:name w:val="annotation text"/>
    <w:basedOn w:val="Normal"/>
    <w:link w:val="CommentTextChar"/>
    <w:uiPriority w:val="99"/>
    <w:semiHidden/>
    <w:unhideWhenUsed/>
    <w:rsid w:val="00CC1D7B"/>
    <w:pPr>
      <w:spacing w:line="240" w:lineRule="auto"/>
    </w:pPr>
    <w:rPr>
      <w:rFonts w:ascii="Cambria" w:eastAsia="MS Mincho" w:hAnsi="Cambria"/>
      <w:sz w:val="20"/>
      <w:szCs w:val="20"/>
    </w:rPr>
  </w:style>
  <w:style w:type="character" w:customStyle="1" w:styleId="CommentTextChar">
    <w:name w:val="Comment Text Char"/>
    <w:basedOn w:val="DefaultParagraphFont"/>
    <w:link w:val="CommentText"/>
    <w:uiPriority w:val="99"/>
    <w:semiHidden/>
    <w:rsid w:val="00CC1D7B"/>
    <w:rPr>
      <w:rFonts w:ascii="Cambria" w:eastAsia="MS Mincho" w:hAnsi="Cambria"/>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BA3D4A"/>
    <w:rPr>
      <w:rFonts w:ascii="Times New Roman" w:eastAsia="Times New Roman" w:hAnsi="Times New Roman"/>
    </w:rPr>
  </w:style>
  <w:style w:type="character" w:styleId="FootnoteReference">
    <w:name w:val="footnote reference"/>
    <w:semiHidden/>
    <w:rsid w:val="00BA3D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0455">
      <w:bodyDiv w:val="1"/>
      <w:marLeft w:val="0"/>
      <w:marRight w:val="0"/>
      <w:marTop w:val="0"/>
      <w:marBottom w:val="0"/>
      <w:divBdr>
        <w:top w:val="none" w:sz="0" w:space="0" w:color="auto"/>
        <w:left w:val="none" w:sz="0" w:space="0" w:color="auto"/>
        <w:bottom w:val="none" w:sz="0" w:space="0" w:color="auto"/>
        <w:right w:val="none" w:sz="0" w:space="0" w:color="auto"/>
      </w:divBdr>
    </w:div>
    <w:div w:id="268657882">
      <w:bodyDiv w:val="1"/>
      <w:marLeft w:val="0"/>
      <w:marRight w:val="0"/>
      <w:marTop w:val="0"/>
      <w:marBottom w:val="0"/>
      <w:divBdr>
        <w:top w:val="none" w:sz="0" w:space="0" w:color="auto"/>
        <w:left w:val="none" w:sz="0" w:space="0" w:color="auto"/>
        <w:bottom w:val="none" w:sz="0" w:space="0" w:color="auto"/>
        <w:right w:val="none" w:sz="0" w:space="0" w:color="auto"/>
      </w:divBdr>
      <w:divsChild>
        <w:div w:id="158815935">
          <w:marLeft w:val="1166"/>
          <w:marRight w:val="0"/>
          <w:marTop w:val="96"/>
          <w:marBottom w:val="0"/>
          <w:divBdr>
            <w:top w:val="none" w:sz="0" w:space="0" w:color="auto"/>
            <w:left w:val="none" w:sz="0" w:space="0" w:color="auto"/>
            <w:bottom w:val="none" w:sz="0" w:space="0" w:color="auto"/>
            <w:right w:val="none" w:sz="0" w:space="0" w:color="auto"/>
          </w:divBdr>
        </w:div>
        <w:div w:id="208345122">
          <w:marLeft w:val="1166"/>
          <w:marRight w:val="0"/>
          <w:marTop w:val="96"/>
          <w:marBottom w:val="0"/>
          <w:divBdr>
            <w:top w:val="none" w:sz="0" w:space="0" w:color="auto"/>
            <w:left w:val="none" w:sz="0" w:space="0" w:color="auto"/>
            <w:bottom w:val="none" w:sz="0" w:space="0" w:color="auto"/>
            <w:right w:val="none" w:sz="0" w:space="0" w:color="auto"/>
          </w:divBdr>
        </w:div>
        <w:div w:id="237902574">
          <w:marLeft w:val="1166"/>
          <w:marRight w:val="0"/>
          <w:marTop w:val="96"/>
          <w:marBottom w:val="0"/>
          <w:divBdr>
            <w:top w:val="none" w:sz="0" w:space="0" w:color="auto"/>
            <w:left w:val="none" w:sz="0" w:space="0" w:color="auto"/>
            <w:bottom w:val="none" w:sz="0" w:space="0" w:color="auto"/>
            <w:right w:val="none" w:sz="0" w:space="0" w:color="auto"/>
          </w:divBdr>
        </w:div>
        <w:div w:id="245264929">
          <w:marLeft w:val="1166"/>
          <w:marRight w:val="0"/>
          <w:marTop w:val="96"/>
          <w:marBottom w:val="0"/>
          <w:divBdr>
            <w:top w:val="none" w:sz="0" w:space="0" w:color="auto"/>
            <w:left w:val="none" w:sz="0" w:space="0" w:color="auto"/>
            <w:bottom w:val="none" w:sz="0" w:space="0" w:color="auto"/>
            <w:right w:val="none" w:sz="0" w:space="0" w:color="auto"/>
          </w:divBdr>
        </w:div>
        <w:div w:id="554270716">
          <w:marLeft w:val="547"/>
          <w:marRight w:val="0"/>
          <w:marTop w:val="106"/>
          <w:marBottom w:val="0"/>
          <w:divBdr>
            <w:top w:val="none" w:sz="0" w:space="0" w:color="auto"/>
            <w:left w:val="none" w:sz="0" w:space="0" w:color="auto"/>
            <w:bottom w:val="none" w:sz="0" w:space="0" w:color="auto"/>
            <w:right w:val="none" w:sz="0" w:space="0" w:color="auto"/>
          </w:divBdr>
        </w:div>
        <w:div w:id="1004405720">
          <w:marLeft w:val="547"/>
          <w:marRight w:val="0"/>
          <w:marTop w:val="106"/>
          <w:marBottom w:val="0"/>
          <w:divBdr>
            <w:top w:val="none" w:sz="0" w:space="0" w:color="auto"/>
            <w:left w:val="none" w:sz="0" w:space="0" w:color="auto"/>
            <w:bottom w:val="none" w:sz="0" w:space="0" w:color="auto"/>
            <w:right w:val="none" w:sz="0" w:space="0" w:color="auto"/>
          </w:divBdr>
        </w:div>
        <w:div w:id="1443845640">
          <w:marLeft w:val="547"/>
          <w:marRight w:val="0"/>
          <w:marTop w:val="106"/>
          <w:marBottom w:val="0"/>
          <w:divBdr>
            <w:top w:val="none" w:sz="0" w:space="0" w:color="auto"/>
            <w:left w:val="none" w:sz="0" w:space="0" w:color="auto"/>
            <w:bottom w:val="none" w:sz="0" w:space="0" w:color="auto"/>
            <w:right w:val="none" w:sz="0" w:space="0" w:color="auto"/>
          </w:divBdr>
        </w:div>
      </w:divsChild>
    </w:div>
    <w:div w:id="317803028">
      <w:bodyDiv w:val="1"/>
      <w:marLeft w:val="0"/>
      <w:marRight w:val="0"/>
      <w:marTop w:val="0"/>
      <w:marBottom w:val="0"/>
      <w:divBdr>
        <w:top w:val="none" w:sz="0" w:space="0" w:color="auto"/>
        <w:left w:val="none" w:sz="0" w:space="0" w:color="auto"/>
        <w:bottom w:val="none" w:sz="0" w:space="0" w:color="auto"/>
        <w:right w:val="none" w:sz="0" w:space="0" w:color="auto"/>
      </w:divBdr>
    </w:div>
    <w:div w:id="808477197">
      <w:bodyDiv w:val="1"/>
      <w:marLeft w:val="0"/>
      <w:marRight w:val="0"/>
      <w:marTop w:val="0"/>
      <w:marBottom w:val="0"/>
      <w:divBdr>
        <w:top w:val="none" w:sz="0" w:space="0" w:color="auto"/>
        <w:left w:val="none" w:sz="0" w:space="0" w:color="auto"/>
        <w:bottom w:val="none" w:sz="0" w:space="0" w:color="auto"/>
        <w:right w:val="none" w:sz="0" w:space="0" w:color="auto"/>
      </w:divBdr>
      <w:divsChild>
        <w:div w:id="590044415">
          <w:marLeft w:val="547"/>
          <w:marRight w:val="0"/>
          <w:marTop w:val="130"/>
          <w:marBottom w:val="0"/>
          <w:divBdr>
            <w:top w:val="none" w:sz="0" w:space="0" w:color="auto"/>
            <w:left w:val="none" w:sz="0" w:space="0" w:color="auto"/>
            <w:bottom w:val="none" w:sz="0" w:space="0" w:color="auto"/>
            <w:right w:val="none" w:sz="0" w:space="0" w:color="auto"/>
          </w:divBdr>
        </w:div>
        <w:div w:id="1074350994">
          <w:marLeft w:val="547"/>
          <w:marRight w:val="0"/>
          <w:marTop w:val="130"/>
          <w:marBottom w:val="0"/>
          <w:divBdr>
            <w:top w:val="none" w:sz="0" w:space="0" w:color="auto"/>
            <w:left w:val="none" w:sz="0" w:space="0" w:color="auto"/>
            <w:bottom w:val="none" w:sz="0" w:space="0" w:color="auto"/>
            <w:right w:val="none" w:sz="0" w:space="0" w:color="auto"/>
          </w:divBdr>
        </w:div>
        <w:div w:id="1175535549">
          <w:marLeft w:val="547"/>
          <w:marRight w:val="0"/>
          <w:marTop w:val="130"/>
          <w:marBottom w:val="0"/>
          <w:divBdr>
            <w:top w:val="none" w:sz="0" w:space="0" w:color="auto"/>
            <w:left w:val="none" w:sz="0" w:space="0" w:color="auto"/>
            <w:bottom w:val="none" w:sz="0" w:space="0" w:color="auto"/>
            <w:right w:val="none" w:sz="0" w:space="0" w:color="auto"/>
          </w:divBdr>
        </w:div>
      </w:divsChild>
    </w:div>
    <w:div w:id="1082409542">
      <w:bodyDiv w:val="1"/>
      <w:marLeft w:val="0"/>
      <w:marRight w:val="0"/>
      <w:marTop w:val="0"/>
      <w:marBottom w:val="0"/>
      <w:divBdr>
        <w:top w:val="none" w:sz="0" w:space="0" w:color="auto"/>
        <w:left w:val="none" w:sz="0" w:space="0" w:color="auto"/>
        <w:bottom w:val="none" w:sz="0" w:space="0" w:color="auto"/>
        <w:right w:val="none" w:sz="0" w:space="0" w:color="auto"/>
      </w:divBdr>
    </w:div>
    <w:div w:id="1442799010">
      <w:bodyDiv w:val="1"/>
      <w:marLeft w:val="0"/>
      <w:marRight w:val="0"/>
      <w:marTop w:val="0"/>
      <w:marBottom w:val="0"/>
      <w:divBdr>
        <w:top w:val="none" w:sz="0" w:space="0" w:color="auto"/>
        <w:left w:val="none" w:sz="0" w:space="0" w:color="auto"/>
        <w:bottom w:val="none" w:sz="0" w:space="0" w:color="auto"/>
        <w:right w:val="none" w:sz="0" w:space="0" w:color="auto"/>
      </w:divBdr>
    </w:div>
    <w:div w:id="1601640236">
      <w:bodyDiv w:val="1"/>
      <w:marLeft w:val="0"/>
      <w:marRight w:val="0"/>
      <w:marTop w:val="0"/>
      <w:marBottom w:val="0"/>
      <w:divBdr>
        <w:top w:val="none" w:sz="0" w:space="0" w:color="auto"/>
        <w:left w:val="none" w:sz="0" w:space="0" w:color="auto"/>
        <w:bottom w:val="none" w:sz="0" w:space="0" w:color="auto"/>
        <w:right w:val="none" w:sz="0" w:space="0" w:color="auto"/>
      </w:divBdr>
    </w:div>
    <w:div w:id="1666012913">
      <w:bodyDiv w:val="1"/>
      <w:marLeft w:val="0"/>
      <w:marRight w:val="0"/>
      <w:marTop w:val="0"/>
      <w:marBottom w:val="0"/>
      <w:divBdr>
        <w:top w:val="none" w:sz="0" w:space="0" w:color="auto"/>
        <w:left w:val="none" w:sz="0" w:space="0" w:color="auto"/>
        <w:bottom w:val="none" w:sz="0" w:space="0" w:color="auto"/>
        <w:right w:val="none" w:sz="0" w:space="0" w:color="auto"/>
      </w:divBdr>
    </w:div>
    <w:div w:id="171272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21" Type="http://schemas.openxmlformats.org/officeDocument/2006/relationships/image" Target="media/image8.png"/><Relationship Id="rId22" Type="http://schemas.openxmlformats.org/officeDocument/2006/relationships/image" Target="media/image9.png"/><Relationship Id="rId23" Type="http://schemas.openxmlformats.org/officeDocument/2006/relationships/image" Target="media/image10.png"/><Relationship Id="rId24" Type="http://schemas.openxmlformats.org/officeDocument/2006/relationships/image" Target="media/image11.png"/><Relationship Id="rId25" Type="http://schemas.openxmlformats.org/officeDocument/2006/relationships/image" Target="media/image12.png"/><Relationship Id="rId26" Type="http://schemas.openxmlformats.org/officeDocument/2006/relationships/image" Target="media/image13.png"/><Relationship Id="rId27" Type="http://schemas.openxmlformats.org/officeDocument/2006/relationships/hyperlink" Target="http://www.icann.org/en/committees/security/sac044.pdf" TargetMode="External"/><Relationship Id="rId28" Type="http://schemas.openxmlformats.org/officeDocument/2006/relationships/image" Target="media/image14.png"/><Relationship Id="rId29" Type="http://schemas.openxmlformats.org/officeDocument/2006/relationships/image" Target="media/image15.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16.png"/><Relationship Id="rId31" Type="http://schemas.openxmlformats.org/officeDocument/2006/relationships/image" Target="media/image17.png"/><Relationship Id="rId32" Type="http://schemas.openxmlformats.org/officeDocument/2006/relationships/image" Target="media/image18.png"/><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19.png"/><Relationship Id="rId34" Type="http://schemas.openxmlformats.org/officeDocument/2006/relationships/image" Target="media/image20.png"/><Relationship Id="rId35" Type="http://schemas.openxmlformats.org/officeDocument/2006/relationships/image" Target="media/image21.png"/><Relationship Id="rId36" Type="http://schemas.openxmlformats.org/officeDocument/2006/relationships/image" Target="media/image22.png"/><Relationship Id="rId10" Type="http://schemas.openxmlformats.org/officeDocument/2006/relationships/image" Target="media/image2.png"/><Relationship Id="rId11" Type="http://schemas.openxmlformats.org/officeDocument/2006/relationships/hyperlink" Target="http://www.icann.org/announcements/hijacking-report-12jul05.pdf;" TargetMode="External"/><Relationship Id="rId12" Type="http://schemas.openxmlformats.org/officeDocument/2006/relationships/hyperlink" Target="http://www.icann.org/correspondence/cole-to-tonkin-14mar05.htm"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hyperlink" Target="http://www.icann.org/announcements/hijacking-report-12jul05.pdf;" TargetMode="External"/><Relationship Id="rId17" Type="http://schemas.openxmlformats.org/officeDocument/2006/relationships/hyperlink" Target="http://www.icann.org/correspondence/cole-to-tonkin-14mar05.htm" TargetMode="External"/><Relationship Id="rId18" Type="http://schemas.openxmlformats.org/officeDocument/2006/relationships/hyperlink" Target="http://www.icann.org/announcements/hijacking-report-12jul05.pdf" TargetMode="External"/><Relationship Id="rId19" Type="http://schemas.openxmlformats.org/officeDocument/2006/relationships/image" Target="media/image6.png"/><Relationship Id="rId37" Type="http://schemas.openxmlformats.org/officeDocument/2006/relationships/footer" Target="footer1.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9A25A-B938-C042-97F5-50ED9CF5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2828</Words>
  <Characters>16122</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BC Position Statement</vt:lpstr>
    </vt:vector>
  </TitlesOfParts>
  <Company>Infinity Portals LLC</Company>
  <LinksUpToDate>false</LinksUpToDate>
  <CharactersWithSpaces>18913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 Position Statement</dc:title>
  <dc:creator>Berry A Cobb</dc:creator>
  <cp:lastModifiedBy>Mike O'Connor</cp:lastModifiedBy>
  <cp:revision>2</cp:revision>
  <dcterms:created xsi:type="dcterms:W3CDTF">2011-03-18T22:55:00Z</dcterms:created>
  <dcterms:modified xsi:type="dcterms:W3CDTF">2011-03-18T22:55:00Z</dcterms:modified>
</cp:coreProperties>
</file>