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A227D5" w14:textId="46B69C31" w:rsidR="00356569" w:rsidRPr="00E455EE" w:rsidRDefault="00356569" w:rsidP="00356569">
      <w:pPr>
        <w:widowControl w:val="0"/>
        <w:autoSpaceDE w:val="0"/>
        <w:autoSpaceDN w:val="0"/>
        <w:adjustRightInd w:val="0"/>
        <w:rPr>
          <w:rFonts w:asciiTheme="majorHAnsi" w:hAnsiTheme="majorHAnsi" w:cs="Courier"/>
          <w:bCs/>
          <w:color w:val="181818"/>
        </w:rPr>
      </w:pPr>
    </w:p>
    <w:p w14:paraId="1EDEE3EF" w14:textId="77777777" w:rsidR="00356569" w:rsidRPr="00527DD4" w:rsidRDefault="00356569" w:rsidP="00E455EE">
      <w:pPr>
        <w:widowControl w:val="0"/>
        <w:autoSpaceDE w:val="0"/>
        <w:autoSpaceDN w:val="0"/>
        <w:adjustRightInd w:val="0"/>
        <w:jc w:val="center"/>
        <w:rPr>
          <w:rFonts w:asciiTheme="majorHAnsi" w:hAnsiTheme="majorHAnsi" w:cs="Courier"/>
          <w:b/>
          <w:bCs/>
          <w:color w:val="181818"/>
          <w:sz w:val="22"/>
          <w:szCs w:val="22"/>
        </w:rPr>
      </w:pPr>
      <w:r w:rsidRPr="00527DD4">
        <w:rPr>
          <w:rFonts w:asciiTheme="majorHAnsi" w:hAnsiTheme="majorHAnsi" w:cs="Courier"/>
          <w:b/>
          <w:bCs/>
          <w:color w:val="181818"/>
          <w:sz w:val="22"/>
          <w:szCs w:val="22"/>
        </w:rPr>
        <w:t xml:space="preserve">Report Card on </w:t>
      </w:r>
    </w:p>
    <w:p w14:paraId="45482C80" w14:textId="1D784B71" w:rsidR="00E455EE" w:rsidRPr="00527DD4" w:rsidRDefault="00356569" w:rsidP="00E455EE">
      <w:pPr>
        <w:widowControl w:val="0"/>
        <w:autoSpaceDE w:val="0"/>
        <w:autoSpaceDN w:val="0"/>
        <w:adjustRightInd w:val="0"/>
        <w:jc w:val="center"/>
        <w:rPr>
          <w:rFonts w:asciiTheme="majorHAnsi" w:hAnsiTheme="majorHAnsi" w:cs="Tahoma"/>
          <w:color w:val="1F1F1F"/>
          <w:sz w:val="22"/>
          <w:szCs w:val="22"/>
        </w:rPr>
      </w:pPr>
      <w:r w:rsidRPr="00527DD4">
        <w:rPr>
          <w:rFonts w:asciiTheme="majorHAnsi" w:hAnsiTheme="majorHAnsi" w:cs="Courier"/>
          <w:b/>
          <w:bCs/>
          <w:color w:val="181818"/>
          <w:sz w:val="22"/>
          <w:szCs w:val="22"/>
        </w:rPr>
        <w:t>BC</w:t>
      </w:r>
      <w:r w:rsidR="00E455EE" w:rsidRPr="00527DD4">
        <w:rPr>
          <w:rFonts w:asciiTheme="majorHAnsi" w:hAnsiTheme="majorHAnsi" w:cs="Courier"/>
          <w:b/>
          <w:bCs/>
          <w:color w:val="181818"/>
          <w:sz w:val="22"/>
          <w:szCs w:val="22"/>
        </w:rPr>
        <w:t xml:space="preserve"> Improvements to Rights Protection Mechanisms for new gTLDs</w:t>
      </w:r>
    </w:p>
    <w:p w14:paraId="7CE00EE7" w14:textId="06803B8F" w:rsidR="00E455EE" w:rsidRPr="00527DD4" w:rsidRDefault="007E6E01" w:rsidP="00E455EE">
      <w:pPr>
        <w:widowControl w:val="0"/>
        <w:autoSpaceDE w:val="0"/>
        <w:autoSpaceDN w:val="0"/>
        <w:adjustRightInd w:val="0"/>
        <w:jc w:val="center"/>
        <w:rPr>
          <w:rFonts w:asciiTheme="majorHAnsi" w:hAnsiTheme="majorHAnsi" w:cs="Courier"/>
          <w:bCs/>
          <w:color w:val="181818"/>
          <w:sz w:val="22"/>
          <w:szCs w:val="22"/>
        </w:rPr>
      </w:pPr>
      <w:r>
        <w:rPr>
          <w:rFonts w:asciiTheme="majorHAnsi" w:hAnsiTheme="majorHAnsi" w:cs="Courier"/>
          <w:bCs/>
          <w:color w:val="181818"/>
          <w:sz w:val="22"/>
          <w:szCs w:val="22"/>
        </w:rPr>
        <w:t>29</w:t>
      </w:r>
      <w:r w:rsidR="00853FA2" w:rsidRPr="00527DD4">
        <w:rPr>
          <w:rFonts w:asciiTheme="majorHAnsi" w:hAnsiTheme="majorHAnsi" w:cs="Courier"/>
          <w:bCs/>
          <w:color w:val="181818"/>
          <w:sz w:val="22"/>
          <w:szCs w:val="22"/>
        </w:rPr>
        <w:t>-Nov-2012</w:t>
      </w:r>
    </w:p>
    <w:p w14:paraId="3AA89D0B" w14:textId="77777777" w:rsidR="00E455EE" w:rsidRDefault="00E455EE" w:rsidP="00E455EE">
      <w:pPr>
        <w:widowControl w:val="0"/>
        <w:autoSpaceDE w:val="0"/>
        <w:autoSpaceDN w:val="0"/>
        <w:adjustRightInd w:val="0"/>
        <w:rPr>
          <w:rFonts w:asciiTheme="majorHAnsi" w:hAnsiTheme="majorHAnsi" w:cs="Courier"/>
          <w:bCs/>
          <w:color w:val="181818"/>
        </w:rPr>
      </w:pPr>
    </w:p>
    <w:p w14:paraId="128558A9" w14:textId="06B035FA" w:rsidR="00356569" w:rsidRPr="00527DD4" w:rsidRDefault="00120AAE" w:rsidP="00527DD4">
      <w:pPr>
        <w:spacing w:before="120"/>
        <w:rPr>
          <w:rFonts w:asciiTheme="majorHAnsi" w:hAnsiTheme="majorHAnsi"/>
          <w:sz w:val="20"/>
          <w:szCs w:val="22"/>
        </w:rPr>
      </w:pPr>
      <w:r w:rsidRPr="00527DD4">
        <w:rPr>
          <w:rFonts w:asciiTheme="majorHAnsi" w:hAnsiTheme="majorHAnsi" w:cs="Courier"/>
          <w:color w:val="181818"/>
          <w:sz w:val="22"/>
        </w:rPr>
        <w:t> </w:t>
      </w:r>
      <w:r w:rsidR="00356569" w:rsidRPr="00527DD4">
        <w:rPr>
          <w:rFonts w:asciiTheme="majorHAnsi" w:hAnsiTheme="majorHAnsi"/>
          <w:sz w:val="20"/>
          <w:szCs w:val="22"/>
        </w:rPr>
        <w:t xml:space="preserve">See </w:t>
      </w:r>
      <w:proofErr w:type="spellStart"/>
      <w:r w:rsidR="00356569" w:rsidRPr="00527DD4">
        <w:rPr>
          <w:rFonts w:asciiTheme="majorHAnsi" w:hAnsiTheme="majorHAnsi"/>
          <w:sz w:val="20"/>
          <w:szCs w:val="22"/>
        </w:rPr>
        <w:t>Fadi’s</w:t>
      </w:r>
      <w:proofErr w:type="spellEnd"/>
      <w:r w:rsidR="00356569" w:rsidRPr="00527DD4">
        <w:rPr>
          <w:rFonts w:asciiTheme="majorHAnsi" w:hAnsiTheme="majorHAnsi"/>
          <w:sz w:val="20"/>
          <w:szCs w:val="22"/>
        </w:rPr>
        <w:t xml:space="preserve"> blog describing meetings and </w:t>
      </w:r>
      <w:r w:rsidR="00274329" w:rsidRPr="00527DD4">
        <w:rPr>
          <w:rFonts w:asciiTheme="majorHAnsi" w:hAnsiTheme="majorHAnsi"/>
          <w:sz w:val="20"/>
          <w:szCs w:val="22"/>
        </w:rPr>
        <w:t>the so-called “</w:t>
      </w:r>
      <w:proofErr w:type="spellStart"/>
      <w:r w:rsidR="00356569" w:rsidRPr="00527DD4">
        <w:rPr>
          <w:rFonts w:asciiTheme="majorHAnsi" w:hAnsiTheme="majorHAnsi"/>
          <w:sz w:val="20"/>
          <w:szCs w:val="22"/>
        </w:rPr>
        <w:t>Strawman</w:t>
      </w:r>
      <w:proofErr w:type="spellEnd"/>
      <w:r w:rsidR="00274329" w:rsidRPr="00527DD4">
        <w:rPr>
          <w:rFonts w:asciiTheme="majorHAnsi" w:hAnsiTheme="majorHAnsi"/>
          <w:sz w:val="20"/>
          <w:szCs w:val="22"/>
        </w:rPr>
        <w:t>”</w:t>
      </w:r>
      <w:r w:rsidR="00356569" w:rsidRPr="00527DD4">
        <w:rPr>
          <w:rFonts w:asciiTheme="majorHAnsi" w:hAnsiTheme="majorHAnsi"/>
          <w:sz w:val="20"/>
          <w:szCs w:val="22"/>
        </w:rPr>
        <w:t>:</w:t>
      </w:r>
      <w:r w:rsidR="00527DD4">
        <w:rPr>
          <w:rFonts w:asciiTheme="majorHAnsi" w:hAnsiTheme="majorHAnsi"/>
          <w:sz w:val="20"/>
          <w:szCs w:val="22"/>
        </w:rPr>
        <w:t xml:space="preserve"> </w:t>
      </w:r>
      <w:r w:rsidR="00527DD4" w:rsidRPr="00527DD4">
        <w:rPr>
          <w:rFonts w:asciiTheme="majorHAnsi" w:hAnsiTheme="majorHAnsi"/>
          <w:sz w:val="20"/>
          <w:szCs w:val="22"/>
        </w:rPr>
        <w:t xml:space="preserve"> </w:t>
      </w:r>
      <w:r w:rsidR="00356569" w:rsidRPr="00527DD4">
        <w:rPr>
          <w:rFonts w:asciiTheme="majorHAnsi" w:hAnsiTheme="majorHAnsi"/>
          <w:sz w:val="20"/>
          <w:szCs w:val="22"/>
        </w:rPr>
        <w:t>(</w:t>
      </w:r>
      <w:hyperlink r:id="rId8" w:history="1">
        <w:r w:rsidR="00356569" w:rsidRPr="00527DD4">
          <w:rPr>
            <w:rStyle w:val="Hyperlink"/>
            <w:rFonts w:asciiTheme="majorHAnsi" w:hAnsiTheme="majorHAnsi"/>
            <w:sz w:val="20"/>
            <w:szCs w:val="22"/>
          </w:rPr>
          <w:t>link</w:t>
        </w:r>
      </w:hyperlink>
      <w:r w:rsidR="00356569" w:rsidRPr="00527DD4">
        <w:rPr>
          <w:rFonts w:asciiTheme="majorHAnsi" w:hAnsiTheme="majorHAnsi"/>
          <w:sz w:val="20"/>
          <w:szCs w:val="22"/>
        </w:rPr>
        <w:t xml:space="preserve"> to 16-Nov) </w:t>
      </w:r>
      <w:r w:rsidR="00274329" w:rsidRPr="00527DD4">
        <w:rPr>
          <w:rFonts w:asciiTheme="majorHAnsi" w:hAnsiTheme="majorHAnsi"/>
          <w:sz w:val="20"/>
          <w:szCs w:val="22"/>
        </w:rPr>
        <w:tab/>
        <w:t xml:space="preserve"> </w:t>
      </w:r>
      <w:r w:rsidR="00356569" w:rsidRPr="00527DD4">
        <w:rPr>
          <w:rFonts w:asciiTheme="majorHAnsi" w:hAnsiTheme="majorHAnsi"/>
          <w:sz w:val="20"/>
          <w:szCs w:val="22"/>
        </w:rPr>
        <w:t>(</w:t>
      </w:r>
      <w:hyperlink r:id="rId9" w:history="1">
        <w:r w:rsidR="00356569" w:rsidRPr="00527DD4">
          <w:rPr>
            <w:rStyle w:val="Hyperlink"/>
            <w:rFonts w:asciiTheme="majorHAnsi" w:hAnsiTheme="majorHAnsi"/>
            <w:sz w:val="20"/>
            <w:szCs w:val="22"/>
          </w:rPr>
          <w:t>Link</w:t>
        </w:r>
      </w:hyperlink>
      <w:r w:rsidR="00356569" w:rsidRPr="00527DD4">
        <w:rPr>
          <w:rFonts w:asciiTheme="majorHAnsi" w:hAnsiTheme="majorHAnsi"/>
          <w:sz w:val="20"/>
          <w:szCs w:val="22"/>
        </w:rPr>
        <w:t xml:space="preserve"> to 26-Nov)</w:t>
      </w:r>
    </w:p>
    <w:p w14:paraId="7AC88302" w14:textId="77777777" w:rsidR="00120AAE" w:rsidRPr="00971515" w:rsidRDefault="00120AAE" w:rsidP="00120AAE">
      <w:pPr>
        <w:widowControl w:val="0"/>
        <w:autoSpaceDE w:val="0"/>
        <w:autoSpaceDN w:val="0"/>
        <w:adjustRightInd w:val="0"/>
        <w:rPr>
          <w:rFonts w:asciiTheme="majorHAnsi" w:hAnsiTheme="majorHAnsi" w:cs="Tahoma"/>
          <w:color w:val="1F1F1F"/>
        </w:rPr>
      </w:pPr>
    </w:p>
    <w:tbl>
      <w:tblPr>
        <w:tblStyle w:val="TableGrid"/>
        <w:tblW w:w="9630" w:type="dxa"/>
        <w:tblInd w:w="198" w:type="dxa"/>
        <w:tblLook w:val="04A0" w:firstRow="1" w:lastRow="0" w:firstColumn="1" w:lastColumn="0" w:noHBand="0" w:noVBand="1"/>
      </w:tblPr>
      <w:tblGrid>
        <w:gridCol w:w="4050"/>
        <w:gridCol w:w="5580"/>
      </w:tblGrid>
      <w:tr w:rsidR="00853FA2" w:rsidRPr="00356569" w14:paraId="5C10E691" w14:textId="77777777" w:rsidTr="00527DD4">
        <w:tc>
          <w:tcPr>
            <w:tcW w:w="4050" w:type="dxa"/>
          </w:tcPr>
          <w:p w14:paraId="2CE741CA" w14:textId="562FBF5D" w:rsidR="00853FA2" w:rsidRPr="00356569" w:rsidRDefault="00853FA2" w:rsidP="00274329">
            <w:pPr>
              <w:widowControl w:val="0"/>
              <w:autoSpaceDE w:val="0"/>
              <w:autoSpaceDN w:val="0"/>
              <w:adjustRightInd w:val="0"/>
              <w:spacing w:before="120"/>
              <w:ind w:left="360"/>
              <w:jc w:val="center"/>
              <w:rPr>
                <w:rFonts w:asciiTheme="majorHAnsi" w:hAnsiTheme="majorHAnsi" w:cs="Courier"/>
                <w:color w:val="181818"/>
                <w:sz w:val="20"/>
                <w:szCs w:val="20"/>
              </w:rPr>
            </w:pPr>
            <w:r w:rsidRPr="00356569">
              <w:rPr>
                <w:rFonts w:asciiTheme="majorHAnsi" w:hAnsiTheme="majorHAnsi" w:cs="Courier"/>
                <w:color w:val="181818"/>
                <w:sz w:val="20"/>
                <w:szCs w:val="20"/>
              </w:rPr>
              <w:t>Improvement</w:t>
            </w:r>
            <w:r w:rsidR="00274329">
              <w:rPr>
                <w:rFonts w:asciiTheme="majorHAnsi" w:hAnsiTheme="majorHAnsi" w:cs="Courier"/>
                <w:color w:val="181818"/>
                <w:sz w:val="20"/>
                <w:szCs w:val="20"/>
              </w:rPr>
              <w:t>s</w:t>
            </w:r>
            <w:r w:rsidRPr="00356569">
              <w:rPr>
                <w:rFonts w:asciiTheme="majorHAnsi" w:hAnsiTheme="majorHAnsi" w:cs="Courier"/>
                <w:color w:val="181818"/>
                <w:sz w:val="20"/>
                <w:szCs w:val="20"/>
              </w:rPr>
              <w:t xml:space="preserve"> </w:t>
            </w:r>
            <w:r w:rsidR="00274329">
              <w:rPr>
                <w:rFonts w:asciiTheme="majorHAnsi" w:hAnsiTheme="majorHAnsi" w:cs="Courier"/>
                <w:color w:val="181818"/>
                <w:sz w:val="20"/>
                <w:szCs w:val="20"/>
              </w:rPr>
              <w:t xml:space="preserve">List as of </w:t>
            </w:r>
            <w:r w:rsidR="00356569" w:rsidRPr="00356569">
              <w:rPr>
                <w:rFonts w:asciiTheme="majorHAnsi" w:hAnsiTheme="majorHAnsi" w:cs="Courier"/>
                <w:color w:val="181818"/>
                <w:sz w:val="20"/>
                <w:szCs w:val="20"/>
              </w:rPr>
              <w:t>15-Oct-2012</w:t>
            </w:r>
          </w:p>
        </w:tc>
        <w:tc>
          <w:tcPr>
            <w:tcW w:w="5580" w:type="dxa"/>
          </w:tcPr>
          <w:p w14:paraId="3ED3BD45" w14:textId="5C2151AE" w:rsidR="00853FA2" w:rsidRPr="00356569" w:rsidRDefault="00853FA2" w:rsidP="00356569">
            <w:pPr>
              <w:widowControl w:val="0"/>
              <w:autoSpaceDE w:val="0"/>
              <w:autoSpaceDN w:val="0"/>
              <w:adjustRightInd w:val="0"/>
              <w:spacing w:before="120"/>
              <w:ind w:left="360"/>
              <w:jc w:val="center"/>
              <w:rPr>
                <w:rFonts w:asciiTheme="majorHAnsi" w:hAnsiTheme="majorHAnsi" w:cs="Courier"/>
                <w:color w:val="181818"/>
                <w:sz w:val="20"/>
                <w:szCs w:val="20"/>
              </w:rPr>
            </w:pPr>
            <w:r w:rsidRPr="00356569">
              <w:rPr>
                <w:rFonts w:asciiTheme="majorHAnsi" w:hAnsiTheme="majorHAnsi" w:cs="Courier"/>
                <w:color w:val="181818"/>
                <w:sz w:val="20"/>
                <w:szCs w:val="20"/>
              </w:rPr>
              <w:t>Report</w:t>
            </w:r>
            <w:r w:rsidR="00274329">
              <w:rPr>
                <w:rFonts w:asciiTheme="majorHAnsi" w:hAnsiTheme="majorHAnsi" w:cs="Courier"/>
                <w:color w:val="181818"/>
                <w:sz w:val="20"/>
                <w:szCs w:val="20"/>
              </w:rPr>
              <w:t xml:space="preserve"> Card Grade as of 28-Nov</w:t>
            </w:r>
          </w:p>
        </w:tc>
      </w:tr>
      <w:tr w:rsidR="00853FA2" w:rsidRPr="00356569" w14:paraId="7B6895D1" w14:textId="5B23FCA5" w:rsidTr="00527DD4">
        <w:tc>
          <w:tcPr>
            <w:tcW w:w="4050" w:type="dxa"/>
          </w:tcPr>
          <w:p w14:paraId="6B42C410" w14:textId="77777777" w:rsidR="00853FA2" w:rsidRPr="00356569" w:rsidRDefault="00853FA2" w:rsidP="00356569">
            <w:pPr>
              <w:pStyle w:val="ListParagraph"/>
              <w:widowControl w:val="0"/>
              <w:numPr>
                <w:ilvl w:val="0"/>
                <w:numId w:val="1"/>
              </w:numPr>
              <w:autoSpaceDE w:val="0"/>
              <w:autoSpaceDN w:val="0"/>
              <w:adjustRightInd w:val="0"/>
              <w:spacing w:before="120"/>
              <w:ind w:left="432" w:hanging="270"/>
              <w:contextualSpacing w:val="0"/>
              <w:rPr>
                <w:rFonts w:asciiTheme="majorHAnsi" w:hAnsiTheme="majorHAnsi" w:cs="Tahoma"/>
                <w:color w:val="1F1F1F"/>
                <w:sz w:val="20"/>
                <w:szCs w:val="20"/>
              </w:rPr>
            </w:pPr>
            <w:r w:rsidRPr="00356569">
              <w:rPr>
                <w:rFonts w:asciiTheme="majorHAnsi" w:hAnsiTheme="majorHAnsi" w:cs="Courier"/>
                <w:color w:val="181818"/>
                <w:sz w:val="20"/>
                <w:szCs w:val="20"/>
              </w:rPr>
              <w:t>Extend Sunrise Launch Period from 30 to 60 days with a standardized process</w:t>
            </w:r>
          </w:p>
        </w:tc>
        <w:tc>
          <w:tcPr>
            <w:tcW w:w="5580" w:type="dxa"/>
          </w:tcPr>
          <w:p w14:paraId="0EA0337D" w14:textId="6FE938AA" w:rsidR="00853FA2" w:rsidRPr="00356569" w:rsidRDefault="00E527F1" w:rsidP="00527DD4">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Grade: B</w:t>
            </w:r>
            <w:proofErr w:type="gramStart"/>
            <w:r>
              <w:rPr>
                <w:rFonts w:asciiTheme="majorHAnsi" w:hAnsiTheme="majorHAnsi" w:cs="Courier"/>
                <w:color w:val="181818"/>
                <w:sz w:val="20"/>
                <w:szCs w:val="20"/>
              </w:rPr>
              <w:t>+</w:t>
            </w:r>
            <w:r w:rsidR="00853FA2" w:rsidRPr="00356569">
              <w:rPr>
                <w:rFonts w:asciiTheme="majorHAnsi" w:hAnsiTheme="majorHAnsi" w:cs="Courier"/>
                <w:color w:val="181818"/>
                <w:sz w:val="20"/>
                <w:szCs w:val="20"/>
              </w:rPr>
              <w:t xml:space="preserve"> </w:t>
            </w:r>
            <w:r w:rsidR="00274329">
              <w:rPr>
                <w:rFonts w:asciiTheme="majorHAnsi" w:hAnsiTheme="majorHAnsi" w:cs="Courier"/>
                <w:color w:val="181818"/>
                <w:sz w:val="20"/>
                <w:szCs w:val="20"/>
              </w:rPr>
              <w:t xml:space="preserve">  </w:t>
            </w:r>
            <w:r w:rsidR="00527DD4">
              <w:rPr>
                <w:rFonts w:asciiTheme="majorHAnsi" w:hAnsiTheme="majorHAnsi" w:cs="Courier"/>
                <w:color w:val="181818"/>
                <w:sz w:val="20"/>
                <w:szCs w:val="20"/>
              </w:rPr>
              <w:t xml:space="preserve"> </w:t>
            </w:r>
            <w:proofErr w:type="spellStart"/>
            <w:r w:rsidR="00356569">
              <w:rPr>
                <w:rFonts w:asciiTheme="majorHAnsi" w:hAnsiTheme="majorHAnsi" w:cs="Courier"/>
                <w:color w:val="181818"/>
                <w:sz w:val="20"/>
                <w:szCs w:val="20"/>
              </w:rPr>
              <w:t>Strawman</w:t>
            </w:r>
            <w:proofErr w:type="spellEnd"/>
            <w:proofErr w:type="gramEnd"/>
            <w:r w:rsidR="00356569">
              <w:rPr>
                <w:rFonts w:asciiTheme="majorHAnsi" w:hAnsiTheme="majorHAnsi" w:cs="Courier"/>
                <w:color w:val="181818"/>
                <w:sz w:val="20"/>
                <w:szCs w:val="20"/>
              </w:rPr>
              <w:t xml:space="preserve"> proposal </w:t>
            </w:r>
            <w:r w:rsidR="005B1483">
              <w:rPr>
                <w:rFonts w:asciiTheme="majorHAnsi" w:hAnsiTheme="majorHAnsi" w:cs="Courier"/>
                <w:color w:val="181818"/>
                <w:sz w:val="20"/>
                <w:szCs w:val="20"/>
              </w:rPr>
              <w:t xml:space="preserve">is to add a 30-day advance notice period for each gTLD Sunrise.   </w:t>
            </w:r>
            <w:r w:rsidR="00274329">
              <w:rPr>
                <w:rFonts w:asciiTheme="majorHAnsi" w:hAnsiTheme="majorHAnsi" w:cs="Courier"/>
                <w:color w:val="181818"/>
                <w:sz w:val="20"/>
                <w:szCs w:val="20"/>
              </w:rPr>
              <w:t xml:space="preserve">This </w:t>
            </w:r>
            <w:r w:rsidR="005B1483">
              <w:rPr>
                <w:rFonts w:asciiTheme="majorHAnsi" w:hAnsiTheme="majorHAnsi" w:cs="Courier"/>
                <w:color w:val="181818"/>
                <w:sz w:val="20"/>
                <w:szCs w:val="20"/>
              </w:rPr>
              <w:t>“</w:t>
            </w:r>
            <w:r w:rsidR="005B1483" w:rsidRPr="00274329">
              <w:rPr>
                <w:rFonts w:asciiTheme="majorHAnsi" w:hAnsiTheme="majorHAnsi" w:cs="Courier"/>
                <w:i/>
                <w:color w:val="181818"/>
                <w:sz w:val="20"/>
                <w:szCs w:val="20"/>
              </w:rPr>
              <w:t>falls clearly into the realm of implementation</w:t>
            </w:r>
            <w:r w:rsidR="005B1483">
              <w:rPr>
                <w:rFonts w:asciiTheme="majorHAnsi" w:hAnsiTheme="majorHAnsi" w:cs="Courier"/>
                <w:color w:val="181818"/>
                <w:sz w:val="20"/>
                <w:szCs w:val="20"/>
              </w:rPr>
              <w:t>”</w:t>
            </w:r>
          </w:p>
        </w:tc>
      </w:tr>
      <w:tr w:rsidR="00853FA2" w:rsidRPr="00356569" w14:paraId="52422415" w14:textId="32E40B51" w:rsidTr="00527DD4">
        <w:tc>
          <w:tcPr>
            <w:tcW w:w="4050" w:type="dxa"/>
          </w:tcPr>
          <w:p w14:paraId="76486470" w14:textId="77777777" w:rsidR="00853FA2" w:rsidRPr="00356569" w:rsidRDefault="00853FA2" w:rsidP="00356569">
            <w:pPr>
              <w:pStyle w:val="ListParagraph"/>
              <w:widowControl w:val="0"/>
              <w:numPr>
                <w:ilvl w:val="0"/>
                <w:numId w:val="1"/>
              </w:numPr>
              <w:autoSpaceDE w:val="0"/>
              <w:autoSpaceDN w:val="0"/>
              <w:adjustRightInd w:val="0"/>
              <w:spacing w:before="120"/>
              <w:ind w:left="432" w:hanging="270"/>
              <w:contextualSpacing w:val="0"/>
              <w:rPr>
                <w:rFonts w:asciiTheme="majorHAnsi" w:hAnsiTheme="majorHAnsi" w:cs="Tahoma"/>
                <w:color w:val="1F1F1F"/>
                <w:sz w:val="20"/>
                <w:szCs w:val="20"/>
              </w:rPr>
            </w:pPr>
            <w:r w:rsidRPr="00356569">
              <w:rPr>
                <w:rFonts w:asciiTheme="majorHAnsi" w:hAnsiTheme="majorHAnsi" w:cs="Courier"/>
                <w:color w:val="181818"/>
                <w:sz w:val="20"/>
                <w:szCs w:val="20"/>
              </w:rPr>
              <w:t>Extend the TMCH and Claims Notices for an indefinite period; ensure the process is easy to use, secure, and stable</w:t>
            </w:r>
          </w:p>
        </w:tc>
        <w:tc>
          <w:tcPr>
            <w:tcW w:w="5580" w:type="dxa"/>
          </w:tcPr>
          <w:p w14:paraId="06E1916B" w14:textId="01744941" w:rsidR="00853FA2" w:rsidRDefault="00E527F1" w:rsidP="00274329">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Grade: C</w:t>
            </w:r>
            <w:r w:rsidR="00527DD4">
              <w:rPr>
                <w:rFonts w:asciiTheme="majorHAnsi" w:hAnsiTheme="majorHAnsi" w:cs="Courier"/>
                <w:color w:val="181818"/>
                <w:sz w:val="20"/>
                <w:szCs w:val="20"/>
              </w:rPr>
              <w:t xml:space="preserve">         </w:t>
            </w:r>
            <w:proofErr w:type="spellStart"/>
            <w:r w:rsidR="00274329">
              <w:rPr>
                <w:rFonts w:asciiTheme="majorHAnsi" w:hAnsiTheme="majorHAnsi" w:cs="Courier"/>
                <w:color w:val="181818"/>
                <w:sz w:val="20"/>
                <w:szCs w:val="20"/>
              </w:rPr>
              <w:t>Strawman</w:t>
            </w:r>
            <w:proofErr w:type="spellEnd"/>
            <w:r w:rsidR="00274329">
              <w:rPr>
                <w:rFonts w:asciiTheme="majorHAnsi" w:hAnsiTheme="majorHAnsi" w:cs="Courier"/>
                <w:color w:val="181818"/>
                <w:sz w:val="20"/>
                <w:szCs w:val="20"/>
              </w:rPr>
              <w:t xml:space="preserve"> goes from 60 to 90 days as an implementation change. But </w:t>
            </w:r>
            <w:r w:rsidR="00274329" w:rsidRPr="00274329">
              <w:rPr>
                <w:rFonts w:asciiTheme="majorHAnsi" w:hAnsiTheme="majorHAnsi" w:cs="Courier"/>
                <w:i/>
                <w:color w:val="181818"/>
                <w:sz w:val="20"/>
                <w:szCs w:val="20"/>
              </w:rPr>
              <w:t>“making claims permanent would be a policy change.</w:t>
            </w:r>
            <w:r w:rsidR="00274329">
              <w:rPr>
                <w:rFonts w:asciiTheme="majorHAnsi" w:hAnsiTheme="majorHAnsi" w:cs="Courier"/>
                <w:color w:val="181818"/>
                <w:sz w:val="20"/>
                <w:szCs w:val="20"/>
              </w:rPr>
              <w:t>”</w:t>
            </w:r>
          </w:p>
          <w:p w14:paraId="7192F226" w14:textId="6DD0F898" w:rsidR="00274329" w:rsidRPr="00356569" w:rsidRDefault="00274329" w:rsidP="00E527F1">
            <w:pPr>
              <w:widowControl w:val="0"/>
              <w:autoSpaceDE w:val="0"/>
              <w:autoSpaceDN w:val="0"/>
              <w:adjustRightInd w:val="0"/>
              <w:spacing w:before="120"/>
              <w:rPr>
                <w:rFonts w:asciiTheme="majorHAnsi" w:hAnsiTheme="majorHAnsi" w:cs="Courier"/>
                <w:color w:val="181818"/>
                <w:sz w:val="20"/>
                <w:szCs w:val="20"/>
              </w:rPr>
            </w:pPr>
            <w:proofErr w:type="spellStart"/>
            <w:r>
              <w:rPr>
                <w:rFonts w:asciiTheme="majorHAnsi" w:hAnsiTheme="majorHAnsi" w:cs="Courier"/>
                <w:color w:val="181818"/>
                <w:sz w:val="20"/>
                <w:szCs w:val="20"/>
              </w:rPr>
              <w:t>Strawman</w:t>
            </w:r>
            <w:proofErr w:type="spellEnd"/>
            <w:r>
              <w:rPr>
                <w:rFonts w:asciiTheme="majorHAnsi" w:hAnsiTheme="majorHAnsi" w:cs="Courier"/>
                <w:color w:val="181818"/>
                <w:sz w:val="20"/>
                <w:szCs w:val="20"/>
              </w:rPr>
              <w:t xml:space="preserve"> also adds a “Claims 2” proposal where TLDs have option to provide </w:t>
            </w:r>
            <w:r w:rsidR="00E527F1">
              <w:rPr>
                <w:rFonts w:asciiTheme="majorHAnsi" w:hAnsiTheme="majorHAnsi" w:cs="Courier"/>
                <w:color w:val="181818"/>
                <w:sz w:val="20"/>
                <w:szCs w:val="20"/>
              </w:rPr>
              <w:t>“lightweight” notices to registrants for exact matches, for fee paid by TMCH registrants, for 6-12 months.</w:t>
            </w:r>
          </w:p>
        </w:tc>
      </w:tr>
      <w:tr w:rsidR="00853FA2" w:rsidRPr="00356569" w14:paraId="17982544" w14:textId="2D607FD6" w:rsidTr="00527DD4">
        <w:tc>
          <w:tcPr>
            <w:tcW w:w="4050" w:type="dxa"/>
          </w:tcPr>
          <w:p w14:paraId="4E6F1C29" w14:textId="3E7BA569" w:rsidR="00853FA2" w:rsidRPr="00356569" w:rsidRDefault="00853FA2" w:rsidP="00E527F1">
            <w:pPr>
              <w:pStyle w:val="ListParagraph"/>
              <w:widowControl w:val="0"/>
              <w:numPr>
                <w:ilvl w:val="0"/>
                <w:numId w:val="1"/>
              </w:numPr>
              <w:autoSpaceDE w:val="0"/>
              <w:autoSpaceDN w:val="0"/>
              <w:adjustRightInd w:val="0"/>
              <w:spacing w:before="120"/>
              <w:ind w:left="432" w:hanging="270"/>
              <w:contextualSpacing w:val="0"/>
              <w:rPr>
                <w:rFonts w:asciiTheme="majorHAnsi" w:hAnsiTheme="majorHAnsi" w:cs="Tahoma"/>
                <w:color w:val="1F1F1F"/>
                <w:sz w:val="20"/>
                <w:szCs w:val="20"/>
              </w:rPr>
            </w:pPr>
            <w:r w:rsidRPr="00356569">
              <w:rPr>
                <w:rFonts w:asciiTheme="majorHAnsi" w:hAnsiTheme="majorHAnsi" w:cs="Courier"/>
                <w:color w:val="181818"/>
                <w:sz w:val="20"/>
                <w:szCs w:val="20"/>
              </w:rPr>
              <w:t>Complete the URS as a low cost alternative and improve its usefulness - if necessary, ICANN could underwrite for initial period.</w:t>
            </w:r>
          </w:p>
        </w:tc>
        <w:tc>
          <w:tcPr>
            <w:tcW w:w="5580" w:type="dxa"/>
          </w:tcPr>
          <w:p w14:paraId="47DE6E71" w14:textId="77777777" w:rsidR="00853FA2" w:rsidRDefault="00E527F1" w:rsidP="00356569">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Grade: incomplete</w:t>
            </w:r>
          </w:p>
          <w:p w14:paraId="6A14FB19" w14:textId="28857082" w:rsidR="00E527F1" w:rsidRPr="00356569" w:rsidRDefault="00E527F1" w:rsidP="00356569">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Work begins on this next week.</w:t>
            </w:r>
          </w:p>
        </w:tc>
      </w:tr>
      <w:tr w:rsidR="00853FA2" w:rsidRPr="00356569" w14:paraId="500AB477" w14:textId="41F1DD6D" w:rsidTr="00527DD4">
        <w:tc>
          <w:tcPr>
            <w:tcW w:w="4050" w:type="dxa"/>
          </w:tcPr>
          <w:p w14:paraId="42DA6969" w14:textId="0B9207A2" w:rsidR="00853FA2" w:rsidRPr="00356569" w:rsidRDefault="00853FA2" w:rsidP="00527DD4">
            <w:pPr>
              <w:pStyle w:val="ListParagraph"/>
              <w:widowControl w:val="0"/>
              <w:numPr>
                <w:ilvl w:val="0"/>
                <w:numId w:val="1"/>
              </w:numPr>
              <w:autoSpaceDE w:val="0"/>
              <w:autoSpaceDN w:val="0"/>
              <w:adjustRightInd w:val="0"/>
              <w:spacing w:before="120"/>
              <w:ind w:left="432" w:hanging="270"/>
              <w:contextualSpacing w:val="0"/>
              <w:rPr>
                <w:rFonts w:asciiTheme="majorHAnsi" w:hAnsiTheme="majorHAnsi" w:cs="Tahoma"/>
                <w:color w:val="1F1F1F"/>
                <w:sz w:val="20"/>
                <w:szCs w:val="20"/>
              </w:rPr>
            </w:pPr>
            <w:r w:rsidRPr="00356569">
              <w:rPr>
                <w:rFonts w:asciiTheme="majorHAnsi" w:hAnsiTheme="majorHAnsi" w:cs="Courier"/>
                <w:color w:val="181818"/>
                <w:sz w:val="20"/>
                <w:szCs w:val="20"/>
              </w:rPr>
              <w:t xml:space="preserve">Implement a mechanism for </w:t>
            </w:r>
            <w:r w:rsidR="00E527F1">
              <w:rPr>
                <w:rFonts w:asciiTheme="majorHAnsi" w:hAnsiTheme="majorHAnsi" w:cs="Courier"/>
                <w:color w:val="181818"/>
                <w:sz w:val="20"/>
                <w:szCs w:val="20"/>
              </w:rPr>
              <w:t>TM</w:t>
            </w:r>
            <w:r w:rsidRPr="00356569">
              <w:rPr>
                <w:rFonts w:asciiTheme="majorHAnsi" w:hAnsiTheme="majorHAnsi" w:cs="Courier"/>
                <w:color w:val="181818"/>
                <w:sz w:val="20"/>
                <w:szCs w:val="20"/>
              </w:rPr>
              <w:t xml:space="preserve"> owners to prevent second-level registration of marks (exact matches, plus strings determined to have been abusively registered or used) </w:t>
            </w:r>
            <w:r w:rsidRPr="00527DD4">
              <w:rPr>
                <w:rFonts w:asciiTheme="majorHAnsi" w:hAnsiTheme="majorHAnsi" w:cs="Courier"/>
                <w:i/>
                <w:color w:val="181818"/>
                <w:sz w:val="20"/>
                <w:szCs w:val="20"/>
              </w:rPr>
              <w:t>across all registries</w:t>
            </w:r>
            <w:r w:rsidRPr="00356569">
              <w:rPr>
                <w:rFonts w:asciiTheme="majorHAnsi" w:hAnsiTheme="majorHAnsi" w:cs="Courier"/>
                <w:color w:val="181818"/>
                <w:sz w:val="20"/>
                <w:szCs w:val="20"/>
              </w:rPr>
              <w:t>, upon payment of a reasonable fee, with appropriate safeguards for registrants with a legitimate</w:t>
            </w:r>
            <w:r w:rsidR="00E527F1">
              <w:rPr>
                <w:rFonts w:asciiTheme="majorHAnsi" w:hAnsiTheme="majorHAnsi" w:cs="Courier"/>
                <w:color w:val="181818"/>
                <w:sz w:val="20"/>
                <w:szCs w:val="20"/>
              </w:rPr>
              <w:t xml:space="preserve"> right</w:t>
            </w:r>
            <w:r w:rsidRPr="00356569">
              <w:rPr>
                <w:rFonts w:asciiTheme="majorHAnsi" w:hAnsiTheme="majorHAnsi" w:cs="Courier"/>
                <w:color w:val="181818"/>
                <w:sz w:val="20"/>
                <w:szCs w:val="20"/>
              </w:rPr>
              <w:t>.</w:t>
            </w:r>
          </w:p>
        </w:tc>
        <w:tc>
          <w:tcPr>
            <w:tcW w:w="5580" w:type="dxa"/>
          </w:tcPr>
          <w:p w14:paraId="3288D78E" w14:textId="3D57B4B5" w:rsidR="00527DD4" w:rsidRDefault="00E527F1" w:rsidP="00527DD4">
            <w:pPr>
              <w:widowControl w:val="0"/>
              <w:autoSpaceDE w:val="0"/>
              <w:autoSpaceDN w:val="0"/>
              <w:adjustRightInd w:val="0"/>
              <w:spacing w:before="120"/>
              <w:rPr>
                <w:rFonts w:asciiTheme="majorHAnsi" w:hAnsiTheme="majorHAnsi" w:cs="Courier"/>
                <w:i/>
                <w:color w:val="181818"/>
                <w:sz w:val="20"/>
                <w:szCs w:val="20"/>
              </w:rPr>
            </w:pPr>
            <w:r>
              <w:rPr>
                <w:rFonts w:asciiTheme="majorHAnsi" w:hAnsiTheme="majorHAnsi" w:cs="Courier"/>
                <w:color w:val="181818"/>
                <w:sz w:val="20"/>
                <w:szCs w:val="20"/>
              </w:rPr>
              <w:t>Grade: F</w:t>
            </w:r>
            <w:r w:rsidR="00527DD4">
              <w:rPr>
                <w:rFonts w:asciiTheme="majorHAnsi" w:hAnsiTheme="majorHAnsi" w:cs="Courier"/>
                <w:color w:val="181818"/>
                <w:sz w:val="20"/>
                <w:szCs w:val="20"/>
              </w:rPr>
              <w:t xml:space="preserve">              Is not in the </w:t>
            </w:r>
            <w:proofErr w:type="spellStart"/>
            <w:r w:rsidR="00527DD4">
              <w:rPr>
                <w:rFonts w:asciiTheme="majorHAnsi" w:hAnsiTheme="majorHAnsi" w:cs="Courier"/>
                <w:color w:val="181818"/>
                <w:sz w:val="20"/>
                <w:szCs w:val="20"/>
              </w:rPr>
              <w:t>Strawman</w:t>
            </w:r>
            <w:proofErr w:type="spellEnd"/>
            <w:r w:rsidR="00527DD4">
              <w:rPr>
                <w:rFonts w:asciiTheme="majorHAnsi" w:hAnsiTheme="majorHAnsi" w:cs="Courier"/>
                <w:color w:val="181818"/>
                <w:sz w:val="20"/>
                <w:szCs w:val="20"/>
              </w:rPr>
              <w:t xml:space="preserve"> proposal because “</w:t>
            </w:r>
            <w:r w:rsidR="00527DD4" w:rsidRPr="00527DD4">
              <w:rPr>
                <w:rFonts w:asciiTheme="majorHAnsi" w:hAnsiTheme="majorHAnsi" w:cs="Courier"/>
                <w:i/>
                <w:color w:val="181818"/>
                <w:sz w:val="20"/>
                <w:szCs w:val="20"/>
              </w:rPr>
              <w:t xml:space="preserve">any concept of blocking was removed from </w:t>
            </w:r>
            <w:proofErr w:type="spellStart"/>
            <w:r w:rsidR="00527DD4" w:rsidRPr="00527DD4">
              <w:rPr>
                <w:rFonts w:asciiTheme="majorHAnsi" w:hAnsiTheme="majorHAnsi" w:cs="Courier"/>
                <w:i/>
                <w:color w:val="181818"/>
                <w:sz w:val="20"/>
                <w:szCs w:val="20"/>
              </w:rPr>
              <w:t>Strawman</w:t>
            </w:r>
            <w:proofErr w:type="spellEnd"/>
            <w:r w:rsidR="00527DD4" w:rsidRPr="00527DD4">
              <w:rPr>
                <w:rFonts w:asciiTheme="majorHAnsi" w:hAnsiTheme="majorHAnsi" w:cs="Courier"/>
                <w:i/>
                <w:color w:val="181818"/>
                <w:sz w:val="20"/>
                <w:szCs w:val="20"/>
              </w:rPr>
              <w:t xml:space="preserve"> for lack of consensus at 16-Nov meeting in Los Angeles.</w:t>
            </w:r>
            <w:r w:rsidR="00527DD4">
              <w:rPr>
                <w:rFonts w:asciiTheme="majorHAnsi" w:hAnsiTheme="majorHAnsi" w:cs="Courier"/>
                <w:i/>
                <w:color w:val="181818"/>
                <w:sz w:val="20"/>
                <w:szCs w:val="20"/>
              </w:rPr>
              <w:t>”</w:t>
            </w:r>
            <w:r w:rsidR="00527DD4" w:rsidRPr="00527DD4">
              <w:rPr>
                <w:rFonts w:asciiTheme="majorHAnsi" w:hAnsiTheme="majorHAnsi" w:cs="Courier"/>
                <w:i/>
                <w:color w:val="181818"/>
                <w:sz w:val="20"/>
                <w:szCs w:val="20"/>
              </w:rPr>
              <w:t xml:space="preserve"> </w:t>
            </w:r>
          </w:p>
          <w:p w14:paraId="5C29E2E9" w14:textId="409B05EC" w:rsidR="00527DD4" w:rsidRDefault="00527DD4" w:rsidP="00527DD4">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 xml:space="preserve">On 26-Nov, </w:t>
            </w:r>
            <w:proofErr w:type="spellStart"/>
            <w:r>
              <w:rPr>
                <w:rFonts w:asciiTheme="majorHAnsi" w:hAnsiTheme="majorHAnsi" w:cs="Courier"/>
                <w:color w:val="181818"/>
                <w:sz w:val="20"/>
                <w:szCs w:val="20"/>
              </w:rPr>
              <w:t>Fadi</w:t>
            </w:r>
            <w:proofErr w:type="spellEnd"/>
            <w:r>
              <w:rPr>
                <w:rFonts w:asciiTheme="majorHAnsi" w:hAnsiTheme="majorHAnsi" w:cs="Courier"/>
                <w:color w:val="181818"/>
                <w:sz w:val="20"/>
                <w:szCs w:val="20"/>
              </w:rPr>
              <w:t xml:space="preserve"> added, “</w:t>
            </w:r>
            <w:r w:rsidRPr="00527DD4">
              <w:rPr>
                <w:rFonts w:asciiTheme="majorHAnsi" w:hAnsiTheme="majorHAnsi" w:cs="Courier"/>
                <w:i/>
                <w:color w:val="181818"/>
                <w:sz w:val="20"/>
                <w:szCs w:val="20"/>
              </w:rPr>
              <w:t xml:space="preserve">But I will put it back in the </w:t>
            </w:r>
            <w:proofErr w:type="spellStart"/>
            <w:r w:rsidRPr="00527DD4">
              <w:rPr>
                <w:rFonts w:asciiTheme="majorHAnsi" w:hAnsiTheme="majorHAnsi" w:cs="Courier"/>
                <w:i/>
                <w:color w:val="181818"/>
                <w:sz w:val="20"/>
                <w:szCs w:val="20"/>
              </w:rPr>
              <w:t>Strawman</w:t>
            </w:r>
            <w:proofErr w:type="spellEnd"/>
            <w:r w:rsidRPr="00527DD4">
              <w:rPr>
                <w:rFonts w:asciiTheme="majorHAnsi" w:hAnsiTheme="majorHAnsi" w:cs="Courier"/>
                <w:i/>
                <w:color w:val="181818"/>
                <w:sz w:val="20"/>
                <w:szCs w:val="20"/>
              </w:rPr>
              <w:t xml:space="preserve"> doc for purposes of continued discussion</w:t>
            </w:r>
            <w:r w:rsidRPr="00527DD4">
              <w:rPr>
                <w:rFonts w:asciiTheme="majorHAnsi" w:hAnsiTheme="majorHAnsi" w:cs="Courier"/>
                <w:color w:val="181818"/>
                <w:sz w:val="20"/>
                <w:szCs w:val="20"/>
              </w:rPr>
              <w:t>.</w:t>
            </w:r>
            <w:r>
              <w:rPr>
                <w:rFonts w:asciiTheme="majorHAnsi" w:hAnsiTheme="majorHAnsi" w:cs="Courier"/>
                <w:color w:val="181818"/>
                <w:sz w:val="20"/>
                <w:szCs w:val="20"/>
              </w:rPr>
              <w:t>”</w:t>
            </w:r>
            <w:r w:rsidR="006D119B">
              <w:rPr>
                <w:rFonts w:asciiTheme="majorHAnsi" w:hAnsiTheme="majorHAnsi" w:cs="Courier"/>
                <w:color w:val="181818"/>
                <w:sz w:val="20"/>
                <w:szCs w:val="20"/>
              </w:rPr>
              <w:t xml:space="preserve">  (</w:t>
            </w:r>
            <w:proofErr w:type="gramStart"/>
            <w:r w:rsidR="006D119B">
              <w:rPr>
                <w:rFonts w:asciiTheme="majorHAnsi" w:hAnsiTheme="majorHAnsi" w:cs="Courier"/>
                <w:color w:val="181818"/>
                <w:sz w:val="20"/>
                <w:szCs w:val="20"/>
              </w:rPr>
              <w:t>notes</w:t>
            </w:r>
            <w:proofErr w:type="gramEnd"/>
            <w:r w:rsidR="006D119B">
              <w:rPr>
                <w:rFonts w:asciiTheme="majorHAnsi" w:hAnsiTheme="majorHAnsi" w:cs="Courier"/>
                <w:color w:val="181818"/>
                <w:sz w:val="20"/>
                <w:szCs w:val="20"/>
              </w:rPr>
              <w:t xml:space="preserve"> from that discussion below)</w:t>
            </w:r>
          </w:p>
          <w:p w14:paraId="76C87549" w14:textId="6FEC9DE6" w:rsidR="00E527F1" w:rsidRPr="00356569" w:rsidRDefault="006D119B" w:rsidP="006D119B">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The BC and IPC circulated proposal for Limited Preventative Registrations (LPR)  (see end of this document)</w:t>
            </w:r>
          </w:p>
        </w:tc>
      </w:tr>
      <w:tr w:rsidR="00853FA2" w:rsidRPr="00356569" w14:paraId="0E636C40" w14:textId="034877CC" w:rsidTr="00527DD4">
        <w:tc>
          <w:tcPr>
            <w:tcW w:w="4050" w:type="dxa"/>
          </w:tcPr>
          <w:p w14:paraId="45BA1278" w14:textId="4F49BE8D" w:rsidR="00853FA2" w:rsidRPr="00356569" w:rsidRDefault="00853FA2" w:rsidP="00356569">
            <w:pPr>
              <w:pStyle w:val="ListParagraph"/>
              <w:widowControl w:val="0"/>
              <w:numPr>
                <w:ilvl w:val="0"/>
                <w:numId w:val="1"/>
              </w:numPr>
              <w:autoSpaceDE w:val="0"/>
              <w:autoSpaceDN w:val="0"/>
              <w:adjustRightInd w:val="0"/>
              <w:spacing w:before="120"/>
              <w:ind w:left="432" w:hanging="270"/>
              <w:contextualSpacing w:val="0"/>
              <w:rPr>
                <w:rFonts w:asciiTheme="majorHAnsi" w:hAnsiTheme="majorHAnsi" w:cs="Tahoma"/>
                <w:color w:val="1F1F1F"/>
                <w:sz w:val="20"/>
                <w:szCs w:val="20"/>
              </w:rPr>
            </w:pPr>
            <w:r w:rsidRPr="00356569">
              <w:rPr>
                <w:rFonts w:asciiTheme="majorHAnsi" w:hAnsiTheme="majorHAnsi" w:cs="Courier"/>
                <w:color w:val="181818"/>
                <w:sz w:val="20"/>
                <w:szCs w:val="20"/>
              </w:rPr>
              <w:t>Validate contact information for registrants in WHOIS.</w:t>
            </w:r>
          </w:p>
        </w:tc>
        <w:tc>
          <w:tcPr>
            <w:tcW w:w="5580" w:type="dxa"/>
          </w:tcPr>
          <w:p w14:paraId="27AA83BC" w14:textId="77777777" w:rsidR="00E527F1" w:rsidRDefault="00E527F1" w:rsidP="00E527F1">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Grade: incomplete</w:t>
            </w:r>
          </w:p>
          <w:p w14:paraId="0E286D68" w14:textId="538C945E" w:rsidR="00853FA2" w:rsidRPr="00356569" w:rsidRDefault="00E527F1" w:rsidP="00E527F1">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Work begins on this next week.</w:t>
            </w:r>
          </w:p>
        </w:tc>
      </w:tr>
      <w:tr w:rsidR="00853FA2" w:rsidRPr="00356569" w14:paraId="07292955" w14:textId="3FF9ED46" w:rsidTr="00527DD4">
        <w:tc>
          <w:tcPr>
            <w:tcW w:w="4050" w:type="dxa"/>
          </w:tcPr>
          <w:p w14:paraId="173C80E2" w14:textId="670D0CCF" w:rsidR="00853FA2" w:rsidRPr="00356569" w:rsidRDefault="00853FA2" w:rsidP="00E527F1">
            <w:pPr>
              <w:pStyle w:val="ListParagraph"/>
              <w:widowControl w:val="0"/>
              <w:numPr>
                <w:ilvl w:val="0"/>
                <w:numId w:val="1"/>
              </w:numPr>
              <w:autoSpaceDE w:val="0"/>
              <w:autoSpaceDN w:val="0"/>
              <w:adjustRightInd w:val="0"/>
              <w:spacing w:before="120"/>
              <w:ind w:left="432" w:hanging="270"/>
              <w:contextualSpacing w:val="0"/>
              <w:rPr>
                <w:rFonts w:asciiTheme="majorHAnsi" w:hAnsiTheme="majorHAnsi" w:cs="Tahoma"/>
                <w:color w:val="1F1F1F"/>
                <w:sz w:val="20"/>
                <w:szCs w:val="20"/>
              </w:rPr>
            </w:pPr>
            <w:r w:rsidRPr="00356569">
              <w:rPr>
                <w:rFonts w:asciiTheme="majorHAnsi" w:hAnsiTheme="majorHAnsi" w:cs="Courier"/>
                <w:color w:val="181818"/>
                <w:sz w:val="20"/>
                <w:szCs w:val="20"/>
              </w:rPr>
              <w:t xml:space="preserve">All registrars </w:t>
            </w:r>
            <w:r w:rsidR="00E527F1">
              <w:rPr>
                <w:rFonts w:asciiTheme="majorHAnsi" w:hAnsiTheme="majorHAnsi" w:cs="Courier"/>
                <w:color w:val="181818"/>
                <w:sz w:val="20"/>
                <w:szCs w:val="20"/>
              </w:rPr>
              <w:t>doing</w:t>
            </w:r>
            <w:r w:rsidRPr="00356569">
              <w:rPr>
                <w:rFonts w:asciiTheme="majorHAnsi" w:hAnsiTheme="majorHAnsi" w:cs="Courier"/>
                <w:color w:val="181818"/>
                <w:sz w:val="20"/>
                <w:szCs w:val="20"/>
              </w:rPr>
              <w:t xml:space="preserve"> new gTLD registrations must adhere to amended RAA for all gTLD registrations they sponsor.</w:t>
            </w:r>
          </w:p>
        </w:tc>
        <w:tc>
          <w:tcPr>
            <w:tcW w:w="5580" w:type="dxa"/>
          </w:tcPr>
          <w:p w14:paraId="13FC8E82" w14:textId="77777777" w:rsidR="00E527F1" w:rsidRDefault="00E527F1" w:rsidP="00E527F1">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Grade: incomplete</w:t>
            </w:r>
          </w:p>
          <w:p w14:paraId="721073A3" w14:textId="5AF3BE55" w:rsidR="00853FA2" w:rsidRPr="00356569" w:rsidRDefault="00E527F1" w:rsidP="00E527F1">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Work begins on this next week.</w:t>
            </w:r>
          </w:p>
        </w:tc>
      </w:tr>
      <w:tr w:rsidR="00853FA2" w:rsidRPr="00356569" w14:paraId="55AABD6B" w14:textId="7C3132EA" w:rsidTr="00527DD4">
        <w:tc>
          <w:tcPr>
            <w:tcW w:w="4050" w:type="dxa"/>
          </w:tcPr>
          <w:p w14:paraId="51236371" w14:textId="77777777" w:rsidR="00853FA2" w:rsidRPr="00356569" w:rsidRDefault="00853FA2" w:rsidP="00356569">
            <w:pPr>
              <w:pStyle w:val="ListParagraph"/>
              <w:widowControl w:val="0"/>
              <w:numPr>
                <w:ilvl w:val="0"/>
                <w:numId w:val="1"/>
              </w:numPr>
              <w:autoSpaceDE w:val="0"/>
              <w:autoSpaceDN w:val="0"/>
              <w:adjustRightInd w:val="0"/>
              <w:spacing w:before="120"/>
              <w:ind w:left="432" w:hanging="270"/>
              <w:contextualSpacing w:val="0"/>
              <w:rPr>
                <w:rFonts w:asciiTheme="majorHAnsi" w:hAnsiTheme="majorHAnsi" w:cs="Tahoma"/>
                <w:color w:val="1F1F1F"/>
                <w:sz w:val="20"/>
                <w:szCs w:val="20"/>
              </w:rPr>
            </w:pPr>
            <w:r w:rsidRPr="00356569">
              <w:rPr>
                <w:rFonts w:asciiTheme="majorHAnsi" w:hAnsiTheme="majorHAnsi" w:cs="Courier"/>
                <w:color w:val="181818"/>
                <w:sz w:val="20"/>
                <w:szCs w:val="20"/>
              </w:rPr>
              <w:t>Enforce compliance of all registry commitments for Standard applications.</w:t>
            </w:r>
          </w:p>
        </w:tc>
        <w:tc>
          <w:tcPr>
            <w:tcW w:w="5580" w:type="dxa"/>
          </w:tcPr>
          <w:p w14:paraId="067B4135" w14:textId="5FB73F19" w:rsidR="00853FA2" w:rsidRPr="00356569" w:rsidRDefault="00E527F1" w:rsidP="00E527F1">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Grade: incomplete</w:t>
            </w:r>
          </w:p>
        </w:tc>
      </w:tr>
      <w:tr w:rsidR="00853FA2" w:rsidRPr="00356569" w14:paraId="1098E480" w14:textId="41814E05" w:rsidTr="00527DD4">
        <w:tc>
          <w:tcPr>
            <w:tcW w:w="4050" w:type="dxa"/>
          </w:tcPr>
          <w:p w14:paraId="123183C5" w14:textId="77777777" w:rsidR="00853FA2" w:rsidRPr="00356569" w:rsidRDefault="00853FA2" w:rsidP="00356569">
            <w:pPr>
              <w:pStyle w:val="ListParagraph"/>
              <w:widowControl w:val="0"/>
              <w:numPr>
                <w:ilvl w:val="0"/>
                <w:numId w:val="1"/>
              </w:numPr>
              <w:autoSpaceDE w:val="0"/>
              <w:autoSpaceDN w:val="0"/>
              <w:adjustRightInd w:val="0"/>
              <w:spacing w:before="120"/>
              <w:ind w:left="432" w:hanging="270"/>
              <w:contextualSpacing w:val="0"/>
              <w:rPr>
                <w:rFonts w:asciiTheme="majorHAnsi" w:hAnsiTheme="majorHAnsi" w:cs="Tahoma"/>
                <w:color w:val="1F1F1F"/>
                <w:sz w:val="20"/>
                <w:szCs w:val="20"/>
              </w:rPr>
            </w:pPr>
            <w:r w:rsidRPr="00356569">
              <w:rPr>
                <w:rFonts w:asciiTheme="majorHAnsi" w:hAnsiTheme="majorHAnsi" w:cs="Courier"/>
                <w:color w:val="181818"/>
                <w:sz w:val="20"/>
                <w:szCs w:val="20"/>
              </w:rPr>
              <w:t xml:space="preserve">Expand TM claims service to cover at least strings previously </w:t>
            </w:r>
            <w:proofErr w:type="gramStart"/>
            <w:r w:rsidRPr="00356569">
              <w:rPr>
                <w:rFonts w:asciiTheme="majorHAnsi" w:hAnsiTheme="majorHAnsi" w:cs="Courier"/>
                <w:color w:val="181818"/>
                <w:sz w:val="20"/>
                <w:szCs w:val="20"/>
              </w:rPr>
              <w:t>found to have been abusively registered or</w:t>
            </w:r>
            <w:proofErr w:type="gramEnd"/>
            <w:r w:rsidRPr="00356569">
              <w:rPr>
                <w:rFonts w:asciiTheme="majorHAnsi" w:hAnsiTheme="majorHAnsi" w:cs="Courier"/>
                <w:color w:val="181818"/>
                <w:sz w:val="20"/>
                <w:szCs w:val="20"/>
              </w:rPr>
              <w:t xml:space="preserve"> used.</w:t>
            </w:r>
          </w:p>
        </w:tc>
        <w:tc>
          <w:tcPr>
            <w:tcW w:w="5580" w:type="dxa"/>
          </w:tcPr>
          <w:p w14:paraId="6C3195B8" w14:textId="1EA71326" w:rsidR="00E527F1" w:rsidRDefault="00E527F1" w:rsidP="00E527F1">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Grade: B-</w:t>
            </w:r>
            <w:r w:rsidR="00527DD4">
              <w:rPr>
                <w:rFonts w:asciiTheme="majorHAnsi" w:hAnsiTheme="majorHAnsi" w:cs="Courier"/>
                <w:color w:val="181818"/>
                <w:sz w:val="20"/>
                <w:szCs w:val="20"/>
              </w:rPr>
              <w:t xml:space="preserve">                </w:t>
            </w:r>
            <w:proofErr w:type="spellStart"/>
            <w:r>
              <w:rPr>
                <w:rFonts w:asciiTheme="majorHAnsi" w:hAnsiTheme="majorHAnsi" w:cs="Courier"/>
                <w:color w:val="181818"/>
                <w:sz w:val="20"/>
                <w:szCs w:val="20"/>
              </w:rPr>
              <w:t>Strawman</w:t>
            </w:r>
            <w:proofErr w:type="spellEnd"/>
            <w:r>
              <w:rPr>
                <w:rFonts w:asciiTheme="majorHAnsi" w:hAnsiTheme="majorHAnsi" w:cs="Courier"/>
                <w:color w:val="181818"/>
                <w:sz w:val="20"/>
                <w:szCs w:val="20"/>
              </w:rPr>
              <w:t xml:space="preserve"> considers this as implementation item, but </w:t>
            </w:r>
            <w:proofErr w:type="spellStart"/>
            <w:r>
              <w:rPr>
                <w:rFonts w:asciiTheme="majorHAnsi" w:hAnsiTheme="majorHAnsi" w:cs="Courier"/>
                <w:color w:val="181818"/>
                <w:sz w:val="20"/>
                <w:szCs w:val="20"/>
              </w:rPr>
              <w:t>Fadi</w:t>
            </w:r>
            <w:proofErr w:type="spellEnd"/>
            <w:r>
              <w:rPr>
                <w:rFonts w:asciiTheme="majorHAnsi" w:hAnsiTheme="majorHAnsi" w:cs="Courier"/>
                <w:color w:val="181818"/>
                <w:sz w:val="20"/>
                <w:szCs w:val="20"/>
              </w:rPr>
              <w:t xml:space="preserve"> will “</w:t>
            </w:r>
            <w:r w:rsidRPr="00E527F1">
              <w:rPr>
                <w:rFonts w:asciiTheme="majorHAnsi" w:hAnsiTheme="majorHAnsi" w:cs="Courier"/>
                <w:i/>
                <w:color w:val="181818"/>
                <w:sz w:val="20"/>
                <w:szCs w:val="20"/>
              </w:rPr>
              <w:t>seek guidance from the GNSO Council</w:t>
            </w:r>
            <w:r>
              <w:rPr>
                <w:rFonts w:asciiTheme="majorHAnsi" w:hAnsiTheme="majorHAnsi" w:cs="Courier"/>
                <w:color w:val="181818"/>
                <w:sz w:val="20"/>
                <w:szCs w:val="20"/>
              </w:rPr>
              <w:t>” before proceeding.</w:t>
            </w:r>
          </w:p>
          <w:p w14:paraId="189ADF66" w14:textId="01E59A16" w:rsidR="00E527F1" w:rsidRPr="00356569" w:rsidRDefault="00E527F1" w:rsidP="00E527F1">
            <w:pPr>
              <w:widowControl w:val="0"/>
              <w:autoSpaceDE w:val="0"/>
              <w:autoSpaceDN w:val="0"/>
              <w:adjustRightInd w:val="0"/>
              <w:spacing w:before="120"/>
              <w:rPr>
                <w:rFonts w:asciiTheme="majorHAnsi" w:hAnsiTheme="majorHAnsi" w:cs="Courier"/>
                <w:color w:val="181818"/>
                <w:sz w:val="20"/>
                <w:szCs w:val="20"/>
              </w:rPr>
            </w:pPr>
            <w:r>
              <w:rPr>
                <w:rFonts w:asciiTheme="majorHAnsi" w:hAnsiTheme="majorHAnsi" w:cs="Courier"/>
                <w:color w:val="181818"/>
                <w:sz w:val="20"/>
                <w:szCs w:val="20"/>
              </w:rPr>
              <w:t xml:space="preserve">Proposal: each TMCH registration could add up to 50 variant domains that were abusively registered or used.  </w:t>
            </w:r>
            <w:proofErr w:type="spellStart"/>
            <w:r>
              <w:rPr>
                <w:rFonts w:asciiTheme="majorHAnsi" w:hAnsiTheme="majorHAnsi" w:cs="Courier"/>
                <w:color w:val="181818"/>
                <w:sz w:val="20"/>
                <w:szCs w:val="20"/>
              </w:rPr>
              <w:t>Additonal</w:t>
            </w:r>
            <w:proofErr w:type="spellEnd"/>
            <w:r>
              <w:rPr>
                <w:rFonts w:asciiTheme="majorHAnsi" w:hAnsiTheme="majorHAnsi" w:cs="Courier"/>
                <w:color w:val="181818"/>
                <w:sz w:val="20"/>
                <w:szCs w:val="20"/>
              </w:rPr>
              <w:t xml:space="preserve"> annual fee for these variants is in “single digits”.  Would trigger TM Claims (but only for limited time as noted above).   </w:t>
            </w:r>
          </w:p>
        </w:tc>
      </w:tr>
    </w:tbl>
    <w:p w14:paraId="75515058" w14:textId="4549B386" w:rsidR="00120AAE" w:rsidRPr="00356569" w:rsidRDefault="00120AAE" w:rsidP="00120AAE">
      <w:pPr>
        <w:widowControl w:val="0"/>
        <w:autoSpaceDE w:val="0"/>
        <w:autoSpaceDN w:val="0"/>
        <w:adjustRightInd w:val="0"/>
        <w:rPr>
          <w:rFonts w:asciiTheme="majorHAnsi" w:hAnsiTheme="majorHAnsi" w:cs="Calibri"/>
          <w:color w:val="1F1F1F"/>
          <w:sz w:val="20"/>
          <w:szCs w:val="20"/>
        </w:rPr>
      </w:pPr>
    </w:p>
    <w:p w14:paraId="3140D64D" w14:textId="7029921A" w:rsidR="005B1483" w:rsidRPr="00274329" w:rsidRDefault="00527DD4" w:rsidP="006D119B">
      <w:pPr>
        <w:rPr>
          <w:rFonts w:ascii="Calibri" w:hAnsi="Calibri" w:cs="Calibri"/>
          <w:sz w:val="20"/>
          <w:szCs w:val="20"/>
        </w:rPr>
      </w:pPr>
      <w:r>
        <w:rPr>
          <w:rFonts w:ascii="Calibri" w:hAnsi="Calibri" w:cs="Calibri"/>
          <w:sz w:val="20"/>
          <w:szCs w:val="20"/>
        </w:rPr>
        <w:br w:type="page"/>
      </w:r>
      <w:r>
        <w:rPr>
          <w:rFonts w:ascii="Calibri" w:hAnsi="Calibri" w:cs="Calibri"/>
          <w:sz w:val="20"/>
          <w:szCs w:val="20"/>
        </w:rPr>
        <w:lastRenderedPageBreak/>
        <w:t>N</w:t>
      </w:r>
      <w:r w:rsidR="005B1483" w:rsidRPr="00274329">
        <w:rPr>
          <w:rFonts w:ascii="Calibri" w:hAnsi="Calibri" w:cs="Calibri"/>
          <w:sz w:val="20"/>
          <w:szCs w:val="20"/>
        </w:rPr>
        <w:t xml:space="preserve">otes from 26-Nov con call led by </w:t>
      </w:r>
      <w:proofErr w:type="spellStart"/>
      <w:r w:rsidR="005B1483" w:rsidRPr="00274329">
        <w:rPr>
          <w:rFonts w:ascii="Calibri" w:hAnsi="Calibri" w:cs="Calibri"/>
          <w:sz w:val="20"/>
          <w:szCs w:val="20"/>
        </w:rPr>
        <w:t>Fadi</w:t>
      </w:r>
      <w:proofErr w:type="spellEnd"/>
      <w:r w:rsidR="005B1483" w:rsidRPr="00274329">
        <w:rPr>
          <w:rFonts w:ascii="Calibri" w:hAnsi="Calibri" w:cs="Calibri"/>
          <w:sz w:val="20"/>
          <w:szCs w:val="20"/>
        </w:rPr>
        <w:t>:</w:t>
      </w:r>
    </w:p>
    <w:p w14:paraId="1F6A2470" w14:textId="77777777" w:rsidR="005B1483" w:rsidRPr="00274329" w:rsidRDefault="005B1483" w:rsidP="005B1483">
      <w:pPr>
        <w:widowControl w:val="0"/>
        <w:autoSpaceDE w:val="0"/>
        <w:autoSpaceDN w:val="0"/>
        <w:adjustRightInd w:val="0"/>
        <w:rPr>
          <w:rFonts w:ascii="Calibri" w:hAnsi="Calibri" w:cs="Calibri"/>
          <w:sz w:val="20"/>
          <w:szCs w:val="20"/>
        </w:rPr>
      </w:pPr>
    </w:p>
    <w:p w14:paraId="460495B5" w14:textId="77777777" w:rsidR="005B1483" w:rsidRPr="00274329" w:rsidRDefault="005B1483" w:rsidP="005B1483">
      <w:pPr>
        <w:widowControl w:val="0"/>
        <w:autoSpaceDE w:val="0"/>
        <w:autoSpaceDN w:val="0"/>
        <w:adjustRightInd w:val="0"/>
        <w:rPr>
          <w:rFonts w:ascii="Calibri" w:hAnsi="Calibri" w:cs="Calibri"/>
          <w:sz w:val="20"/>
          <w:szCs w:val="20"/>
        </w:rPr>
      </w:pPr>
      <w:r w:rsidRPr="00274329">
        <w:rPr>
          <w:rFonts w:ascii="Calibri" w:hAnsi="Calibri" w:cs="Calibri"/>
          <w:sz w:val="20"/>
          <w:szCs w:val="20"/>
        </w:rPr>
        <w:t>Contracts:</w:t>
      </w:r>
    </w:p>
    <w:p w14:paraId="38F0235C"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TMCH will be an ICANN database.  ICANN will own all IP. IBM is just the "service bureau". </w:t>
      </w:r>
    </w:p>
    <w:p w14:paraId="6F895BC2" w14:textId="77777777" w:rsidR="005B1483" w:rsidRPr="00274329" w:rsidRDefault="005B1483" w:rsidP="00274329">
      <w:pPr>
        <w:widowControl w:val="0"/>
        <w:autoSpaceDE w:val="0"/>
        <w:autoSpaceDN w:val="0"/>
        <w:adjustRightInd w:val="0"/>
        <w:ind w:left="720"/>
        <w:rPr>
          <w:rFonts w:ascii="Calibri" w:hAnsi="Calibri" w:cs="Calibri"/>
          <w:sz w:val="20"/>
          <w:szCs w:val="20"/>
        </w:rPr>
      </w:pPr>
      <w:proofErr w:type="spellStart"/>
      <w:r w:rsidRPr="00274329">
        <w:rPr>
          <w:rFonts w:ascii="Calibri" w:hAnsi="Calibri" w:cs="Calibri"/>
          <w:sz w:val="20"/>
          <w:szCs w:val="20"/>
        </w:rPr>
        <w:t>Fadi</w:t>
      </w:r>
      <w:proofErr w:type="spellEnd"/>
      <w:r w:rsidRPr="00274329">
        <w:rPr>
          <w:rFonts w:ascii="Calibri" w:hAnsi="Calibri" w:cs="Calibri"/>
          <w:sz w:val="20"/>
          <w:szCs w:val="20"/>
        </w:rPr>
        <w:t xml:space="preserve"> is having another call this Friday to talk about the IBM contract.  </w:t>
      </w:r>
    </w:p>
    <w:p w14:paraId="03920B6E" w14:textId="6AF07A24"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Deloitte is first of many providers of a related service: validation Trademarks for registration. </w:t>
      </w:r>
    </w:p>
    <w:p w14:paraId="14CD2872"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Deloitte will use a TMCH API that IBM is designing.   It is not created exclusively for Deloitte.</w:t>
      </w:r>
    </w:p>
    <w:p w14:paraId="1D955AB5" w14:textId="77777777" w:rsidR="005B1483" w:rsidRPr="00274329" w:rsidRDefault="005B1483" w:rsidP="00274329">
      <w:pPr>
        <w:widowControl w:val="0"/>
        <w:autoSpaceDE w:val="0"/>
        <w:autoSpaceDN w:val="0"/>
        <w:adjustRightInd w:val="0"/>
        <w:ind w:left="720"/>
        <w:rPr>
          <w:rFonts w:ascii="Calibri" w:hAnsi="Calibri" w:cs="Calibri"/>
          <w:sz w:val="20"/>
          <w:szCs w:val="20"/>
        </w:rPr>
      </w:pPr>
    </w:p>
    <w:p w14:paraId="05C59B90"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TMCH registration fee will be capped at $150 per registration per year.   </w:t>
      </w:r>
    </w:p>
    <w:p w14:paraId="08ED9392"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Discounts for bulk submission and multi-year pre-payment could bring cost down to $110 per registration per year.</w:t>
      </w:r>
    </w:p>
    <w:p w14:paraId="1D42FA9E"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If extra strings are allowed (previously abused), the additional cost would be single digits per string.</w:t>
      </w:r>
    </w:p>
    <w:p w14:paraId="2D954A2E" w14:textId="77777777" w:rsidR="005B1483" w:rsidRPr="00274329" w:rsidRDefault="005B1483" w:rsidP="00274329">
      <w:pPr>
        <w:widowControl w:val="0"/>
        <w:autoSpaceDE w:val="0"/>
        <w:autoSpaceDN w:val="0"/>
        <w:adjustRightInd w:val="0"/>
        <w:ind w:left="720"/>
        <w:rPr>
          <w:rFonts w:ascii="Calibri" w:hAnsi="Calibri" w:cs="Calibri"/>
          <w:sz w:val="20"/>
          <w:szCs w:val="20"/>
        </w:rPr>
      </w:pPr>
    </w:p>
    <w:p w14:paraId="534B84D3"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IBM will charge a fee to Deloitte for their use of the TMCH API.</w:t>
      </w:r>
    </w:p>
    <w:p w14:paraId="133382C0" w14:textId="77777777" w:rsidR="005B1483" w:rsidRPr="00274329" w:rsidRDefault="005B1483" w:rsidP="00274329">
      <w:pPr>
        <w:widowControl w:val="0"/>
        <w:autoSpaceDE w:val="0"/>
        <w:autoSpaceDN w:val="0"/>
        <w:adjustRightInd w:val="0"/>
        <w:ind w:left="720"/>
        <w:rPr>
          <w:rFonts w:ascii="Calibri" w:hAnsi="Calibri" w:cs="Calibri"/>
          <w:sz w:val="20"/>
          <w:szCs w:val="20"/>
        </w:rPr>
      </w:pPr>
    </w:p>
    <w:p w14:paraId="3A2BA909"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IBM will charge R/</w:t>
      </w:r>
      <w:proofErr w:type="spellStart"/>
      <w:r w:rsidRPr="00274329">
        <w:rPr>
          <w:rFonts w:ascii="Calibri" w:hAnsi="Calibri" w:cs="Calibri"/>
          <w:sz w:val="20"/>
          <w:szCs w:val="20"/>
        </w:rPr>
        <w:t>Rr</w:t>
      </w:r>
      <w:proofErr w:type="spellEnd"/>
      <w:r w:rsidRPr="00274329">
        <w:rPr>
          <w:rFonts w:ascii="Calibri" w:hAnsi="Calibri" w:cs="Calibri"/>
          <w:sz w:val="20"/>
          <w:szCs w:val="20"/>
        </w:rPr>
        <w:t xml:space="preserve"> users fees for setup and fees to query the TMCH.</w:t>
      </w:r>
    </w:p>
    <w:p w14:paraId="38009B55" w14:textId="77777777" w:rsidR="005B1483" w:rsidRPr="00274329" w:rsidRDefault="005B1483" w:rsidP="005B1483">
      <w:pPr>
        <w:widowControl w:val="0"/>
        <w:autoSpaceDE w:val="0"/>
        <w:autoSpaceDN w:val="0"/>
        <w:adjustRightInd w:val="0"/>
        <w:rPr>
          <w:rFonts w:ascii="Calibri" w:hAnsi="Calibri" w:cs="Calibri"/>
          <w:sz w:val="20"/>
          <w:szCs w:val="20"/>
        </w:rPr>
      </w:pPr>
    </w:p>
    <w:p w14:paraId="0A53D649" w14:textId="3742BFEC" w:rsidR="005B1483" w:rsidRPr="00274329" w:rsidRDefault="005B1483" w:rsidP="005B1483">
      <w:pPr>
        <w:widowControl w:val="0"/>
        <w:autoSpaceDE w:val="0"/>
        <w:autoSpaceDN w:val="0"/>
        <w:adjustRightInd w:val="0"/>
        <w:rPr>
          <w:rFonts w:ascii="Calibri" w:hAnsi="Calibri" w:cs="Calibri"/>
          <w:sz w:val="20"/>
          <w:szCs w:val="20"/>
        </w:rPr>
      </w:pPr>
      <w:proofErr w:type="spellStart"/>
      <w:r w:rsidRPr="00274329">
        <w:rPr>
          <w:rFonts w:ascii="Calibri" w:hAnsi="Calibri" w:cs="Calibri"/>
          <w:sz w:val="20"/>
          <w:szCs w:val="20"/>
        </w:rPr>
        <w:t>Strawman</w:t>
      </w:r>
      <w:proofErr w:type="spellEnd"/>
      <w:r w:rsidRPr="00274329">
        <w:rPr>
          <w:rFonts w:ascii="Calibri" w:hAnsi="Calibri" w:cs="Calibri"/>
          <w:sz w:val="20"/>
          <w:szCs w:val="20"/>
        </w:rPr>
        <w:t>:</w:t>
      </w:r>
      <w:r w:rsidR="00274329">
        <w:rPr>
          <w:rFonts w:ascii="Calibri" w:hAnsi="Calibri" w:cs="Calibri"/>
          <w:sz w:val="20"/>
          <w:szCs w:val="20"/>
        </w:rPr>
        <w:t xml:space="preserve"> (</w:t>
      </w:r>
      <w:proofErr w:type="spellStart"/>
      <w:r w:rsidR="00274329">
        <w:rPr>
          <w:rFonts w:ascii="Calibri" w:hAnsi="Calibri" w:cs="Calibri"/>
          <w:sz w:val="20"/>
          <w:szCs w:val="20"/>
        </w:rPr>
        <w:t>Fadi</w:t>
      </w:r>
      <w:proofErr w:type="spellEnd"/>
      <w:r w:rsidR="00274329">
        <w:rPr>
          <w:rFonts w:ascii="Calibri" w:hAnsi="Calibri" w:cs="Calibri"/>
          <w:sz w:val="20"/>
          <w:szCs w:val="20"/>
        </w:rPr>
        <w:t xml:space="preserve"> described 3 “buckets”)</w:t>
      </w:r>
    </w:p>
    <w:p w14:paraId="4D507028"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 xml:space="preserve">First "bucket" is sunrise period.   Add a 30-day advance notice.  There's no GNSO policy language on </w:t>
      </w:r>
      <w:proofErr w:type="spellStart"/>
      <w:r w:rsidRPr="00274329">
        <w:rPr>
          <w:rFonts w:ascii="Calibri" w:hAnsi="Calibri" w:cs="Calibri"/>
          <w:sz w:val="20"/>
          <w:szCs w:val="20"/>
        </w:rPr>
        <w:t>thise</w:t>
      </w:r>
      <w:proofErr w:type="spellEnd"/>
      <w:r w:rsidRPr="00274329">
        <w:rPr>
          <w:rFonts w:ascii="Calibri" w:hAnsi="Calibri" w:cs="Calibri"/>
          <w:sz w:val="20"/>
          <w:szCs w:val="20"/>
        </w:rPr>
        <w:t xml:space="preserve"> length of Sunrise, so this is definitely an Implementation item. </w:t>
      </w:r>
    </w:p>
    <w:p w14:paraId="21EB8CDE" w14:textId="77777777" w:rsidR="005B1483" w:rsidRPr="00274329" w:rsidRDefault="005B1483" w:rsidP="00274329">
      <w:pPr>
        <w:widowControl w:val="0"/>
        <w:autoSpaceDE w:val="0"/>
        <w:autoSpaceDN w:val="0"/>
        <w:adjustRightInd w:val="0"/>
        <w:ind w:left="720"/>
        <w:rPr>
          <w:rFonts w:ascii="Calibri" w:hAnsi="Calibri" w:cs="Calibri"/>
          <w:sz w:val="20"/>
          <w:szCs w:val="20"/>
        </w:rPr>
      </w:pPr>
    </w:p>
    <w:p w14:paraId="6487EE6C"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 xml:space="preserve">2nd bucket is "Claims 2", extending the period for TM Claim notices.   </w:t>
      </w:r>
      <w:proofErr w:type="spellStart"/>
      <w:r w:rsidRPr="00274329">
        <w:rPr>
          <w:rFonts w:ascii="Calibri" w:hAnsi="Calibri" w:cs="Calibri"/>
          <w:sz w:val="20"/>
          <w:szCs w:val="20"/>
        </w:rPr>
        <w:t>Strawman</w:t>
      </w:r>
      <w:proofErr w:type="spellEnd"/>
      <w:r w:rsidRPr="00274329">
        <w:rPr>
          <w:rFonts w:ascii="Calibri" w:hAnsi="Calibri" w:cs="Calibri"/>
          <w:sz w:val="20"/>
          <w:szCs w:val="20"/>
        </w:rPr>
        <w:t xml:space="preserve"> is to add 6-12 months of "lightweight" notices to registrants. TM owners would pay for this.  GNSO policy requires us "not to infringe on the legal rights of others".  This is definitely an implementation item IF just an extension of time.  Would not be Implementation if claims were to run permanently.   This adds costs to </w:t>
      </w:r>
      <w:proofErr w:type="spellStart"/>
      <w:r w:rsidRPr="00274329">
        <w:rPr>
          <w:rFonts w:ascii="Calibri" w:hAnsi="Calibri" w:cs="Calibri"/>
          <w:sz w:val="20"/>
          <w:szCs w:val="20"/>
        </w:rPr>
        <w:t>Rr</w:t>
      </w:r>
      <w:proofErr w:type="spellEnd"/>
      <w:r w:rsidRPr="00274329">
        <w:rPr>
          <w:rFonts w:ascii="Calibri" w:hAnsi="Calibri" w:cs="Calibri"/>
          <w:sz w:val="20"/>
          <w:szCs w:val="20"/>
        </w:rPr>
        <w:t>/</w:t>
      </w:r>
      <w:proofErr w:type="spellStart"/>
      <w:r w:rsidRPr="00274329">
        <w:rPr>
          <w:rFonts w:ascii="Calibri" w:hAnsi="Calibri" w:cs="Calibri"/>
          <w:sz w:val="20"/>
          <w:szCs w:val="20"/>
        </w:rPr>
        <w:t>Ry</w:t>
      </w:r>
      <w:proofErr w:type="spellEnd"/>
      <w:r w:rsidRPr="00274329">
        <w:rPr>
          <w:rFonts w:ascii="Calibri" w:hAnsi="Calibri" w:cs="Calibri"/>
          <w:sz w:val="20"/>
          <w:szCs w:val="20"/>
        </w:rPr>
        <w:t xml:space="preserve">, so we must charge fees to TM owners and compensate </w:t>
      </w:r>
      <w:proofErr w:type="spellStart"/>
      <w:r w:rsidRPr="00274329">
        <w:rPr>
          <w:rFonts w:ascii="Calibri" w:hAnsi="Calibri" w:cs="Calibri"/>
          <w:sz w:val="20"/>
          <w:szCs w:val="20"/>
        </w:rPr>
        <w:t>Rr</w:t>
      </w:r>
      <w:proofErr w:type="spellEnd"/>
      <w:r w:rsidRPr="00274329">
        <w:rPr>
          <w:rFonts w:ascii="Calibri" w:hAnsi="Calibri" w:cs="Calibri"/>
          <w:sz w:val="20"/>
          <w:szCs w:val="20"/>
        </w:rPr>
        <w:t>/Ry.</w:t>
      </w:r>
    </w:p>
    <w:p w14:paraId="4DD293E7" w14:textId="77777777" w:rsidR="005B1483" w:rsidRPr="00274329" w:rsidRDefault="005B1483" w:rsidP="00274329">
      <w:pPr>
        <w:widowControl w:val="0"/>
        <w:autoSpaceDE w:val="0"/>
        <w:autoSpaceDN w:val="0"/>
        <w:adjustRightInd w:val="0"/>
        <w:ind w:left="720"/>
        <w:rPr>
          <w:rFonts w:ascii="Calibri" w:hAnsi="Calibri" w:cs="Calibri"/>
          <w:sz w:val="20"/>
          <w:szCs w:val="20"/>
        </w:rPr>
      </w:pPr>
    </w:p>
    <w:p w14:paraId="2280E9A0"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3rd bucket is TM matching strings for claim notices</w:t>
      </w:r>
      <w:proofErr w:type="gramStart"/>
      <w:r w:rsidRPr="00274329">
        <w:rPr>
          <w:rFonts w:ascii="Calibri" w:hAnsi="Calibri" w:cs="Calibri"/>
          <w:sz w:val="20"/>
          <w:szCs w:val="20"/>
        </w:rPr>
        <w:t>.,</w:t>
      </w:r>
      <w:proofErr w:type="gramEnd"/>
      <w:r w:rsidRPr="00274329">
        <w:rPr>
          <w:rFonts w:ascii="Calibri" w:hAnsi="Calibri" w:cs="Calibri"/>
          <w:sz w:val="20"/>
          <w:szCs w:val="20"/>
        </w:rPr>
        <w:t xml:space="preserve"> to include domains previously abusively registered or used. Not comfortable saying this is implementation.  </w:t>
      </w:r>
      <w:proofErr w:type="spellStart"/>
      <w:r w:rsidRPr="00274329">
        <w:rPr>
          <w:rFonts w:ascii="Calibri" w:hAnsi="Calibri" w:cs="Calibri"/>
          <w:sz w:val="20"/>
          <w:szCs w:val="20"/>
        </w:rPr>
        <w:t>Fadi</w:t>
      </w:r>
      <w:proofErr w:type="spellEnd"/>
      <w:r w:rsidRPr="00274329">
        <w:rPr>
          <w:rFonts w:ascii="Calibri" w:hAnsi="Calibri" w:cs="Calibri"/>
          <w:sz w:val="20"/>
          <w:szCs w:val="20"/>
        </w:rPr>
        <w:t xml:space="preserve"> will ask GNSO Council for guidance on this one.</w:t>
      </w:r>
    </w:p>
    <w:p w14:paraId="468F5765" w14:textId="77777777" w:rsidR="005B1483" w:rsidRPr="00274329" w:rsidRDefault="005B1483" w:rsidP="00274329">
      <w:pPr>
        <w:widowControl w:val="0"/>
        <w:autoSpaceDE w:val="0"/>
        <w:autoSpaceDN w:val="0"/>
        <w:adjustRightInd w:val="0"/>
        <w:ind w:left="720"/>
        <w:rPr>
          <w:rFonts w:ascii="Calibri" w:hAnsi="Calibri" w:cs="Calibri"/>
          <w:sz w:val="20"/>
          <w:szCs w:val="20"/>
        </w:rPr>
      </w:pPr>
    </w:p>
    <w:p w14:paraId="0418A758"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 xml:space="preserve">ICANN will post this entire </w:t>
      </w:r>
      <w:proofErr w:type="spellStart"/>
      <w:r w:rsidRPr="00274329">
        <w:rPr>
          <w:rFonts w:ascii="Calibri" w:hAnsi="Calibri" w:cs="Calibri"/>
          <w:sz w:val="20"/>
          <w:szCs w:val="20"/>
        </w:rPr>
        <w:t>Strawman</w:t>
      </w:r>
      <w:proofErr w:type="spellEnd"/>
      <w:r w:rsidRPr="00274329">
        <w:rPr>
          <w:rFonts w:ascii="Calibri" w:hAnsi="Calibri" w:cs="Calibri"/>
          <w:sz w:val="20"/>
          <w:szCs w:val="20"/>
        </w:rPr>
        <w:t xml:space="preserve"> doc for public comment this week.</w:t>
      </w:r>
    </w:p>
    <w:p w14:paraId="40D892CA" w14:textId="77777777" w:rsidR="005B1483" w:rsidRPr="00274329" w:rsidRDefault="005B1483" w:rsidP="005B1483">
      <w:pPr>
        <w:widowControl w:val="0"/>
        <w:autoSpaceDE w:val="0"/>
        <w:autoSpaceDN w:val="0"/>
        <w:adjustRightInd w:val="0"/>
        <w:rPr>
          <w:rFonts w:ascii="Calibri" w:hAnsi="Calibri" w:cs="Calibri"/>
          <w:sz w:val="20"/>
          <w:szCs w:val="20"/>
        </w:rPr>
      </w:pPr>
    </w:p>
    <w:p w14:paraId="4F843596" w14:textId="77777777" w:rsidR="005B1483" w:rsidRPr="00274329" w:rsidRDefault="005B1483" w:rsidP="005B1483">
      <w:pPr>
        <w:widowControl w:val="0"/>
        <w:autoSpaceDE w:val="0"/>
        <w:autoSpaceDN w:val="0"/>
        <w:adjustRightInd w:val="0"/>
        <w:rPr>
          <w:rFonts w:ascii="Calibri" w:hAnsi="Calibri" w:cs="Calibri"/>
          <w:sz w:val="20"/>
          <w:szCs w:val="20"/>
        </w:rPr>
      </w:pPr>
      <w:proofErr w:type="spellStart"/>
      <w:r w:rsidRPr="00274329">
        <w:rPr>
          <w:rFonts w:ascii="Calibri" w:hAnsi="Calibri" w:cs="Calibri"/>
          <w:sz w:val="20"/>
          <w:szCs w:val="20"/>
        </w:rPr>
        <w:t>Fadi</w:t>
      </w:r>
      <w:proofErr w:type="spellEnd"/>
      <w:r w:rsidRPr="00274329">
        <w:rPr>
          <w:rFonts w:ascii="Calibri" w:hAnsi="Calibri" w:cs="Calibri"/>
          <w:sz w:val="20"/>
          <w:szCs w:val="20"/>
        </w:rPr>
        <w:t xml:space="preserve"> stopped there for Q&amp;A.  </w:t>
      </w:r>
    </w:p>
    <w:p w14:paraId="1E088C0B" w14:textId="77777777" w:rsidR="005B1483" w:rsidRPr="00274329" w:rsidRDefault="005B1483" w:rsidP="005B1483">
      <w:pPr>
        <w:widowControl w:val="0"/>
        <w:autoSpaceDE w:val="0"/>
        <w:autoSpaceDN w:val="0"/>
        <w:adjustRightInd w:val="0"/>
        <w:rPr>
          <w:rFonts w:ascii="Calibri" w:hAnsi="Calibri" w:cs="Calibri"/>
          <w:sz w:val="20"/>
          <w:szCs w:val="20"/>
        </w:rPr>
      </w:pPr>
    </w:p>
    <w:p w14:paraId="48F13F96" w14:textId="77777777" w:rsidR="005B1483" w:rsidRPr="00274329" w:rsidRDefault="005B1483" w:rsidP="00274329">
      <w:pPr>
        <w:widowControl w:val="0"/>
        <w:autoSpaceDE w:val="0"/>
        <w:autoSpaceDN w:val="0"/>
        <w:adjustRightInd w:val="0"/>
        <w:ind w:left="720"/>
        <w:rPr>
          <w:rFonts w:ascii="Calibri" w:hAnsi="Calibri" w:cs="Calibri"/>
          <w:sz w:val="20"/>
          <w:szCs w:val="20"/>
        </w:rPr>
      </w:pPr>
      <w:proofErr w:type="spellStart"/>
      <w:r w:rsidRPr="00274329">
        <w:rPr>
          <w:rFonts w:ascii="Calibri" w:hAnsi="Calibri" w:cs="Calibri"/>
          <w:sz w:val="20"/>
          <w:szCs w:val="20"/>
        </w:rPr>
        <w:t>Eckhaus</w:t>
      </w:r>
      <w:proofErr w:type="spellEnd"/>
      <w:r w:rsidRPr="00274329">
        <w:rPr>
          <w:rFonts w:ascii="Calibri" w:hAnsi="Calibri" w:cs="Calibri"/>
          <w:sz w:val="20"/>
          <w:szCs w:val="20"/>
        </w:rPr>
        <w:t xml:space="preserve"> and </w:t>
      </w:r>
      <w:proofErr w:type="spellStart"/>
      <w:r w:rsidRPr="00274329">
        <w:rPr>
          <w:rFonts w:ascii="Calibri" w:hAnsi="Calibri" w:cs="Calibri"/>
          <w:sz w:val="20"/>
          <w:szCs w:val="20"/>
        </w:rPr>
        <w:t>Nevett</w:t>
      </w:r>
      <w:proofErr w:type="spellEnd"/>
      <w:r w:rsidRPr="00274329">
        <w:rPr>
          <w:rFonts w:ascii="Calibri" w:hAnsi="Calibri" w:cs="Calibri"/>
          <w:sz w:val="20"/>
          <w:szCs w:val="20"/>
        </w:rPr>
        <w:t xml:space="preserve"> said that "Claims 2" is new policy.  </w:t>
      </w:r>
      <w:proofErr w:type="gramStart"/>
      <w:r w:rsidRPr="00274329">
        <w:rPr>
          <w:rFonts w:ascii="Calibri" w:hAnsi="Calibri" w:cs="Calibri"/>
          <w:sz w:val="20"/>
          <w:szCs w:val="20"/>
        </w:rPr>
        <w:t xml:space="preserve">Politely asked </w:t>
      </w:r>
      <w:proofErr w:type="spellStart"/>
      <w:r w:rsidRPr="00274329">
        <w:rPr>
          <w:rFonts w:ascii="Calibri" w:hAnsi="Calibri" w:cs="Calibri"/>
          <w:sz w:val="20"/>
          <w:szCs w:val="20"/>
        </w:rPr>
        <w:t>Fadi</w:t>
      </w:r>
      <w:proofErr w:type="spellEnd"/>
      <w:r w:rsidRPr="00274329">
        <w:rPr>
          <w:rFonts w:ascii="Calibri" w:hAnsi="Calibri" w:cs="Calibri"/>
          <w:sz w:val="20"/>
          <w:szCs w:val="20"/>
        </w:rPr>
        <w:t xml:space="preserve"> for his written rationale to say this is just implementation.</w:t>
      </w:r>
      <w:proofErr w:type="gramEnd"/>
      <w:r w:rsidRPr="00274329">
        <w:rPr>
          <w:rFonts w:ascii="Calibri" w:hAnsi="Calibri" w:cs="Calibri"/>
          <w:sz w:val="20"/>
          <w:szCs w:val="20"/>
        </w:rPr>
        <w:t> </w:t>
      </w:r>
    </w:p>
    <w:p w14:paraId="6A21432B" w14:textId="77777777" w:rsidR="005B1483" w:rsidRPr="00274329" w:rsidRDefault="005B1483" w:rsidP="00274329">
      <w:pPr>
        <w:widowControl w:val="0"/>
        <w:autoSpaceDE w:val="0"/>
        <w:autoSpaceDN w:val="0"/>
        <w:adjustRightInd w:val="0"/>
        <w:ind w:left="720"/>
        <w:rPr>
          <w:rFonts w:ascii="Calibri" w:hAnsi="Calibri" w:cs="Calibri"/>
          <w:sz w:val="20"/>
          <w:szCs w:val="20"/>
        </w:rPr>
      </w:pPr>
    </w:p>
    <w:p w14:paraId="191AB51F"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IPC members asked about the Limited Preventive Registration proposal (#4 from the BC/IPC list, also known as "blocking")</w:t>
      </w:r>
    </w:p>
    <w:p w14:paraId="30A31A57" w14:textId="77777777" w:rsidR="005B1483" w:rsidRPr="00274329" w:rsidRDefault="005B1483" w:rsidP="00274329">
      <w:pPr>
        <w:widowControl w:val="0"/>
        <w:autoSpaceDE w:val="0"/>
        <w:autoSpaceDN w:val="0"/>
        <w:adjustRightInd w:val="0"/>
        <w:ind w:left="720"/>
        <w:rPr>
          <w:rFonts w:ascii="Calibri" w:hAnsi="Calibri" w:cs="Calibri"/>
          <w:sz w:val="20"/>
          <w:szCs w:val="20"/>
        </w:rPr>
      </w:pPr>
    </w:p>
    <w:p w14:paraId="7C36384B" w14:textId="77777777" w:rsidR="005B1483" w:rsidRPr="00274329" w:rsidRDefault="005B1483" w:rsidP="00274329">
      <w:pPr>
        <w:widowControl w:val="0"/>
        <w:autoSpaceDE w:val="0"/>
        <w:autoSpaceDN w:val="0"/>
        <w:adjustRightInd w:val="0"/>
        <w:ind w:left="720"/>
        <w:rPr>
          <w:rFonts w:ascii="Calibri" w:hAnsi="Calibri" w:cs="Calibri"/>
          <w:sz w:val="20"/>
          <w:szCs w:val="20"/>
        </w:rPr>
      </w:pPr>
      <w:proofErr w:type="spellStart"/>
      <w:r w:rsidRPr="00274329">
        <w:rPr>
          <w:rFonts w:ascii="Calibri" w:hAnsi="Calibri" w:cs="Calibri"/>
          <w:sz w:val="20"/>
          <w:szCs w:val="20"/>
        </w:rPr>
        <w:t>Fadi</w:t>
      </w:r>
      <w:proofErr w:type="spellEnd"/>
      <w:r w:rsidRPr="00274329">
        <w:rPr>
          <w:rFonts w:ascii="Calibri" w:hAnsi="Calibri" w:cs="Calibri"/>
          <w:sz w:val="20"/>
          <w:szCs w:val="20"/>
        </w:rPr>
        <w:t xml:space="preserve">: any concept of blocking was removed from </w:t>
      </w:r>
      <w:proofErr w:type="spellStart"/>
      <w:r w:rsidRPr="00274329">
        <w:rPr>
          <w:rFonts w:ascii="Calibri" w:hAnsi="Calibri" w:cs="Calibri"/>
          <w:sz w:val="20"/>
          <w:szCs w:val="20"/>
        </w:rPr>
        <w:t>Strawman</w:t>
      </w:r>
      <w:proofErr w:type="spellEnd"/>
      <w:r w:rsidRPr="00274329">
        <w:rPr>
          <w:rFonts w:ascii="Calibri" w:hAnsi="Calibri" w:cs="Calibri"/>
          <w:sz w:val="20"/>
          <w:szCs w:val="20"/>
        </w:rPr>
        <w:t xml:space="preserve"> for lack of consensus at Thursday meeting in Los Angeles.  But I will put it back in the </w:t>
      </w:r>
      <w:proofErr w:type="spellStart"/>
      <w:r w:rsidRPr="00274329">
        <w:rPr>
          <w:rFonts w:ascii="Calibri" w:hAnsi="Calibri" w:cs="Calibri"/>
          <w:sz w:val="20"/>
          <w:szCs w:val="20"/>
        </w:rPr>
        <w:t>Strawman</w:t>
      </w:r>
      <w:proofErr w:type="spellEnd"/>
      <w:r w:rsidRPr="00274329">
        <w:rPr>
          <w:rFonts w:ascii="Calibri" w:hAnsi="Calibri" w:cs="Calibri"/>
          <w:sz w:val="20"/>
          <w:szCs w:val="20"/>
        </w:rPr>
        <w:t xml:space="preserve"> doc for purposes of continued discussion.</w:t>
      </w:r>
    </w:p>
    <w:p w14:paraId="471A9A65" w14:textId="77777777" w:rsidR="005B1483" w:rsidRPr="00274329" w:rsidRDefault="005B1483" w:rsidP="00274329">
      <w:pPr>
        <w:widowControl w:val="0"/>
        <w:autoSpaceDE w:val="0"/>
        <w:autoSpaceDN w:val="0"/>
        <w:adjustRightInd w:val="0"/>
        <w:ind w:left="720"/>
        <w:rPr>
          <w:rFonts w:ascii="Calibri" w:hAnsi="Calibri" w:cs="Calibri"/>
          <w:sz w:val="20"/>
          <w:szCs w:val="20"/>
        </w:rPr>
      </w:pPr>
    </w:p>
    <w:p w14:paraId="62A1E5FD" w14:textId="77777777" w:rsidR="005B1483" w:rsidRPr="00274329" w:rsidRDefault="005B1483" w:rsidP="00274329">
      <w:pPr>
        <w:widowControl w:val="0"/>
        <w:autoSpaceDE w:val="0"/>
        <w:autoSpaceDN w:val="0"/>
        <w:adjustRightInd w:val="0"/>
        <w:ind w:left="720"/>
        <w:rPr>
          <w:rFonts w:ascii="Calibri" w:hAnsi="Calibri" w:cs="Calibri"/>
          <w:sz w:val="20"/>
          <w:szCs w:val="20"/>
        </w:rPr>
      </w:pPr>
      <w:r w:rsidRPr="00274329">
        <w:rPr>
          <w:rFonts w:ascii="Calibri" w:hAnsi="Calibri" w:cs="Calibri"/>
          <w:sz w:val="20"/>
          <w:szCs w:val="20"/>
        </w:rPr>
        <w:t xml:space="preserve">Sara Deutsch (Verizon): the big priorities for brands were not addressed in the </w:t>
      </w:r>
      <w:proofErr w:type="spellStart"/>
      <w:r w:rsidRPr="00274329">
        <w:rPr>
          <w:rFonts w:ascii="Calibri" w:hAnsi="Calibri" w:cs="Calibri"/>
          <w:sz w:val="20"/>
          <w:szCs w:val="20"/>
        </w:rPr>
        <w:t>Strawamn</w:t>
      </w:r>
      <w:proofErr w:type="spellEnd"/>
      <w:r w:rsidRPr="00274329">
        <w:rPr>
          <w:rFonts w:ascii="Calibri" w:hAnsi="Calibri" w:cs="Calibri"/>
          <w:sz w:val="20"/>
          <w:szCs w:val="20"/>
        </w:rPr>
        <w:t>.   We aren't excited about having to pay for weak claims notices for an extra few months (Claims 2).</w:t>
      </w:r>
    </w:p>
    <w:p w14:paraId="6890FC47" w14:textId="217A4786" w:rsidR="006D119B" w:rsidRDefault="006D119B">
      <w:pPr>
        <w:rPr>
          <w:sz w:val="20"/>
          <w:szCs w:val="20"/>
        </w:rPr>
      </w:pPr>
      <w:r>
        <w:rPr>
          <w:sz w:val="20"/>
          <w:szCs w:val="20"/>
        </w:rPr>
        <w:br w:type="page"/>
      </w:r>
    </w:p>
    <w:p w14:paraId="07FA69BE" w14:textId="77777777" w:rsidR="006D119B" w:rsidRPr="006D119B" w:rsidRDefault="006D119B" w:rsidP="006D119B">
      <w:pPr>
        <w:jc w:val="center"/>
        <w:rPr>
          <w:sz w:val="20"/>
          <w:szCs w:val="20"/>
        </w:rPr>
      </w:pPr>
      <w:r w:rsidRPr="006D119B">
        <w:rPr>
          <w:b/>
          <w:bCs/>
          <w:sz w:val="20"/>
          <w:szCs w:val="20"/>
        </w:rPr>
        <w:t>Limited Preventative Registrations (original #4, priority #1)</w:t>
      </w:r>
    </w:p>
    <w:p w14:paraId="75EB6A8F" w14:textId="77777777" w:rsidR="006D119B" w:rsidRDefault="006D119B" w:rsidP="006D119B">
      <w:pPr>
        <w:rPr>
          <w:b/>
          <w:bCs/>
          <w:sz w:val="20"/>
          <w:szCs w:val="20"/>
        </w:rPr>
      </w:pPr>
    </w:p>
    <w:p w14:paraId="2CB74763" w14:textId="77777777" w:rsidR="006D119B" w:rsidRPr="006D119B" w:rsidRDefault="006D119B" w:rsidP="006D119B">
      <w:pPr>
        <w:rPr>
          <w:sz w:val="20"/>
          <w:szCs w:val="20"/>
        </w:rPr>
      </w:pPr>
      <w:r w:rsidRPr="006D119B">
        <w:rPr>
          <w:b/>
          <w:bCs/>
          <w:sz w:val="20"/>
          <w:szCs w:val="20"/>
        </w:rPr>
        <w:t xml:space="preserve">Initial BC/IPC Consensus Position (original #4, priority #1): </w:t>
      </w:r>
      <w:r w:rsidRPr="006D119B">
        <w:rPr>
          <w:sz w:val="20"/>
          <w:szCs w:val="20"/>
        </w:rPr>
        <w:t>Implement a mechanism for trademark owners to prevent second-level registration of their marks (exact matches, plus character strings previously determined to have been abusively registered or used) across all registries, upon payment of a reasonable fee, with appropriate safeguards for registrants with a legitimate right or interest.</w:t>
      </w:r>
    </w:p>
    <w:p w14:paraId="6363D6C0" w14:textId="77777777" w:rsidR="006D119B" w:rsidRDefault="006D119B" w:rsidP="006D119B">
      <w:pPr>
        <w:rPr>
          <w:b/>
          <w:bCs/>
          <w:sz w:val="20"/>
          <w:szCs w:val="20"/>
        </w:rPr>
      </w:pPr>
    </w:p>
    <w:p w14:paraId="0E3A5EA2" w14:textId="73C7B6FA" w:rsidR="006D119B" w:rsidRPr="006D119B" w:rsidRDefault="006D119B" w:rsidP="006D119B">
      <w:pPr>
        <w:rPr>
          <w:sz w:val="20"/>
          <w:szCs w:val="20"/>
        </w:rPr>
      </w:pPr>
      <w:r w:rsidRPr="006D119B">
        <w:rPr>
          <w:b/>
          <w:bCs/>
          <w:sz w:val="20"/>
          <w:szCs w:val="20"/>
        </w:rPr>
        <w:t xml:space="preserve">Implementation proposal: </w:t>
      </w:r>
      <w:r w:rsidRPr="006D119B">
        <w:rPr>
          <w:sz w:val="20"/>
          <w:szCs w:val="20"/>
        </w:rPr>
        <w:t xml:space="preserve">Limited Preventative Registrations (LPRs) will provide a streamlined form in new </w:t>
      </w:r>
      <w:proofErr w:type="spellStart"/>
      <w:r w:rsidRPr="006D119B">
        <w:rPr>
          <w:sz w:val="20"/>
          <w:szCs w:val="20"/>
        </w:rPr>
        <w:t>gTLDs</w:t>
      </w:r>
      <w:proofErr w:type="spellEnd"/>
      <w:r w:rsidRPr="006D119B">
        <w:rPr>
          <w:sz w:val="20"/>
          <w:szCs w:val="20"/>
        </w:rPr>
        <w:t xml:space="preserve"> of domain name registration with limited rights to strings that are exact matches to trademarks that are both eligible for inclusion in the Trademark Clearinghouse and eligible for Sunrise registration in the relevant new gTLD. Under the LPR system, a trademark holder can obtain a 5-year inactive registration, which would not resolve to any active page, but merely to a registry-controlled landing page with a simple legend such as “Domain Registered Pursuant to Limited Preventative Registration.”</w:t>
      </w:r>
      <w:r>
        <w:rPr>
          <w:rStyle w:val="FootnoteReference"/>
          <w:sz w:val="20"/>
          <w:szCs w:val="20"/>
        </w:rPr>
        <w:footnoteReference w:id="1"/>
      </w:r>
      <w:r w:rsidRPr="006D119B">
        <w:rPr>
          <w:sz w:val="20"/>
          <w:szCs w:val="20"/>
        </w:rPr>
        <w:t xml:space="preserve"> Legitimate right holders with the same trademark are not pre-emptively excluded from registering any string. The LPR will not go into effect until after the now-mandated Sunrise period.</w:t>
      </w:r>
    </w:p>
    <w:p w14:paraId="083265AF" w14:textId="77777777" w:rsidR="006D119B" w:rsidRDefault="006D119B" w:rsidP="006D119B">
      <w:pPr>
        <w:rPr>
          <w:sz w:val="20"/>
          <w:szCs w:val="20"/>
        </w:rPr>
      </w:pPr>
    </w:p>
    <w:p w14:paraId="704D3322" w14:textId="5E53EAFD" w:rsidR="006D119B" w:rsidRPr="006D119B" w:rsidRDefault="006D119B" w:rsidP="006D119B">
      <w:pPr>
        <w:rPr>
          <w:sz w:val="20"/>
          <w:szCs w:val="20"/>
        </w:rPr>
      </w:pPr>
      <w:r w:rsidRPr="006D119B">
        <w:rPr>
          <w:sz w:val="20"/>
          <w:szCs w:val="20"/>
        </w:rPr>
        <w:t>The LPR mechanism enhances consumer protection by providing a cost-efficient and streamlined method to register second-level domain names that are exact matches to (not variations on) Trademark Clearinghouse-included, Sunrise-eligible trademarks across multiple new gTLD registries. It does not broaden brand owner rights because no brand owner will be able to participate in the LPR system unless it could have registered the domain name in question during Sunrise anyway. This system, facilitated by the Trademark Clearinghouse, will provide a purely defensive alternative to standard Sunrise domain name registrations for trademark owners that do not affirmatively want</w:t>
      </w:r>
      <w:r>
        <w:rPr>
          <w:sz w:val="20"/>
          <w:szCs w:val="20"/>
        </w:rPr>
        <w:t xml:space="preserve"> active/resolving domain names.</w:t>
      </w:r>
      <w:r>
        <w:rPr>
          <w:rStyle w:val="FootnoteReference"/>
          <w:sz w:val="20"/>
          <w:szCs w:val="20"/>
        </w:rPr>
        <w:footnoteReference w:id="2"/>
      </w:r>
    </w:p>
    <w:p w14:paraId="1073AD90" w14:textId="77777777" w:rsidR="006D119B" w:rsidRDefault="006D119B" w:rsidP="006D119B">
      <w:pPr>
        <w:rPr>
          <w:sz w:val="20"/>
          <w:szCs w:val="20"/>
        </w:rPr>
      </w:pPr>
    </w:p>
    <w:p w14:paraId="5CAF87BA" w14:textId="77777777" w:rsidR="006D119B" w:rsidRDefault="006D119B" w:rsidP="006D119B">
      <w:pPr>
        <w:rPr>
          <w:sz w:val="20"/>
          <w:szCs w:val="20"/>
        </w:rPr>
      </w:pPr>
      <w:r w:rsidRPr="006D119B">
        <w:rPr>
          <w:sz w:val="20"/>
          <w:szCs w:val="20"/>
        </w:rPr>
        <w:t xml:space="preserve">By way of example, suppose there is a trademark “BRANDX.” In order to be eligible for LPR, BRANDX would have to also be eligible for inclusion in the Trademark Clearinghouse and for a Sunrise registration. Only the exact second-level domain string of BRANDX (e.g., </w:t>
      </w:r>
      <w:proofErr w:type="spellStart"/>
      <w:r w:rsidRPr="006D119B">
        <w:rPr>
          <w:sz w:val="20"/>
          <w:szCs w:val="20"/>
        </w:rPr>
        <w:t>BRANDX.new</w:t>
      </w:r>
      <w:proofErr w:type="spellEnd"/>
      <w:r w:rsidRPr="006D119B">
        <w:rPr>
          <w:sz w:val="20"/>
          <w:szCs w:val="20"/>
        </w:rPr>
        <w:t>) could be protected by LPR. Even likely typos such as BRANDZ could not be registered via LPR. Furthermore, if another entity also owned rights in the trademark BRANDX (such as in another country or for a different good or service), LPR could not be used to prevent a third-party trademark owner with rights in BRANDX from securing a Sunrise registration as long as that third-party trademark owner was eligible to participate in Sunrise with its BRANDX registration. Finally, LPR cannot be used retroactively to take away a domain name regardless of whether that domain name was registered during Sunrise or open registration.</w:t>
      </w:r>
    </w:p>
    <w:p w14:paraId="45287C7D" w14:textId="73EDDD72" w:rsidR="006D119B" w:rsidRPr="006D119B" w:rsidRDefault="006D119B" w:rsidP="006D119B">
      <w:pPr>
        <w:rPr>
          <w:sz w:val="20"/>
          <w:szCs w:val="20"/>
        </w:rPr>
      </w:pPr>
    </w:p>
    <w:p w14:paraId="192625F2" w14:textId="77777777" w:rsidR="006D119B" w:rsidRPr="00CD57F9" w:rsidRDefault="006D119B" w:rsidP="006D119B">
      <w:pPr>
        <w:rPr>
          <w:sz w:val="20"/>
          <w:szCs w:val="20"/>
          <w:u w:val="single"/>
        </w:rPr>
      </w:pPr>
      <w:bookmarkStart w:id="0" w:name="_GoBack"/>
      <w:r w:rsidRPr="00CD57F9">
        <w:rPr>
          <w:b/>
          <w:bCs/>
          <w:sz w:val="20"/>
          <w:szCs w:val="20"/>
          <w:u w:val="single"/>
        </w:rPr>
        <w:t>Eligibility</w:t>
      </w:r>
    </w:p>
    <w:bookmarkEnd w:id="0"/>
    <w:p w14:paraId="678A73A1" w14:textId="77777777" w:rsidR="006D119B" w:rsidRPr="006D119B" w:rsidRDefault="006D119B" w:rsidP="006D119B">
      <w:pPr>
        <w:numPr>
          <w:ilvl w:val="0"/>
          <w:numId w:val="9"/>
        </w:numPr>
        <w:rPr>
          <w:sz w:val="20"/>
          <w:szCs w:val="20"/>
        </w:rPr>
      </w:pPr>
      <w:r w:rsidRPr="006D119B">
        <w:rPr>
          <w:sz w:val="20"/>
          <w:szCs w:val="20"/>
        </w:rPr>
        <w:t xml:space="preserve">Entry in TMCH. </w:t>
      </w:r>
    </w:p>
    <w:p w14:paraId="4582C29A" w14:textId="77777777" w:rsidR="006D119B" w:rsidRPr="006D119B" w:rsidRDefault="006D119B" w:rsidP="006D119B">
      <w:pPr>
        <w:numPr>
          <w:ilvl w:val="0"/>
          <w:numId w:val="9"/>
        </w:numPr>
        <w:rPr>
          <w:sz w:val="20"/>
          <w:szCs w:val="20"/>
        </w:rPr>
      </w:pPr>
      <w:r w:rsidRPr="006D119B">
        <w:rPr>
          <w:sz w:val="20"/>
          <w:szCs w:val="20"/>
        </w:rPr>
        <w:t xml:space="preserve">Meets Sunrise requirements (e.g. use and any registry-specific requirements) </w:t>
      </w:r>
    </w:p>
    <w:p w14:paraId="6F7DB7C4" w14:textId="77777777" w:rsidR="006D119B" w:rsidRDefault="006D119B" w:rsidP="006D119B">
      <w:pPr>
        <w:rPr>
          <w:b/>
          <w:bCs/>
          <w:sz w:val="20"/>
          <w:szCs w:val="20"/>
        </w:rPr>
      </w:pPr>
    </w:p>
    <w:p w14:paraId="447062FD" w14:textId="77777777" w:rsidR="006D119B" w:rsidRPr="00CD57F9" w:rsidRDefault="006D119B" w:rsidP="006D119B">
      <w:pPr>
        <w:rPr>
          <w:sz w:val="20"/>
          <w:szCs w:val="20"/>
          <w:u w:val="single"/>
        </w:rPr>
      </w:pPr>
      <w:r w:rsidRPr="00CD57F9">
        <w:rPr>
          <w:b/>
          <w:bCs/>
          <w:sz w:val="20"/>
          <w:szCs w:val="20"/>
          <w:u w:val="single"/>
        </w:rPr>
        <w:t>Scope</w:t>
      </w:r>
    </w:p>
    <w:p w14:paraId="269263F8" w14:textId="77777777" w:rsidR="006D119B" w:rsidRPr="006D119B" w:rsidRDefault="006D119B" w:rsidP="006D119B">
      <w:pPr>
        <w:rPr>
          <w:sz w:val="20"/>
          <w:szCs w:val="20"/>
        </w:rPr>
      </w:pPr>
      <w:r w:rsidRPr="006D119B">
        <w:rPr>
          <w:sz w:val="20"/>
          <w:szCs w:val="20"/>
        </w:rPr>
        <w:t>1. Second-level domain name must exactly match eligible trademark.</w:t>
      </w:r>
    </w:p>
    <w:p w14:paraId="075553D5" w14:textId="77777777" w:rsidR="006D119B" w:rsidRDefault="006D119B" w:rsidP="006D119B">
      <w:pPr>
        <w:rPr>
          <w:b/>
          <w:bCs/>
          <w:sz w:val="20"/>
          <w:szCs w:val="20"/>
        </w:rPr>
      </w:pPr>
    </w:p>
    <w:p w14:paraId="5911F5B0" w14:textId="77777777" w:rsidR="006D119B" w:rsidRPr="00CD57F9" w:rsidRDefault="006D119B" w:rsidP="006D119B">
      <w:pPr>
        <w:rPr>
          <w:sz w:val="20"/>
          <w:szCs w:val="20"/>
          <w:u w:val="single"/>
        </w:rPr>
      </w:pPr>
      <w:r w:rsidRPr="00CD57F9">
        <w:rPr>
          <w:b/>
          <w:bCs/>
          <w:sz w:val="20"/>
          <w:szCs w:val="20"/>
          <w:u w:val="single"/>
        </w:rPr>
        <w:t>Mechanics</w:t>
      </w:r>
    </w:p>
    <w:p w14:paraId="2AA72179" w14:textId="35AE68C1" w:rsidR="006D119B" w:rsidRPr="006D119B" w:rsidRDefault="006D119B" w:rsidP="006D119B">
      <w:pPr>
        <w:numPr>
          <w:ilvl w:val="0"/>
          <w:numId w:val="10"/>
        </w:numPr>
        <w:rPr>
          <w:sz w:val="20"/>
          <w:szCs w:val="20"/>
        </w:rPr>
      </w:pPr>
      <w:r w:rsidRPr="006D119B">
        <w:rPr>
          <w:sz w:val="20"/>
          <w:szCs w:val="20"/>
        </w:rPr>
        <w:t>Trademark owner pays a fee to the Trademark Clearinghouse for a number of LPRs.</w:t>
      </w:r>
      <w:r>
        <w:rPr>
          <w:rStyle w:val="FootnoteReference"/>
          <w:sz w:val="20"/>
          <w:szCs w:val="20"/>
        </w:rPr>
        <w:footnoteReference w:id="3"/>
      </w:r>
      <w:r w:rsidRPr="006D119B">
        <w:rPr>
          <w:sz w:val="20"/>
          <w:szCs w:val="20"/>
        </w:rPr>
        <w:t xml:space="preserve"> </w:t>
      </w:r>
    </w:p>
    <w:p w14:paraId="4745112E" w14:textId="77777777" w:rsidR="006D119B" w:rsidRPr="006D119B" w:rsidRDefault="006D119B" w:rsidP="006D119B">
      <w:pPr>
        <w:numPr>
          <w:ilvl w:val="0"/>
          <w:numId w:val="10"/>
        </w:numPr>
        <w:rPr>
          <w:sz w:val="20"/>
          <w:szCs w:val="20"/>
        </w:rPr>
      </w:pPr>
      <w:r w:rsidRPr="006D119B">
        <w:rPr>
          <w:sz w:val="20"/>
          <w:szCs w:val="20"/>
        </w:rPr>
        <w:t xml:space="preserve">When delegation of a new gTLD is announced (and any time after), the trademark owner can designate through the Trademark Clearinghouse that it will use in that new gTLD one of the LPRs for which it has already pre-paid. Sunrise eligibility criteria for domain names in that  new gTLD apply. </w:t>
      </w:r>
    </w:p>
    <w:p w14:paraId="3FB0EC13" w14:textId="77777777" w:rsidR="006D119B" w:rsidRPr="006D119B" w:rsidRDefault="006D119B" w:rsidP="006D119B">
      <w:pPr>
        <w:numPr>
          <w:ilvl w:val="0"/>
          <w:numId w:val="10"/>
        </w:numPr>
        <w:rPr>
          <w:sz w:val="20"/>
          <w:szCs w:val="20"/>
        </w:rPr>
      </w:pPr>
      <w:r w:rsidRPr="006D119B">
        <w:rPr>
          <w:sz w:val="20"/>
          <w:szCs w:val="20"/>
        </w:rPr>
        <w:t xml:space="preserve">After the initial Sunrise period ends, if the exactly matching string is still available, the  registry assigns that LPR to the trademark owner that applied for it. To clarify, as between an applicant for a regular (e.g., as set out in the current Guidebook) Sunrise registration and an applicant for an LPR, the applicant for the regular Sunrise registration will become the registrant. 4 </w:t>
      </w:r>
    </w:p>
    <w:p w14:paraId="015D70FE" w14:textId="570C3052" w:rsidR="006D119B" w:rsidRPr="006D119B" w:rsidRDefault="006D119B" w:rsidP="006D119B">
      <w:pPr>
        <w:numPr>
          <w:ilvl w:val="0"/>
          <w:numId w:val="10"/>
        </w:numPr>
        <w:rPr>
          <w:sz w:val="20"/>
          <w:szCs w:val="20"/>
        </w:rPr>
      </w:pPr>
      <w:r w:rsidRPr="006D119B">
        <w:rPr>
          <w:sz w:val="20"/>
          <w:szCs w:val="20"/>
        </w:rPr>
        <w:t>The Trademark Clearinghouse</w:t>
      </w:r>
      <w:r>
        <w:rPr>
          <w:rStyle w:val="FootnoteReference"/>
          <w:sz w:val="20"/>
          <w:szCs w:val="20"/>
        </w:rPr>
        <w:footnoteReference w:id="4"/>
      </w:r>
      <w:r w:rsidRPr="006D119B">
        <w:rPr>
          <w:sz w:val="20"/>
          <w:szCs w:val="20"/>
        </w:rPr>
        <w:t xml:space="preserve"> pays the registry operator, which pays the registrar. The LPR functions as a standard domain name registered to the registry’s name servers. </w:t>
      </w:r>
    </w:p>
    <w:p w14:paraId="78C47CD0" w14:textId="77777777" w:rsidR="006D119B" w:rsidRPr="006D119B" w:rsidRDefault="006D119B" w:rsidP="006D119B">
      <w:pPr>
        <w:numPr>
          <w:ilvl w:val="0"/>
          <w:numId w:val="10"/>
        </w:numPr>
        <w:rPr>
          <w:sz w:val="20"/>
          <w:szCs w:val="20"/>
        </w:rPr>
      </w:pPr>
      <w:r w:rsidRPr="006D119B">
        <w:rPr>
          <w:sz w:val="20"/>
          <w:szCs w:val="20"/>
        </w:rPr>
        <w:t xml:space="preserve">The trademark owner cannot use the LPR domain name for any purpose (e.g., has no control over resolution.) </w:t>
      </w:r>
    </w:p>
    <w:p w14:paraId="24F52EC7" w14:textId="77777777" w:rsidR="006D119B" w:rsidRPr="006D119B" w:rsidRDefault="006D119B" w:rsidP="006D119B">
      <w:pPr>
        <w:numPr>
          <w:ilvl w:val="0"/>
          <w:numId w:val="10"/>
        </w:numPr>
        <w:rPr>
          <w:sz w:val="20"/>
          <w:szCs w:val="20"/>
        </w:rPr>
      </w:pPr>
      <w:r w:rsidRPr="006D119B">
        <w:rPr>
          <w:sz w:val="20"/>
          <w:szCs w:val="20"/>
        </w:rPr>
        <w:t xml:space="preserve">The LPR lasts for 5 years and must be renewed, subject to the same eligibility criteria that would have applied at initial registration. </w:t>
      </w:r>
    </w:p>
    <w:p w14:paraId="44FFCC8B" w14:textId="77777777" w:rsidR="006D119B" w:rsidRDefault="006D119B" w:rsidP="006D119B">
      <w:pPr>
        <w:rPr>
          <w:b/>
          <w:bCs/>
          <w:sz w:val="20"/>
          <w:szCs w:val="20"/>
        </w:rPr>
      </w:pPr>
    </w:p>
    <w:p w14:paraId="6D104701" w14:textId="77777777" w:rsidR="006D119B" w:rsidRPr="006D119B" w:rsidRDefault="006D119B" w:rsidP="006D119B">
      <w:pPr>
        <w:rPr>
          <w:b/>
          <w:bCs/>
          <w:sz w:val="20"/>
          <w:szCs w:val="20"/>
          <w:u w:val="single"/>
        </w:rPr>
      </w:pPr>
      <w:r w:rsidRPr="006D119B">
        <w:rPr>
          <w:b/>
          <w:bCs/>
          <w:sz w:val="20"/>
          <w:szCs w:val="20"/>
          <w:u w:val="single"/>
        </w:rPr>
        <w:t>Registrant Safeguards</w:t>
      </w:r>
    </w:p>
    <w:p w14:paraId="101C59A1" w14:textId="77777777" w:rsidR="006D119B" w:rsidRPr="006D119B" w:rsidRDefault="006D119B" w:rsidP="006D119B">
      <w:pPr>
        <w:rPr>
          <w:sz w:val="20"/>
          <w:szCs w:val="20"/>
        </w:rPr>
      </w:pPr>
    </w:p>
    <w:p w14:paraId="2480F2D7" w14:textId="77777777" w:rsidR="006D119B" w:rsidRDefault="006D119B" w:rsidP="006D119B">
      <w:pPr>
        <w:numPr>
          <w:ilvl w:val="0"/>
          <w:numId w:val="11"/>
        </w:numPr>
        <w:rPr>
          <w:sz w:val="20"/>
          <w:szCs w:val="20"/>
        </w:rPr>
      </w:pPr>
      <w:r w:rsidRPr="006D119B">
        <w:rPr>
          <w:sz w:val="20"/>
          <w:szCs w:val="20"/>
        </w:rPr>
        <w:t xml:space="preserve">Reverse Domain Name Hijacking exclusion: Second-level strings found to have been the subject of a finding of reverse domain name hijacking cannot be the subject of an LPR by the trademark owner against which the reverse domain name hijacking finding was made. Entities found to have engaged in repeated reverse domain name hijacking </w:t>
      </w:r>
      <w:proofErr w:type="gramStart"/>
      <w:r w:rsidRPr="006D119B">
        <w:rPr>
          <w:sz w:val="20"/>
          <w:szCs w:val="20"/>
        </w:rPr>
        <w:t>will</w:t>
      </w:r>
      <w:proofErr w:type="gramEnd"/>
      <w:r w:rsidRPr="006D119B">
        <w:rPr>
          <w:sz w:val="20"/>
          <w:szCs w:val="20"/>
        </w:rPr>
        <w:t xml:space="preserve"> be excluded from using LPR for any second-level string. </w:t>
      </w:r>
    </w:p>
    <w:p w14:paraId="7D1E57D4" w14:textId="77777777" w:rsidR="006D119B" w:rsidRPr="006D119B" w:rsidRDefault="006D119B" w:rsidP="006D119B">
      <w:pPr>
        <w:ind w:left="360"/>
        <w:rPr>
          <w:sz w:val="20"/>
          <w:szCs w:val="20"/>
        </w:rPr>
      </w:pPr>
    </w:p>
    <w:p w14:paraId="04365AD6" w14:textId="0BBE4BD5" w:rsidR="006D119B" w:rsidRPr="006D119B" w:rsidRDefault="006D119B" w:rsidP="006D119B">
      <w:pPr>
        <w:numPr>
          <w:ilvl w:val="0"/>
          <w:numId w:val="11"/>
        </w:numPr>
        <w:rPr>
          <w:sz w:val="20"/>
          <w:szCs w:val="20"/>
        </w:rPr>
      </w:pPr>
      <w:r w:rsidRPr="006D119B">
        <w:rPr>
          <w:sz w:val="20"/>
          <w:szCs w:val="20"/>
        </w:rPr>
        <w:t>LPRs are prospective, not retroactive. If a trademark owner designates a new gTLD for an LPR after the initial Sunrise and a third party has already registered the string in question, the third party keeps the domain name and the trademark owner can use the UDRP, URS, or court action if it has a basis to do so. In other words, if the string is already registered to a third party, a trademark owner’s subsequent designation of that string as an LPR does not take the domain name away from the current registrant.</w:t>
      </w:r>
    </w:p>
    <w:p w14:paraId="2456D188" w14:textId="77777777" w:rsidR="006D119B" w:rsidRDefault="006D119B" w:rsidP="006D119B">
      <w:pPr>
        <w:rPr>
          <w:b/>
          <w:bCs/>
          <w:sz w:val="20"/>
          <w:szCs w:val="20"/>
        </w:rPr>
      </w:pPr>
    </w:p>
    <w:p w14:paraId="34477618" w14:textId="77777777" w:rsidR="006D119B" w:rsidRPr="00CD57F9" w:rsidRDefault="006D119B" w:rsidP="006D119B">
      <w:pPr>
        <w:rPr>
          <w:b/>
          <w:bCs/>
          <w:sz w:val="20"/>
          <w:szCs w:val="20"/>
          <w:u w:val="single"/>
        </w:rPr>
      </w:pPr>
      <w:r w:rsidRPr="00CD57F9">
        <w:rPr>
          <w:b/>
          <w:bCs/>
          <w:sz w:val="20"/>
          <w:szCs w:val="20"/>
          <w:u w:val="single"/>
        </w:rPr>
        <w:t>Fees</w:t>
      </w:r>
    </w:p>
    <w:p w14:paraId="2390E8D4" w14:textId="77777777" w:rsidR="00CD57F9" w:rsidRPr="006D119B" w:rsidRDefault="00CD57F9" w:rsidP="006D119B">
      <w:pPr>
        <w:rPr>
          <w:sz w:val="20"/>
          <w:szCs w:val="20"/>
        </w:rPr>
      </w:pPr>
    </w:p>
    <w:p w14:paraId="348A52F5" w14:textId="77777777" w:rsidR="006D119B" w:rsidRPr="006D119B" w:rsidRDefault="006D119B" w:rsidP="006D119B">
      <w:pPr>
        <w:rPr>
          <w:sz w:val="20"/>
          <w:szCs w:val="20"/>
        </w:rPr>
      </w:pPr>
      <w:r w:rsidRPr="006D119B">
        <w:rPr>
          <w:sz w:val="20"/>
          <w:szCs w:val="20"/>
        </w:rPr>
        <w:t>1. A tiered pricing model would be preferred, whereby trademark holders pay for LPRs a reasonable fee that represents cost recovery plus a reasonable rate of return for the relevant registries in which the trademark owner sought the LPR(s).</w:t>
      </w:r>
    </w:p>
    <w:p w14:paraId="6B16AC67" w14:textId="77777777" w:rsidR="00356569" w:rsidRPr="00274329" w:rsidRDefault="00356569" w:rsidP="006D119B">
      <w:pPr>
        <w:rPr>
          <w:sz w:val="20"/>
          <w:szCs w:val="20"/>
        </w:rPr>
      </w:pPr>
    </w:p>
    <w:sectPr w:rsidR="00356569" w:rsidRPr="00274329" w:rsidSect="00E527F1">
      <w:pgSz w:w="12240" w:h="15840"/>
      <w:pgMar w:top="1152" w:right="1296" w:bottom="1152" w:left="1296"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C4F8F" w14:textId="77777777" w:rsidR="006D119B" w:rsidRDefault="006D119B" w:rsidP="006D119B">
      <w:r>
        <w:separator/>
      </w:r>
    </w:p>
  </w:endnote>
  <w:endnote w:type="continuationSeparator" w:id="0">
    <w:p w14:paraId="2753AB3E" w14:textId="77777777" w:rsidR="006D119B" w:rsidRDefault="006D119B" w:rsidP="006D1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479251" w14:textId="77777777" w:rsidR="006D119B" w:rsidRDefault="006D119B" w:rsidP="006D119B">
      <w:r>
        <w:separator/>
      </w:r>
    </w:p>
  </w:footnote>
  <w:footnote w:type="continuationSeparator" w:id="0">
    <w:p w14:paraId="6F2E471D" w14:textId="77777777" w:rsidR="006D119B" w:rsidRDefault="006D119B" w:rsidP="006D119B">
      <w:r>
        <w:continuationSeparator/>
      </w:r>
    </w:p>
  </w:footnote>
  <w:footnote w:id="1">
    <w:p w14:paraId="4FC37BB2" w14:textId="6F5FE453" w:rsidR="006D119B" w:rsidRPr="006D119B" w:rsidRDefault="006D119B">
      <w:pPr>
        <w:pStyle w:val="FootnoteText"/>
        <w:rPr>
          <w:sz w:val="20"/>
          <w:szCs w:val="20"/>
        </w:rPr>
      </w:pPr>
      <w:r w:rsidRPr="006D119B">
        <w:rPr>
          <w:rStyle w:val="FootnoteReference"/>
          <w:sz w:val="20"/>
          <w:szCs w:val="20"/>
        </w:rPr>
        <w:footnoteRef/>
      </w:r>
      <w:r w:rsidRPr="006D119B">
        <w:rPr>
          <w:sz w:val="20"/>
          <w:szCs w:val="20"/>
        </w:rPr>
        <w:t xml:space="preserve"> The LPR is analogous to the Sunrise B offered by ICM Registry for .xxx. </w:t>
      </w:r>
    </w:p>
  </w:footnote>
  <w:footnote w:id="2">
    <w:p w14:paraId="2F10DC72" w14:textId="77777777" w:rsidR="006D119B" w:rsidRPr="006D119B" w:rsidRDefault="006D119B" w:rsidP="006D119B">
      <w:pPr>
        <w:pStyle w:val="FootnoteText"/>
        <w:rPr>
          <w:sz w:val="20"/>
          <w:szCs w:val="20"/>
        </w:rPr>
      </w:pPr>
      <w:r w:rsidRPr="006D119B">
        <w:rPr>
          <w:rStyle w:val="FootnoteReference"/>
          <w:sz w:val="20"/>
          <w:szCs w:val="20"/>
        </w:rPr>
        <w:footnoteRef/>
      </w:r>
      <w:r w:rsidRPr="006D119B">
        <w:rPr>
          <w:sz w:val="20"/>
          <w:szCs w:val="20"/>
        </w:rPr>
        <w:t xml:space="preserve"> While this suggestion envisions LPR occurring after or as a “second” Sunrise, another alternative could be to </w:t>
      </w:r>
    </w:p>
    <w:p w14:paraId="546AD316" w14:textId="4CC72B1A" w:rsidR="006D119B" w:rsidRPr="006D119B" w:rsidRDefault="006D119B">
      <w:pPr>
        <w:pStyle w:val="FootnoteText"/>
        <w:rPr>
          <w:sz w:val="20"/>
          <w:szCs w:val="20"/>
        </w:rPr>
      </w:pPr>
      <w:proofErr w:type="gramStart"/>
      <w:r w:rsidRPr="006D119B">
        <w:rPr>
          <w:sz w:val="20"/>
          <w:szCs w:val="20"/>
        </w:rPr>
        <w:t>allow</w:t>
      </w:r>
      <w:proofErr w:type="gramEnd"/>
      <w:r w:rsidRPr="006D119B">
        <w:rPr>
          <w:sz w:val="20"/>
          <w:szCs w:val="20"/>
        </w:rPr>
        <w:t xml:space="preserve"> eligible trademark owners to designate whether they are applying for a regular Sunrise registration or an LPR.</w:t>
      </w:r>
    </w:p>
  </w:footnote>
  <w:footnote w:id="3">
    <w:p w14:paraId="41945C9D" w14:textId="77777777" w:rsidR="006D119B" w:rsidRPr="006D119B" w:rsidRDefault="006D119B" w:rsidP="006D119B">
      <w:pPr>
        <w:rPr>
          <w:sz w:val="20"/>
          <w:szCs w:val="20"/>
        </w:rPr>
      </w:pPr>
      <w:r w:rsidRPr="006D119B">
        <w:rPr>
          <w:rStyle w:val="FootnoteReference"/>
          <w:sz w:val="20"/>
          <w:szCs w:val="20"/>
        </w:rPr>
        <w:footnoteRef/>
      </w:r>
      <w:r w:rsidRPr="006D119B">
        <w:rPr>
          <w:sz w:val="20"/>
          <w:szCs w:val="20"/>
        </w:rPr>
        <w:t xml:space="preserve"> We suggest this fee distribution mechanism for discussion. The more important aspect is that the Trademark Clearinghouse be utilized for LPR designation to gain the necessary efficiencies.</w:t>
      </w:r>
    </w:p>
    <w:p w14:paraId="17DBA7C4" w14:textId="3B297C5A" w:rsidR="006D119B" w:rsidRDefault="006D119B">
      <w:pPr>
        <w:pStyle w:val="FootnoteText"/>
      </w:pPr>
    </w:p>
  </w:footnote>
  <w:footnote w:id="4">
    <w:p w14:paraId="09A6A265" w14:textId="6D309DB0" w:rsidR="006D119B" w:rsidRPr="006D119B" w:rsidRDefault="006D119B">
      <w:pPr>
        <w:pStyle w:val="FootnoteText"/>
        <w:rPr>
          <w:sz w:val="20"/>
          <w:szCs w:val="20"/>
        </w:rPr>
      </w:pPr>
      <w:r w:rsidRPr="006D119B">
        <w:rPr>
          <w:rStyle w:val="FootnoteReference"/>
          <w:sz w:val="20"/>
          <w:szCs w:val="20"/>
        </w:rPr>
        <w:footnoteRef/>
      </w:r>
      <w:r w:rsidRPr="006D119B">
        <w:rPr>
          <w:sz w:val="20"/>
          <w:szCs w:val="20"/>
        </w:rPr>
        <w:t xml:space="preserve"> See note 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8782711"/>
    <w:multiLevelType w:val="hybridMultilevel"/>
    <w:tmpl w:val="F06CEF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995AC5"/>
    <w:multiLevelType w:val="hybridMultilevel"/>
    <w:tmpl w:val="FEE2C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D7F1E6A"/>
    <w:multiLevelType w:val="hybridMultilevel"/>
    <w:tmpl w:val="B5D8C0F2"/>
    <w:lvl w:ilvl="0" w:tplc="7F5A038E">
      <w:start w:val="7"/>
      <w:numFmt w:val="bullet"/>
      <w:lvlText w:val="-"/>
      <w:lvlJc w:val="left"/>
      <w:pPr>
        <w:ind w:left="720" w:hanging="360"/>
      </w:pPr>
      <w:rPr>
        <w:rFonts w:ascii="Times New Roman" w:eastAsiaTheme="minorHAnsi" w:hAnsi="Times New Roman" w:cs="Tahom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3C43EC"/>
    <w:multiLevelType w:val="hybridMultilevel"/>
    <w:tmpl w:val="2DBE5734"/>
    <w:lvl w:ilvl="0" w:tplc="0166E4C0">
      <w:start w:val="7"/>
      <w:numFmt w:val="bullet"/>
      <w:lvlText w:val="-"/>
      <w:lvlJc w:val="left"/>
      <w:pPr>
        <w:ind w:left="720" w:hanging="360"/>
      </w:pPr>
      <w:rPr>
        <w:rFonts w:ascii="Times New Roman" w:eastAsiaTheme="minorHAnsi" w:hAnsi="Times New Roman" w:cs="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E4FE8"/>
    <w:multiLevelType w:val="hybridMultilevel"/>
    <w:tmpl w:val="A148C55A"/>
    <w:lvl w:ilvl="0" w:tplc="FE2C9550">
      <w:start w:val="1"/>
      <w:numFmt w:val="decimal"/>
      <w:lvlText w:val="%1."/>
      <w:lvlJc w:val="left"/>
      <w:pPr>
        <w:ind w:left="720" w:hanging="360"/>
      </w:pPr>
      <w:rPr>
        <w:rFonts w:cs="Wingdings" w:hint="default"/>
        <w:color w:val="1818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167DC1"/>
    <w:multiLevelType w:val="hybridMultilevel"/>
    <w:tmpl w:val="3F6EC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F751A1"/>
    <w:multiLevelType w:val="hybridMultilevel"/>
    <w:tmpl w:val="B672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10"/>
  </w:num>
  <w:num w:numId="6">
    <w:abstractNumId w:val="4"/>
  </w:num>
  <w:num w:numId="7">
    <w:abstractNumId w:val="5"/>
  </w:num>
  <w:num w:numId="8">
    <w:abstractNumId w:val="0"/>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AE"/>
    <w:rsid w:val="00120AAE"/>
    <w:rsid w:val="00274329"/>
    <w:rsid w:val="00356569"/>
    <w:rsid w:val="00527DD4"/>
    <w:rsid w:val="005B1483"/>
    <w:rsid w:val="006D119B"/>
    <w:rsid w:val="007E6E01"/>
    <w:rsid w:val="00853FA2"/>
    <w:rsid w:val="00971515"/>
    <w:rsid w:val="00CD57F9"/>
    <w:rsid w:val="00E455EE"/>
    <w:rsid w:val="00E527F1"/>
    <w:rsid w:val="00F5245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F5A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AAE"/>
    <w:pPr>
      <w:ind w:left="720"/>
      <w:contextualSpacing/>
    </w:pPr>
  </w:style>
  <w:style w:type="table" w:styleId="TableGrid">
    <w:name w:val="Table Grid"/>
    <w:basedOn w:val="TableNormal"/>
    <w:uiPriority w:val="59"/>
    <w:rsid w:val="00853F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56569"/>
    <w:rPr>
      <w:color w:val="0000FF" w:themeColor="hyperlink"/>
      <w:u w:val="single"/>
    </w:rPr>
  </w:style>
  <w:style w:type="character" w:styleId="FollowedHyperlink">
    <w:name w:val="FollowedHyperlink"/>
    <w:basedOn w:val="DefaultParagraphFont"/>
    <w:uiPriority w:val="99"/>
    <w:semiHidden/>
    <w:unhideWhenUsed/>
    <w:rsid w:val="007E6E01"/>
    <w:rPr>
      <w:color w:val="800080" w:themeColor="followedHyperlink"/>
      <w:u w:val="single"/>
    </w:rPr>
  </w:style>
  <w:style w:type="paragraph" w:styleId="BalloonText">
    <w:name w:val="Balloon Text"/>
    <w:basedOn w:val="Normal"/>
    <w:link w:val="BalloonTextChar"/>
    <w:uiPriority w:val="99"/>
    <w:semiHidden/>
    <w:unhideWhenUsed/>
    <w:rsid w:val="006D11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19B"/>
    <w:rPr>
      <w:rFonts w:ascii="Lucida Grande" w:hAnsi="Lucida Grande" w:cs="Lucida Grande"/>
      <w:sz w:val="18"/>
      <w:szCs w:val="18"/>
    </w:rPr>
  </w:style>
  <w:style w:type="paragraph" w:styleId="FootnoteText">
    <w:name w:val="footnote text"/>
    <w:basedOn w:val="Normal"/>
    <w:link w:val="FootnoteTextChar"/>
    <w:uiPriority w:val="99"/>
    <w:unhideWhenUsed/>
    <w:rsid w:val="006D119B"/>
  </w:style>
  <w:style w:type="character" w:customStyle="1" w:styleId="FootnoteTextChar">
    <w:name w:val="Footnote Text Char"/>
    <w:basedOn w:val="DefaultParagraphFont"/>
    <w:link w:val="FootnoteText"/>
    <w:uiPriority w:val="99"/>
    <w:rsid w:val="006D119B"/>
  </w:style>
  <w:style w:type="character" w:styleId="FootnoteReference">
    <w:name w:val="footnote reference"/>
    <w:basedOn w:val="DefaultParagraphFont"/>
    <w:uiPriority w:val="99"/>
    <w:unhideWhenUsed/>
    <w:rsid w:val="006D119B"/>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AAE"/>
    <w:pPr>
      <w:ind w:left="720"/>
      <w:contextualSpacing/>
    </w:pPr>
  </w:style>
  <w:style w:type="table" w:styleId="TableGrid">
    <w:name w:val="Table Grid"/>
    <w:basedOn w:val="TableNormal"/>
    <w:uiPriority w:val="59"/>
    <w:rsid w:val="00853F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56569"/>
    <w:rPr>
      <w:color w:val="0000FF" w:themeColor="hyperlink"/>
      <w:u w:val="single"/>
    </w:rPr>
  </w:style>
  <w:style w:type="character" w:styleId="FollowedHyperlink">
    <w:name w:val="FollowedHyperlink"/>
    <w:basedOn w:val="DefaultParagraphFont"/>
    <w:uiPriority w:val="99"/>
    <w:semiHidden/>
    <w:unhideWhenUsed/>
    <w:rsid w:val="007E6E01"/>
    <w:rPr>
      <w:color w:val="800080" w:themeColor="followedHyperlink"/>
      <w:u w:val="single"/>
    </w:rPr>
  </w:style>
  <w:style w:type="paragraph" w:styleId="BalloonText">
    <w:name w:val="Balloon Text"/>
    <w:basedOn w:val="Normal"/>
    <w:link w:val="BalloonTextChar"/>
    <w:uiPriority w:val="99"/>
    <w:semiHidden/>
    <w:unhideWhenUsed/>
    <w:rsid w:val="006D11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D119B"/>
    <w:rPr>
      <w:rFonts w:ascii="Lucida Grande" w:hAnsi="Lucida Grande" w:cs="Lucida Grande"/>
      <w:sz w:val="18"/>
      <w:szCs w:val="18"/>
    </w:rPr>
  </w:style>
  <w:style w:type="paragraph" w:styleId="FootnoteText">
    <w:name w:val="footnote text"/>
    <w:basedOn w:val="Normal"/>
    <w:link w:val="FootnoteTextChar"/>
    <w:uiPriority w:val="99"/>
    <w:unhideWhenUsed/>
    <w:rsid w:val="006D119B"/>
  </w:style>
  <w:style w:type="character" w:customStyle="1" w:styleId="FootnoteTextChar">
    <w:name w:val="Footnote Text Char"/>
    <w:basedOn w:val="DefaultParagraphFont"/>
    <w:link w:val="FootnoteText"/>
    <w:uiPriority w:val="99"/>
    <w:rsid w:val="006D119B"/>
  </w:style>
  <w:style w:type="character" w:styleId="FootnoteReference">
    <w:name w:val="footnote reference"/>
    <w:basedOn w:val="DefaultParagraphFont"/>
    <w:uiPriority w:val="99"/>
    <w:unhideWhenUsed/>
    <w:rsid w:val="006D11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log.icann.org/2012/11/trademark-clearinghouse-update/" TargetMode="External"/><Relationship Id="rId9" Type="http://schemas.openxmlformats.org/officeDocument/2006/relationships/hyperlink" Target="http://blog.icann.org/2012/11/a-follow-up-to-our-trademark-clearinghouse-meeting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1610</Words>
  <Characters>9179</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10768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6</cp:revision>
  <cp:lastPrinted>2012-10-16T04:24:00Z</cp:lastPrinted>
  <dcterms:created xsi:type="dcterms:W3CDTF">2012-11-28T11:59:00Z</dcterms:created>
  <dcterms:modified xsi:type="dcterms:W3CDTF">2012-11-29T13:56:00Z</dcterms:modified>
  <cp:category/>
</cp:coreProperties>
</file>