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F5" w:rsidRPr="009622C3" w:rsidRDefault="00EF1A37" w:rsidP="009622C3">
      <w:pPr>
        <w:spacing w:after="0" w:line="240" w:lineRule="auto"/>
        <w:jc w:val="center"/>
        <w:rPr>
          <w:rFonts w:ascii="Arial" w:hAnsi="Arial" w:cs="Arial"/>
          <w:b/>
          <w:sz w:val="24"/>
          <w:szCs w:val="24"/>
        </w:rPr>
      </w:pPr>
      <w:r w:rsidRPr="009622C3">
        <w:rPr>
          <w:rFonts w:ascii="Arial" w:hAnsi="Arial" w:cs="Arial"/>
          <w:b/>
          <w:sz w:val="24"/>
          <w:szCs w:val="24"/>
        </w:rPr>
        <w:t>BC Comment on Comments on its Proposed New Charter</w:t>
      </w:r>
    </w:p>
    <w:p w:rsidR="00EF1A37" w:rsidRPr="009622C3" w:rsidRDefault="00EF1A37" w:rsidP="00B46992">
      <w:pPr>
        <w:spacing w:after="0" w:line="240" w:lineRule="auto"/>
        <w:rPr>
          <w:rFonts w:ascii="Arial" w:hAnsi="Arial" w:cs="Arial"/>
          <w:sz w:val="24"/>
          <w:szCs w:val="24"/>
        </w:rPr>
      </w:pPr>
    </w:p>
    <w:p w:rsidR="00EF1A37" w:rsidRPr="009622C3" w:rsidRDefault="00EF1A37" w:rsidP="009622C3">
      <w:pPr>
        <w:pStyle w:val="ListParagraph"/>
        <w:numPr>
          <w:ilvl w:val="0"/>
          <w:numId w:val="3"/>
        </w:numPr>
        <w:spacing w:after="0" w:line="240" w:lineRule="auto"/>
        <w:rPr>
          <w:rFonts w:ascii="Arial" w:hAnsi="Arial" w:cs="Arial"/>
          <w:b/>
          <w:sz w:val="24"/>
          <w:szCs w:val="24"/>
        </w:rPr>
      </w:pPr>
      <w:r w:rsidRPr="009622C3">
        <w:rPr>
          <w:rFonts w:ascii="Arial" w:hAnsi="Arial" w:cs="Arial"/>
          <w:b/>
          <w:sz w:val="24"/>
          <w:szCs w:val="24"/>
        </w:rPr>
        <w:t>Introduction</w:t>
      </w:r>
    </w:p>
    <w:p w:rsidR="009622C3" w:rsidRPr="009622C3" w:rsidRDefault="009622C3" w:rsidP="009622C3">
      <w:pPr>
        <w:pStyle w:val="ListParagraph"/>
        <w:spacing w:after="0" w:line="240" w:lineRule="auto"/>
        <w:ind w:left="390"/>
        <w:rPr>
          <w:rFonts w:ascii="Arial" w:hAnsi="Arial" w:cs="Arial"/>
          <w:sz w:val="24"/>
          <w:szCs w:val="24"/>
        </w:rPr>
      </w:pPr>
    </w:p>
    <w:p w:rsidR="009622C3" w:rsidRDefault="00EF1A37" w:rsidP="00B46992">
      <w:pPr>
        <w:shd w:val="clear" w:color="auto" w:fill="FFFFFF"/>
        <w:spacing w:after="0" w:line="240" w:lineRule="auto"/>
        <w:rPr>
          <w:rFonts w:ascii="Arial" w:hAnsi="Arial" w:cs="Arial"/>
          <w:sz w:val="24"/>
          <w:szCs w:val="24"/>
        </w:rPr>
      </w:pPr>
      <w:r w:rsidRPr="009622C3">
        <w:rPr>
          <w:rFonts w:ascii="Arial" w:hAnsi="Arial" w:cs="Arial"/>
          <w:sz w:val="24"/>
          <w:szCs w:val="24"/>
        </w:rPr>
        <w:t xml:space="preserve">The Business Constituency (BC) welcomes all comments on its proposed new Charter and thanks all commentators for their interest. </w:t>
      </w:r>
    </w:p>
    <w:p w:rsidR="009622C3" w:rsidRDefault="009622C3" w:rsidP="00B46992">
      <w:pPr>
        <w:shd w:val="clear" w:color="auto" w:fill="FFFFFF"/>
        <w:spacing w:after="0" w:line="240" w:lineRule="auto"/>
        <w:rPr>
          <w:rFonts w:ascii="Arial" w:hAnsi="Arial" w:cs="Arial"/>
          <w:sz w:val="24"/>
          <w:szCs w:val="24"/>
        </w:rPr>
      </w:pPr>
    </w:p>
    <w:p w:rsidR="00EF1A37" w:rsidRPr="009622C3" w:rsidRDefault="00EF1A37" w:rsidP="00B46992">
      <w:pPr>
        <w:shd w:val="clear" w:color="auto" w:fill="FFFFFF"/>
        <w:spacing w:after="0" w:line="240" w:lineRule="auto"/>
        <w:rPr>
          <w:rFonts w:ascii="Arial" w:eastAsia="Times New Roman" w:hAnsi="Arial" w:cs="Arial"/>
          <w:color w:val="000000"/>
          <w:sz w:val="24"/>
          <w:szCs w:val="24"/>
        </w:rPr>
      </w:pPr>
      <w:r w:rsidRPr="009622C3">
        <w:rPr>
          <w:rFonts w:ascii="Arial" w:hAnsi="Arial" w:cs="Arial"/>
          <w:sz w:val="24"/>
          <w:szCs w:val="24"/>
        </w:rPr>
        <w:t>Basically, members</w:t>
      </w:r>
      <w:r w:rsidRPr="009622C3">
        <w:rPr>
          <w:rFonts w:ascii="Arial" w:eastAsia="Times New Roman" w:hAnsi="Arial" w:cs="Arial"/>
          <w:color w:val="000000"/>
          <w:sz w:val="24"/>
          <w:szCs w:val="24"/>
        </w:rPr>
        <w:t xml:space="preserve"> of the Business Constituency use the Internet to conduct business related to electronic commerce in its broad sense. The Business Constituency is a constituency representing customers of other companies, who provide domain name, Internet Protocol address and related services who are typically members of the Contracted Parties House.</w:t>
      </w:r>
    </w:p>
    <w:p w:rsidR="00EF1A37" w:rsidRPr="009622C3" w:rsidRDefault="00EF1A37" w:rsidP="00B46992">
      <w:pPr>
        <w:shd w:val="clear" w:color="auto" w:fill="FFFFFF"/>
        <w:spacing w:after="0" w:line="240" w:lineRule="auto"/>
        <w:rPr>
          <w:rFonts w:ascii="Arial" w:eastAsia="Times New Roman" w:hAnsi="Arial" w:cs="Arial"/>
          <w:color w:val="000000"/>
          <w:sz w:val="24"/>
          <w:szCs w:val="24"/>
        </w:rPr>
      </w:pPr>
    </w:p>
    <w:p w:rsidR="00EF1A37" w:rsidRPr="009622C3" w:rsidRDefault="00EF1A37" w:rsidP="00B46992">
      <w:pPr>
        <w:shd w:val="clear" w:color="auto" w:fill="FFFFFF"/>
        <w:spacing w:after="0" w:line="240" w:lineRule="auto"/>
        <w:rPr>
          <w:rFonts w:ascii="Arial" w:eastAsia="Times New Roman" w:hAnsi="Arial" w:cs="Arial"/>
          <w:color w:val="000000"/>
          <w:sz w:val="24"/>
          <w:szCs w:val="24"/>
        </w:rPr>
      </w:pPr>
      <w:r w:rsidRPr="009622C3">
        <w:rPr>
          <w:rFonts w:ascii="Arial" w:eastAsia="Times New Roman" w:hAnsi="Arial" w:cs="Arial"/>
          <w:color w:val="000000"/>
          <w:sz w:val="24"/>
          <w:szCs w:val="24"/>
        </w:rPr>
        <w:t>The mission of the Business Constituency is to ensure that ICANN policy positions are consistent with the development of an Internet that:</w:t>
      </w:r>
    </w:p>
    <w:p w:rsidR="00EF1A37" w:rsidRPr="009622C3" w:rsidRDefault="00EF1A37" w:rsidP="00B46992">
      <w:pPr>
        <w:shd w:val="clear" w:color="auto" w:fill="FFFFFF"/>
        <w:spacing w:after="0" w:line="240" w:lineRule="auto"/>
        <w:rPr>
          <w:rFonts w:ascii="Arial" w:eastAsia="Times New Roman" w:hAnsi="Arial" w:cs="Arial"/>
          <w:color w:val="000000"/>
          <w:sz w:val="24"/>
          <w:szCs w:val="24"/>
        </w:rPr>
      </w:pPr>
    </w:p>
    <w:p w:rsidR="00EF1A37" w:rsidRPr="009622C3" w:rsidRDefault="00EF1A37" w:rsidP="00B46992">
      <w:pPr>
        <w:numPr>
          <w:ilvl w:val="0"/>
          <w:numId w:val="1"/>
        </w:numPr>
        <w:shd w:val="clear" w:color="auto" w:fill="FFFFFF"/>
        <w:spacing w:after="0" w:line="240" w:lineRule="auto"/>
        <w:rPr>
          <w:rFonts w:ascii="Arial" w:eastAsia="Times New Roman" w:hAnsi="Arial" w:cs="Arial"/>
          <w:color w:val="000000"/>
          <w:sz w:val="24"/>
          <w:szCs w:val="24"/>
        </w:rPr>
      </w:pPr>
      <w:r w:rsidRPr="009622C3">
        <w:rPr>
          <w:rFonts w:ascii="Arial" w:eastAsia="Times New Roman" w:hAnsi="Arial" w:cs="Arial"/>
          <w:color w:val="000000"/>
          <w:sz w:val="24"/>
          <w:szCs w:val="24"/>
        </w:rPr>
        <w:t>promotes end-user confidence because it is a safe place to conduct business</w:t>
      </w:r>
    </w:p>
    <w:p w:rsidR="00EF1A37" w:rsidRPr="009622C3" w:rsidRDefault="00EF1A37" w:rsidP="00B46992">
      <w:pPr>
        <w:numPr>
          <w:ilvl w:val="0"/>
          <w:numId w:val="1"/>
        </w:numPr>
        <w:shd w:val="clear" w:color="auto" w:fill="FFFFFF"/>
        <w:spacing w:after="0" w:line="240" w:lineRule="auto"/>
        <w:rPr>
          <w:rFonts w:ascii="Arial" w:eastAsia="Times New Roman" w:hAnsi="Arial" w:cs="Arial"/>
          <w:color w:val="000000"/>
          <w:sz w:val="24"/>
          <w:szCs w:val="24"/>
        </w:rPr>
      </w:pPr>
      <w:r w:rsidRPr="009622C3">
        <w:rPr>
          <w:rFonts w:ascii="Arial" w:eastAsia="Times New Roman" w:hAnsi="Arial" w:cs="Arial"/>
          <w:color w:val="000000"/>
          <w:sz w:val="24"/>
          <w:szCs w:val="24"/>
        </w:rPr>
        <w:t>is competitive in the supply of registry and registrar and related services</w:t>
      </w:r>
    </w:p>
    <w:p w:rsidR="00EF1A37" w:rsidRPr="009622C3" w:rsidRDefault="00EF1A37" w:rsidP="00B46992">
      <w:pPr>
        <w:numPr>
          <w:ilvl w:val="0"/>
          <w:numId w:val="1"/>
        </w:numPr>
        <w:shd w:val="clear" w:color="auto" w:fill="FFFFFF"/>
        <w:spacing w:after="0" w:line="240" w:lineRule="auto"/>
        <w:rPr>
          <w:rFonts w:ascii="Arial" w:hAnsi="Arial" w:cs="Arial"/>
          <w:sz w:val="24"/>
          <w:szCs w:val="24"/>
        </w:rPr>
      </w:pPr>
      <w:proofErr w:type="gramStart"/>
      <w:r w:rsidRPr="009622C3">
        <w:rPr>
          <w:rFonts w:ascii="Arial" w:eastAsia="Times New Roman" w:hAnsi="Arial" w:cs="Arial"/>
          <w:color w:val="000000"/>
          <w:sz w:val="24"/>
          <w:szCs w:val="24"/>
        </w:rPr>
        <w:t>is</w:t>
      </w:r>
      <w:proofErr w:type="gramEnd"/>
      <w:r w:rsidRPr="009622C3">
        <w:rPr>
          <w:rFonts w:ascii="Arial" w:eastAsia="Times New Roman" w:hAnsi="Arial" w:cs="Arial"/>
          <w:color w:val="000000"/>
          <w:sz w:val="24"/>
          <w:szCs w:val="24"/>
        </w:rPr>
        <w:t xml:space="preserve"> technically stable, secure and reliable.</w:t>
      </w:r>
    </w:p>
    <w:p w:rsidR="00C66FD0" w:rsidRPr="009622C3" w:rsidRDefault="00C66FD0" w:rsidP="00B46992">
      <w:pPr>
        <w:shd w:val="clear" w:color="auto" w:fill="FFFFFF"/>
        <w:spacing w:after="0" w:line="240" w:lineRule="auto"/>
        <w:rPr>
          <w:rFonts w:ascii="Arial" w:eastAsia="Times New Roman" w:hAnsi="Arial" w:cs="Arial"/>
          <w:color w:val="000000"/>
          <w:sz w:val="24"/>
          <w:szCs w:val="24"/>
        </w:rPr>
      </w:pPr>
    </w:p>
    <w:p w:rsidR="00C66FD0" w:rsidRPr="009622C3" w:rsidRDefault="00C66FD0" w:rsidP="00B46992">
      <w:pPr>
        <w:shd w:val="clear" w:color="auto" w:fill="FFFFFF"/>
        <w:spacing w:after="0" w:line="240" w:lineRule="auto"/>
        <w:rPr>
          <w:rFonts w:ascii="Arial" w:eastAsia="Times New Roman" w:hAnsi="Arial" w:cs="Arial"/>
          <w:color w:val="000000"/>
          <w:sz w:val="24"/>
          <w:szCs w:val="24"/>
        </w:rPr>
      </w:pPr>
      <w:r w:rsidRPr="009622C3">
        <w:rPr>
          <w:rFonts w:ascii="Arial" w:eastAsia="Times New Roman" w:hAnsi="Arial" w:cs="Arial"/>
          <w:color w:val="000000"/>
          <w:sz w:val="24"/>
          <w:szCs w:val="24"/>
        </w:rPr>
        <w:t>We hereby provide the following comment in form of clarification on particular subject matters raised</w:t>
      </w:r>
      <w:r w:rsidR="005C2382" w:rsidRPr="009622C3">
        <w:rPr>
          <w:rFonts w:ascii="Arial" w:eastAsia="Times New Roman" w:hAnsi="Arial" w:cs="Arial"/>
          <w:color w:val="000000"/>
          <w:sz w:val="24"/>
          <w:szCs w:val="24"/>
        </w:rPr>
        <w:t xml:space="preserve"> on th</w:t>
      </w:r>
      <w:r w:rsidRPr="009622C3">
        <w:rPr>
          <w:rFonts w:ascii="Arial" w:eastAsia="Times New Roman" w:hAnsi="Arial" w:cs="Arial"/>
          <w:color w:val="000000"/>
          <w:sz w:val="24"/>
          <w:szCs w:val="24"/>
        </w:rPr>
        <w:t xml:space="preserve">e proposed New </w:t>
      </w:r>
      <w:r w:rsidR="005C2382" w:rsidRPr="009622C3">
        <w:rPr>
          <w:rFonts w:ascii="Arial" w:eastAsia="Times New Roman" w:hAnsi="Arial" w:cs="Arial"/>
          <w:color w:val="000000"/>
          <w:sz w:val="24"/>
          <w:szCs w:val="24"/>
        </w:rPr>
        <w:t xml:space="preserve">BC </w:t>
      </w:r>
      <w:r w:rsidRPr="009622C3">
        <w:rPr>
          <w:rFonts w:ascii="Arial" w:eastAsia="Times New Roman" w:hAnsi="Arial" w:cs="Arial"/>
          <w:color w:val="000000"/>
          <w:sz w:val="24"/>
          <w:szCs w:val="24"/>
        </w:rPr>
        <w:t>Charter.</w:t>
      </w:r>
    </w:p>
    <w:p w:rsidR="00EF1A37" w:rsidRPr="009622C3" w:rsidRDefault="00EF1A37" w:rsidP="00B46992">
      <w:pPr>
        <w:spacing w:after="0" w:line="240" w:lineRule="auto"/>
        <w:rPr>
          <w:rFonts w:ascii="Arial" w:hAnsi="Arial" w:cs="Arial"/>
          <w:sz w:val="24"/>
          <w:szCs w:val="24"/>
        </w:rPr>
      </w:pPr>
    </w:p>
    <w:p w:rsidR="00C66FD0" w:rsidRPr="009622C3" w:rsidRDefault="00C66FD0" w:rsidP="00B46992">
      <w:pPr>
        <w:spacing w:after="0" w:line="240" w:lineRule="auto"/>
        <w:rPr>
          <w:rFonts w:ascii="Arial" w:hAnsi="Arial" w:cs="Arial"/>
          <w:b/>
          <w:sz w:val="24"/>
          <w:szCs w:val="24"/>
        </w:rPr>
      </w:pPr>
      <w:r w:rsidRPr="009622C3">
        <w:rPr>
          <w:rFonts w:ascii="Arial" w:hAnsi="Arial" w:cs="Arial"/>
          <w:b/>
          <w:sz w:val="24"/>
          <w:szCs w:val="24"/>
        </w:rPr>
        <w:t>2.0 Diversity</w:t>
      </w:r>
    </w:p>
    <w:p w:rsidR="009622C3" w:rsidRDefault="009622C3" w:rsidP="00B46992">
      <w:pPr>
        <w:spacing w:after="0" w:line="240" w:lineRule="auto"/>
        <w:rPr>
          <w:rFonts w:ascii="Arial" w:hAnsi="Arial" w:cs="Arial"/>
          <w:sz w:val="24"/>
          <w:szCs w:val="24"/>
        </w:rPr>
      </w:pPr>
    </w:p>
    <w:p w:rsidR="00827047" w:rsidRPr="009622C3" w:rsidRDefault="00C66FD0" w:rsidP="00B46992">
      <w:pPr>
        <w:spacing w:after="0" w:line="240" w:lineRule="auto"/>
        <w:rPr>
          <w:rFonts w:ascii="Arial" w:hAnsi="Arial" w:cs="Arial"/>
          <w:sz w:val="24"/>
          <w:szCs w:val="24"/>
        </w:rPr>
      </w:pPr>
      <w:r w:rsidRPr="009622C3">
        <w:rPr>
          <w:rFonts w:ascii="Arial" w:hAnsi="Arial" w:cs="Arial"/>
          <w:sz w:val="24"/>
          <w:szCs w:val="24"/>
        </w:rPr>
        <w:t xml:space="preserve">Right from the founding of ICANN, the issue of diversity as been of interest and importance to the BC largely because it is in the broadening of membership that volunteer burn-out and fatigues can be addressed. Without overstressing the obvious the current skewed diversity composition is not unconnected </w:t>
      </w:r>
      <w:r w:rsidR="00827047" w:rsidRPr="009622C3">
        <w:rPr>
          <w:rFonts w:ascii="Arial" w:hAnsi="Arial" w:cs="Arial"/>
          <w:sz w:val="24"/>
          <w:szCs w:val="24"/>
        </w:rPr>
        <w:t xml:space="preserve">to </w:t>
      </w:r>
      <w:r w:rsidRPr="009622C3">
        <w:rPr>
          <w:rFonts w:ascii="Arial" w:hAnsi="Arial" w:cs="Arial"/>
          <w:sz w:val="24"/>
          <w:szCs w:val="24"/>
        </w:rPr>
        <w:t xml:space="preserve">the history of the Internet itself </w:t>
      </w:r>
      <w:r w:rsidR="00827047" w:rsidRPr="009622C3">
        <w:rPr>
          <w:rFonts w:ascii="Arial" w:hAnsi="Arial" w:cs="Arial"/>
          <w:sz w:val="24"/>
          <w:szCs w:val="24"/>
        </w:rPr>
        <w:t>and its</w:t>
      </w:r>
      <w:r w:rsidRPr="009622C3">
        <w:rPr>
          <w:rFonts w:ascii="Arial" w:hAnsi="Arial" w:cs="Arial"/>
          <w:sz w:val="24"/>
          <w:szCs w:val="24"/>
        </w:rPr>
        <w:t xml:space="preserve"> </w:t>
      </w:r>
      <w:r w:rsidR="00827047" w:rsidRPr="009622C3">
        <w:rPr>
          <w:rFonts w:ascii="Arial" w:hAnsi="Arial" w:cs="Arial"/>
          <w:sz w:val="24"/>
          <w:szCs w:val="24"/>
        </w:rPr>
        <w:t xml:space="preserve">commercialization. </w:t>
      </w:r>
    </w:p>
    <w:p w:rsidR="009622C3" w:rsidRDefault="009622C3" w:rsidP="00B46992">
      <w:pPr>
        <w:spacing w:after="0" w:line="240" w:lineRule="auto"/>
        <w:rPr>
          <w:rFonts w:ascii="Arial" w:hAnsi="Arial" w:cs="Arial"/>
          <w:sz w:val="24"/>
          <w:szCs w:val="24"/>
        </w:rPr>
      </w:pPr>
    </w:p>
    <w:p w:rsidR="00C66FD0" w:rsidRDefault="00827047" w:rsidP="00B46992">
      <w:pPr>
        <w:spacing w:after="0" w:line="240" w:lineRule="auto"/>
        <w:rPr>
          <w:rFonts w:ascii="Arial" w:hAnsi="Arial" w:cs="Arial"/>
          <w:sz w:val="24"/>
          <w:szCs w:val="24"/>
        </w:rPr>
      </w:pPr>
      <w:r w:rsidRPr="009622C3">
        <w:rPr>
          <w:rFonts w:ascii="Arial" w:hAnsi="Arial" w:cs="Arial"/>
          <w:sz w:val="24"/>
          <w:szCs w:val="24"/>
        </w:rPr>
        <w:t>The leadership of the BC has taken the following measures effective 2013 to promote diversity within its membership.</w:t>
      </w:r>
    </w:p>
    <w:p w:rsidR="00D84DF0" w:rsidRPr="009622C3" w:rsidRDefault="00D84DF0" w:rsidP="00B46992">
      <w:pPr>
        <w:spacing w:after="0" w:line="240" w:lineRule="auto"/>
        <w:rPr>
          <w:rFonts w:ascii="Arial" w:hAnsi="Arial" w:cs="Arial"/>
          <w:sz w:val="24"/>
          <w:szCs w:val="24"/>
        </w:rPr>
      </w:pPr>
    </w:p>
    <w:p w:rsidR="00827047" w:rsidRPr="009622C3" w:rsidRDefault="00827047" w:rsidP="00B46992">
      <w:pPr>
        <w:pStyle w:val="ListParagraph"/>
        <w:numPr>
          <w:ilvl w:val="0"/>
          <w:numId w:val="2"/>
        </w:numPr>
        <w:spacing w:after="0" w:line="240" w:lineRule="auto"/>
        <w:rPr>
          <w:rFonts w:ascii="Arial" w:hAnsi="Arial" w:cs="Arial"/>
          <w:sz w:val="24"/>
          <w:szCs w:val="24"/>
        </w:rPr>
      </w:pPr>
      <w:r w:rsidRPr="009622C3">
        <w:rPr>
          <w:rFonts w:ascii="Arial" w:hAnsi="Arial" w:cs="Arial"/>
          <w:sz w:val="24"/>
          <w:szCs w:val="24"/>
        </w:rPr>
        <w:t>Establishment of an Outreach Committee with mandate to organize outreaches across ICANN regions especially in emerging economies</w:t>
      </w:r>
    </w:p>
    <w:p w:rsidR="00827047" w:rsidRPr="009622C3" w:rsidRDefault="00827047" w:rsidP="00B46992">
      <w:pPr>
        <w:pStyle w:val="ListParagraph"/>
        <w:numPr>
          <w:ilvl w:val="0"/>
          <w:numId w:val="2"/>
        </w:numPr>
        <w:spacing w:after="0" w:line="240" w:lineRule="auto"/>
        <w:rPr>
          <w:rFonts w:ascii="Arial" w:hAnsi="Arial" w:cs="Arial"/>
          <w:sz w:val="24"/>
          <w:szCs w:val="24"/>
        </w:rPr>
      </w:pPr>
      <w:proofErr w:type="spellStart"/>
      <w:r w:rsidRPr="009622C3">
        <w:rPr>
          <w:rFonts w:ascii="Arial" w:hAnsi="Arial" w:cs="Arial"/>
          <w:sz w:val="24"/>
          <w:szCs w:val="24"/>
        </w:rPr>
        <w:t>Organise</w:t>
      </w:r>
      <w:proofErr w:type="spellEnd"/>
      <w:r w:rsidRPr="009622C3">
        <w:rPr>
          <w:rFonts w:ascii="Arial" w:hAnsi="Arial" w:cs="Arial"/>
          <w:sz w:val="24"/>
          <w:szCs w:val="24"/>
        </w:rPr>
        <w:t xml:space="preserve"> outreach and awareness </w:t>
      </w:r>
      <w:proofErr w:type="spellStart"/>
      <w:r w:rsidRPr="009622C3">
        <w:rPr>
          <w:rFonts w:ascii="Arial" w:hAnsi="Arial" w:cs="Arial"/>
          <w:sz w:val="24"/>
          <w:szCs w:val="24"/>
        </w:rPr>
        <w:t>programmes</w:t>
      </w:r>
      <w:proofErr w:type="spellEnd"/>
      <w:r w:rsidRPr="009622C3">
        <w:rPr>
          <w:rFonts w:ascii="Arial" w:hAnsi="Arial" w:cs="Arial"/>
          <w:sz w:val="24"/>
          <w:szCs w:val="24"/>
        </w:rPr>
        <w:t xml:space="preserve"> in collaboration with industry associations and organizations</w:t>
      </w:r>
    </w:p>
    <w:p w:rsidR="003F00CE" w:rsidRPr="009622C3" w:rsidRDefault="00827047" w:rsidP="00B46992">
      <w:pPr>
        <w:pStyle w:val="ListParagraph"/>
        <w:numPr>
          <w:ilvl w:val="0"/>
          <w:numId w:val="2"/>
        </w:numPr>
        <w:spacing w:after="0" w:line="240" w:lineRule="auto"/>
        <w:rPr>
          <w:rFonts w:ascii="Arial" w:hAnsi="Arial" w:cs="Arial"/>
          <w:sz w:val="24"/>
          <w:szCs w:val="24"/>
        </w:rPr>
      </w:pPr>
      <w:r w:rsidRPr="009622C3">
        <w:rPr>
          <w:rFonts w:ascii="Arial" w:hAnsi="Arial" w:cs="Arial"/>
          <w:sz w:val="24"/>
          <w:szCs w:val="24"/>
        </w:rPr>
        <w:t xml:space="preserve">Produce Newsletters at every ICANN meeting s and translate same to language where the host is non-English speaking </w:t>
      </w:r>
      <w:r w:rsidR="003F00CE" w:rsidRPr="009622C3">
        <w:rPr>
          <w:rFonts w:ascii="Arial" w:hAnsi="Arial" w:cs="Arial"/>
          <w:sz w:val="24"/>
          <w:szCs w:val="24"/>
        </w:rPr>
        <w:t>(</w:t>
      </w:r>
      <w:r w:rsidRPr="009622C3">
        <w:rPr>
          <w:rFonts w:ascii="Arial" w:hAnsi="Arial" w:cs="Arial"/>
          <w:sz w:val="24"/>
          <w:szCs w:val="24"/>
        </w:rPr>
        <w:t>e.g. in China (Chinese)</w:t>
      </w:r>
      <w:r w:rsidR="003F00CE" w:rsidRPr="009622C3">
        <w:rPr>
          <w:rFonts w:ascii="Arial" w:hAnsi="Arial" w:cs="Arial"/>
          <w:sz w:val="24"/>
          <w:szCs w:val="24"/>
        </w:rPr>
        <w:t xml:space="preserve"> and </w:t>
      </w:r>
      <w:r w:rsidRPr="009622C3">
        <w:rPr>
          <w:rFonts w:ascii="Arial" w:hAnsi="Arial" w:cs="Arial"/>
          <w:sz w:val="24"/>
          <w:szCs w:val="24"/>
        </w:rPr>
        <w:t>Morocco (French)</w:t>
      </w:r>
      <w:r w:rsidR="003F00CE" w:rsidRPr="009622C3">
        <w:rPr>
          <w:rFonts w:ascii="Arial" w:hAnsi="Arial" w:cs="Arial"/>
          <w:sz w:val="24"/>
          <w:szCs w:val="24"/>
        </w:rPr>
        <w:t>)</w:t>
      </w:r>
    </w:p>
    <w:p w:rsidR="00827047" w:rsidRPr="009622C3" w:rsidRDefault="003F00CE" w:rsidP="00B46992">
      <w:pPr>
        <w:pStyle w:val="ListParagraph"/>
        <w:numPr>
          <w:ilvl w:val="0"/>
          <w:numId w:val="2"/>
        </w:numPr>
        <w:spacing w:after="0" w:line="240" w:lineRule="auto"/>
        <w:rPr>
          <w:rFonts w:ascii="Arial" w:hAnsi="Arial" w:cs="Arial"/>
          <w:sz w:val="24"/>
          <w:szCs w:val="24"/>
        </w:rPr>
      </w:pPr>
      <w:r w:rsidRPr="009622C3">
        <w:rPr>
          <w:rFonts w:ascii="Arial" w:hAnsi="Arial" w:cs="Arial"/>
          <w:sz w:val="24"/>
          <w:szCs w:val="24"/>
        </w:rPr>
        <w:t>Provide own matching funding to ICANN fund geared toward outreach and awareness creation in line with its strategic objective 1 and 4</w:t>
      </w:r>
      <w:r w:rsidR="00827047" w:rsidRPr="009622C3">
        <w:rPr>
          <w:rFonts w:ascii="Arial" w:hAnsi="Arial" w:cs="Arial"/>
          <w:sz w:val="24"/>
          <w:szCs w:val="24"/>
        </w:rPr>
        <w:t>.</w:t>
      </w:r>
    </w:p>
    <w:p w:rsidR="003F00CE" w:rsidRPr="009622C3" w:rsidRDefault="003F00CE" w:rsidP="00B46992">
      <w:pPr>
        <w:pStyle w:val="ListParagraph"/>
        <w:numPr>
          <w:ilvl w:val="0"/>
          <w:numId w:val="2"/>
        </w:numPr>
        <w:spacing w:after="0" w:line="240" w:lineRule="auto"/>
        <w:rPr>
          <w:rFonts w:ascii="Arial" w:hAnsi="Arial" w:cs="Arial"/>
          <w:sz w:val="24"/>
          <w:szCs w:val="24"/>
        </w:rPr>
      </w:pPr>
      <w:r w:rsidRPr="009622C3">
        <w:rPr>
          <w:rFonts w:ascii="Arial" w:hAnsi="Arial" w:cs="Arial"/>
          <w:sz w:val="24"/>
          <w:szCs w:val="24"/>
        </w:rPr>
        <w:t>Reduce membership fees by 70% for potential members from developing countries</w:t>
      </w:r>
    </w:p>
    <w:p w:rsidR="003F00CE" w:rsidRPr="009622C3" w:rsidRDefault="003F00CE" w:rsidP="00B46992">
      <w:pPr>
        <w:pStyle w:val="ListParagraph"/>
        <w:numPr>
          <w:ilvl w:val="0"/>
          <w:numId w:val="2"/>
        </w:numPr>
        <w:spacing w:after="0" w:line="240" w:lineRule="auto"/>
        <w:rPr>
          <w:rFonts w:ascii="Arial" w:hAnsi="Arial" w:cs="Arial"/>
          <w:sz w:val="24"/>
          <w:szCs w:val="24"/>
        </w:rPr>
      </w:pPr>
      <w:r w:rsidRPr="009622C3">
        <w:rPr>
          <w:rFonts w:ascii="Arial" w:hAnsi="Arial" w:cs="Arial"/>
          <w:sz w:val="24"/>
          <w:szCs w:val="24"/>
        </w:rPr>
        <w:t xml:space="preserve">Enable potential leaders from developing countries to participate in ICANN meeting through special leadership </w:t>
      </w:r>
      <w:proofErr w:type="spellStart"/>
      <w:r w:rsidRPr="009622C3">
        <w:rPr>
          <w:rFonts w:ascii="Arial" w:hAnsi="Arial" w:cs="Arial"/>
          <w:sz w:val="24"/>
          <w:szCs w:val="24"/>
        </w:rPr>
        <w:t>programme</w:t>
      </w:r>
      <w:proofErr w:type="spellEnd"/>
    </w:p>
    <w:p w:rsidR="003F00CE" w:rsidRPr="009622C3" w:rsidRDefault="003F00CE" w:rsidP="00B46992">
      <w:pPr>
        <w:pStyle w:val="ListParagraph"/>
        <w:numPr>
          <w:ilvl w:val="0"/>
          <w:numId w:val="2"/>
        </w:numPr>
        <w:spacing w:after="0" w:line="240" w:lineRule="auto"/>
        <w:rPr>
          <w:rFonts w:ascii="Arial" w:hAnsi="Arial" w:cs="Arial"/>
          <w:sz w:val="24"/>
          <w:szCs w:val="24"/>
        </w:rPr>
      </w:pPr>
      <w:r w:rsidRPr="009622C3">
        <w:rPr>
          <w:rFonts w:ascii="Arial" w:hAnsi="Arial" w:cs="Arial"/>
          <w:sz w:val="24"/>
          <w:szCs w:val="24"/>
        </w:rPr>
        <w:t xml:space="preserve">Articulating yearly Outreach Strategy </w:t>
      </w:r>
      <w:r w:rsidR="00F66A58">
        <w:rPr>
          <w:rFonts w:ascii="Arial" w:hAnsi="Arial" w:cs="Arial"/>
          <w:sz w:val="24"/>
          <w:szCs w:val="24"/>
        </w:rPr>
        <w:t xml:space="preserve">(Please see Annex I) </w:t>
      </w:r>
      <w:r w:rsidRPr="009622C3">
        <w:rPr>
          <w:rFonts w:ascii="Arial" w:hAnsi="Arial" w:cs="Arial"/>
          <w:sz w:val="24"/>
          <w:szCs w:val="24"/>
        </w:rPr>
        <w:t>which is driven by the Outreach Committee with guidance by the Vice-Chair, Finance and Operations</w:t>
      </w:r>
    </w:p>
    <w:p w:rsidR="00F66A58" w:rsidRDefault="00F66A58" w:rsidP="00B46992">
      <w:pPr>
        <w:spacing w:after="0" w:line="240" w:lineRule="auto"/>
        <w:rPr>
          <w:rFonts w:ascii="Arial" w:hAnsi="Arial" w:cs="Arial"/>
          <w:sz w:val="24"/>
          <w:szCs w:val="24"/>
        </w:rPr>
      </w:pPr>
    </w:p>
    <w:p w:rsidR="003F00CE" w:rsidRPr="009622C3" w:rsidRDefault="003F00CE" w:rsidP="00B46992">
      <w:pPr>
        <w:spacing w:after="0" w:line="240" w:lineRule="auto"/>
        <w:rPr>
          <w:rFonts w:ascii="Arial" w:hAnsi="Arial" w:cs="Arial"/>
          <w:sz w:val="24"/>
          <w:szCs w:val="24"/>
        </w:rPr>
      </w:pPr>
      <w:r w:rsidRPr="009622C3">
        <w:rPr>
          <w:rFonts w:ascii="Arial" w:hAnsi="Arial" w:cs="Arial"/>
          <w:sz w:val="24"/>
          <w:szCs w:val="24"/>
        </w:rPr>
        <w:lastRenderedPageBreak/>
        <w:t>Over the past 3 years, the BC has continued to broaden its diversity in membership across regions</w:t>
      </w:r>
      <w:r w:rsidR="00B96D1E" w:rsidRPr="009622C3">
        <w:rPr>
          <w:rFonts w:ascii="Arial" w:hAnsi="Arial" w:cs="Arial"/>
          <w:sz w:val="24"/>
          <w:szCs w:val="24"/>
        </w:rPr>
        <w:t xml:space="preserve">. The diversity cuts across size of companies, gender and language. Take for example, </w:t>
      </w:r>
      <w:proofErr w:type="spellStart"/>
      <w:r w:rsidR="00B96D1E" w:rsidRPr="009622C3">
        <w:rPr>
          <w:rFonts w:ascii="Arial" w:hAnsi="Arial" w:cs="Arial"/>
          <w:sz w:val="24"/>
          <w:szCs w:val="24"/>
        </w:rPr>
        <w:t>AfICTA</w:t>
      </w:r>
      <w:proofErr w:type="spellEnd"/>
      <w:r w:rsidR="00B96D1E" w:rsidRPr="009622C3">
        <w:rPr>
          <w:rFonts w:ascii="Arial" w:hAnsi="Arial" w:cs="Arial"/>
          <w:sz w:val="24"/>
          <w:szCs w:val="24"/>
        </w:rPr>
        <w:t xml:space="preserve"> based in Nigeria but with membership from 27 African countries has speakers in English, French and Arabic. Another example is </w:t>
      </w:r>
      <w:r w:rsidR="005C2382" w:rsidRPr="009622C3">
        <w:rPr>
          <w:rFonts w:ascii="Arial" w:hAnsi="Arial" w:cs="Arial"/>
          <w:sz w:val="24"/>
          <w:szCs w:val="24"/>
        </w:rPr>
        <w:t>AIM based in Brussels</w:t>
      </w:r>
      <w:r w:rsidR="00B96D1E" w:rsidRPr="009622C3">
        <w:rPr>
          <w:rFonts w:ascii="Arial" w:hAnsi="Arial" w:cs="Arial"/>
          <w:sz w:val="24"/>
          <w:szCs w:val="24"/>
        </w:rPr>
        <w:t xml:space="preserve"> with member companies across Europe speaking English, Fr</w:t>
      </w:r>
      <w:r w:rsidR="00D84DF0">
        <w:rPr>
          <w:rFonts w:ascii="Arial" w:hAnsi="Arial" w:cs="Arial"/>
          <w:sz w:val="24"/>
          <w:szCs w:val="24"/>
        </w:rPr>
        <w:t xml:space="preserve">ench, German, Italian, Spanish </w:t>
      </w:r>
      <w:r w:rsidR="00D84DF0" w:rsidRPr="009622C3">
        <w:rPr>
          <w:rFonts w:ascii="Arial" w:hAnsi="Arial" w:cs="Arial"/>
          <w:sz w:val="24"/>
          <w:szCs w:val="24"/>
        </w:rPr>
        <w:t>and Portuguese</w:t>
      </w:r>
      <w:r w:rsidR="005C2382" w:rsidRPr="009622C3">
        <w:rPr>
          <w:rFonts w:ascii="Arial" w:hAnsi="Arial" w:cs="Arial"/>
          <w:sz w:val="24"/>
          <w:szCs w:val="24"/>
        </w:rPr>
        <w:t>. So also is International Chambers of Commerce Business Action in support of the Information Society (ICC BASIS) with membership and language diversity across ICANN regions</w:t>
      </w:r>
      <w:r w:rsidR="00B96D1E" w:rsidRPr="009622C3">
        <w:rPr>
          <w:rFonts w:ascii="Arial" w:hAnsi="Arial" w:cs="Arial"/>
          <w:sz w:val="24"/>
          <w:szCs w:val="24"/>
        </w:rPr>
        <w:t xml:space="preserve"> etc.</w:t>
      </w:r>
    </w:p>
    <w:p w:rsidR="009622C3" w:rsidRPr="009622C3" w:rsidRDefault="009622C3" w:rsidP="00B46992">
      <w:pPr>
        <w:spacing w:after="0" w:line="240" w:lineRule="auto"/>
        <w:rPr>
          <w:rFonts w:ascii="Arial" w:hAnsi="Arial" w:cs="Arial"/>
          <w:sz w:val="24"/>
          <w:szCs w:val="24"/>
        </w:rPr>
      </w:pPr>
    </w:p>
    <w:p w:rsidR="00B96D1E" w:rsidRPr="009622C3" w:rsidRDefault="005C2382" w:rsidP="00B46992">
      <w:pPr>
        <w:spacing w:after="0" w:line="240" w:lineRule="auto"/>
        <w:rPr>
          <w:rFonts w:ascii="Arial" w:hAnsi="Arial" w:cs="Arial"/>
          <w:sz w:val="24"/>
          <w:szCs w:val="24"/>
        </w:rPr>
      </w:pPr>
      <w:r w:rsidRPr="009622C3">
        <w:rPr>
          <w:rFonts w:ascii="Arial" w:hAnsi="Arial" w:cs="Arial"/>
          <w:sz w:val="24"/>
          <w:szCs w:val="24"/>
        </w:rPr>
        <w:t xml:space="preserve">The </w:t>
      </w:r>
      <w:r w:rsidR="008B7EDB" w:rsidRPr="009622C3">
        <w:rPr>
          <w:rFonts w:ascii="Arial" w:hAnsi="Arial" w:cs="Arial"/>
          <w:sz w:val="24"/>
          <w:szCs w:val="24"/>
        </w:rPr>
        <w:t xml:space="preserve">analysis below shows a progressive increase in membership from Africa and Asia and a comparative decrease in percentage membership share of North America. The figures indicate Africa and Asian membership grow from 2% each in 2014 to 10% and 8% respectively in </w:t>
      </w:r>
      <w:r w:rsidR="00F66A58">
        <w:rPr>
          <w:rFonts w:ascii="Arial" w:hAnsi="Arial" w:cs="Arial"/>
          <w:sz w:val="24"/>
          <w:szCs w:val="24"/>
        </w:rPr>
        <w:t>FY17</w:t>
      </w:r>
      <w:r w:rsidR="007E24EA">
        <w:rPr>
          <w:rFonts w:ascii="Arial" w:hAnsi="Arial" w:cs="Arial"/>
          <w:sz w:val="24"/>
          <w:szCs w:val="24"/>
        </w:rPr>
        <w:t xml:space="preserve"> (BC Fiscal Year is July 1 to June 30)</w:t>
      </w:r>
      <w:r w:rsidR="008B7EDB" w:rsidRPr="009622C3">
        <w:rPr>
          <w:rFonts w:ascii="Arial" w:hAnsi="Arial" w:cs="Arial"/>
          <w:sz w:val="24"/>
          <w:szCs w:val="24"/>
        </w:rPr>
        <w:t>.</w:t>
      </w:r>
    </w:p>
    <w:p w:rsidR="009622C3" w:rsidRDefault="009622C3" w:rsidP="00B46992">
      <w:pPr>
        <w:spacing w:after="0" w:line="240" w:lineRule="auto"/>
      </w:pPr>
    </w:p>
    <w:tbl>
      <w:tblPr>
        <w:tblW w:w="9648" w:type="dxa"/>
        <w:tblInd w:w="-72" w:type="dxa"/>
        <w:tblLayout w:type="fixed"/>
        <w:tblLook w:val="04A0"/>
      </w:tblPr>
      <w:tblGrid>
        <w:gridCol w:w="990"/>
        <w:gridCol w:w="924"/>
        <w:gridCol w:w="1104"/>
        <w:gridCol w:w="1105"/>
        <w:gridCol w:w="1105"/>
        <w:gridCol w:w="1105"/>
        <w:gridCol w:w="1105"/>
        <w:gridCol w:w="1105"/>
        <w:gridCol w:w="1105"/>
      </w:tblGrid>
      <w:tr w:rsidR="008B7EDB" w:rsidRPr="008B7EDB" w:rsidTr="00DD4B07">
        <w:trPr>
          <w:trHeight w:val="256"/>
        </w:trPr>
        <w:tc>
          <w:tcPr>
            <w:tcW w:w="9648"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Membership Diversity Analysis</w:t>
            </w:r>
          </w:p>
        </w:tc>
      </w:tr>
      <w:tr w:rsidR="00DD4B07" w:rsidRPr="008B7EDB" w:rsidTr="00DD4B07">
        <w:trPr>
          <w:trHeight w:val="513"/>
        </w:trPr>
        <w:tc>
          <w:tcPr>
            <w:tcW w:w="990" w:type="dxa"/>
            <w:tcBorders>
              <w:top w:val="nil"/>
              <w:left w:val="single" w:sz="4" w:space="0" w:color="auto"/>
              <w:bottom w:val="nil"/>
              <w:right w:val="single" w:sz="4" w:space="0" w:color="auto"/>
            </w:tcBorders>
            <w:shd w:val="clear" w:color="000000" w:fill="FFFFFF"/>
            <w:vAlign w:val="center"/>
            <w:hideMark/>
          </w:tcPr>
          <w:p w:rsidR="008B7EDB" w:rsidRPr="008B7EDB" w:rsidRDefault="008B7EDB" w:rsidP="00B46992">
            <w:pPr>
              <w:spacing w:after="0" w:line="240" w:lineRule="auto"/>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Fiscal Year</w:t>
            </w:r>
          </w:p>
        </w:tc>
        <w:tc>
          <w:tcPr>
            <w:tcW w:w="20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FY14</w:t>
            </w:r>
          </w:p>
        </w:tc>
        <w:tc>
          <w:tcPr>
            <w:tcW w:w="22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FY15</w:t>
            </w:r>
          </w:p>
        </w:tc>
        <w:tc>
          <w:tcPr>
            <w:tcW w:w="2210" w:type="dxa"/>
            <w:gridSpan w:val="2"/>
            <w:tcBorders>
              <w:top w:val="single" w:sz="4" w:space="0" w:color="auto"/>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FY16</w:t>
            </w:r>
          </w:p>
        </w:tc>
        <w:tc>
          <w:tcPr>
            <w:tcW w:w="2210" w:type="dxa"/>
            <w:gridSpan w:val="2"/>
            <w:tcBorders>
              <w:top w:val="single" w:sz="4" w:space="0" w:color="auto"/>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FY17</w:t>
            </w:r>
          </w:p>
        </w:tc>
      </w:tr>
      <w:tr w:rsidR="00DD4B07" w:rsidRPr="00DD4B07" w:rsidTr="00DD4B07">
        <w:trPr>
          <w:trHeight w:val="634"/>
        </w:trPr>
        <w:tc>
          <w:tcPr>
            <w:tcW w:w="990" w:type="dxa"/>
            <w:tcBorders>
              <w:top w:val="single" w:sz="4" w:space="0" w:color="auto"/>
              <w:left w:val="single" w:sz="4" w:space="0" w:color="auto"/>
              <w:bottom w:val="nil"/>
              <w:right w:val="single" w:sz="4" w:space="0" w:color="auto"/>
            </w:tcBorders>
            <w:shd w:val="clear" w:color="000000" w:fill="FFFFFF"/>
            <w:vAlign w:val="center"/>
            <w:hideMark/>
          </w:tcPr>
          <w:p w:rsidR="008B7EDB" w:rsidRPr="008B7EDB" w:rsidRDefault="008B7EDB" w:rsidP="00B46992">
            <w:pPr>
              <w:spacing w:after="0" w:line="240" w:lineRule="auto"/>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Regions</w:t>
            </w:r>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2014 Membership by Number</w:t>
            </w:r>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2014 Membership by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2015 Membership by Number</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2015 Membership by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2016 Membership by Number</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2016 Membership by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2017 Membership by Number</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center"/>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2017 Membership by %</w:t>
            </w:r>
          </w:p>
        </w:tc>
      </w:tr>
      <w:tr w:rsidR="00DD4B07" w:rsidRPr="00DD4B07" w:rsidTr="00DD4B07">
        <w:trPr>
          <w:trHeight w:val="256"/>
        </w:trPr>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Africa</w:t>
            </w:r>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1</w:t>
            </w:r>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2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2</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3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5</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8</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6</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10</w:t>
            </w:r>
          </w:p>
        </w:tc>
      </w:tr>
      <w:tr w:rsidR="00DD4B07" w:rsidRPr="00DD4B07" w:rsidTr="00DD4B07">
        <w:trPr>
          <w:trHeight w:val="256"/>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Asia</w:t>
            </w:r>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1</w:t>
            </w:r>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2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4</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7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5</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8</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5</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8</w:t>
            </w:r>
          </w:p>
        </w:tc>
      </w:tr>
      <w:tr w:rsidR="00DD4B07" w:rsidRPr="00DD4B07" w:rsidTr="00DD4B07">
        <w:trPr>
          <w:trHeight w:val="256"/>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Europe</w:t>
            </w:r>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9</w:t>
            </w:r>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18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9</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15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8</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13</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7</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12</w:t>
            </w:r>
          </w:p>
        </w:tc>
      </w:tr>
      <w:tr w:rsidR="00DD4B07" w:rsidRPr="00DD4B07" w:rsidTr="00DD4B07">
        <w:trPr>
          <w:trHeight w:val="256"/>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Latin America</w:t>
            </w:r>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2</w:t>
            </w:r>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4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3</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5 </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2</w:t>
            </w:r>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3</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2</w:t>
            </w:r>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3</w:t>
            </w:r>
          </w:p>
        </w:tc>
      </w:tr>
      <w:tr w:rsidR="00DD4B07" w:rsidRPr="00DD4B07" w:rsidTr="00F66A58">
        <w:trPr>
          <w:trHeight w:val="256"/>
        </w:trPr>
        <w:tc>
          <w:tcPr>
            <w:tcW w:w="990" w:type="dxa"/>
            <w:tcBorders>
              <w:top w:val="nil"/>
              <w:left w:val="single" w:sz="4" w:space="0" w:color="auto"/>
              <w:bottom w:val="single" w:sz="4" w:space="0" w:color="000000" w:themeColor="text1"/>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North America</w:t>
            </w:r>
          </w:p>
        </w:tc>
        <w:tc>
          <w:tcPr>
            <w:tcW w:w="924" w:type="dxa"/>
            <w:tcBorders>
              <w:top w:val="nil"/>
              <w:left w:val="nil"/>
              <w:bottom w:val="single" w:sz="4" w:space="0" w:color="000000" w:themeColor="text1"/>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38</w:t>
            </w:r>
          </w:p>
        </w:tc>
        <w:tc>
          <w:tcPr>
            <w:tcW w:w="1104" w:type="dxa"/>
            <w:tcBorders>
              <w:top w:val="nil"/>
              <w:left w:val="nil"/>
              <w:bottom w:val="single" w:sz="4" w:space="0" w:color="000000" w:themeColor="text1"/>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75 </w:t>
            </w:r>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42</w:t>
            </w:r>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RDefault="008B7EDB" w:rsidP="00B46992">
            <w:pPr>
              <w:spacing w:after="0" w:line="240" w:lineRule="auto"/>
              <w:rPr>
                <w:rFonts w:ascii="Arial" w:eastAsia="Times New Roman" w:hAnsi="Arial" w:cs="Arial"/>
                <w:color w:val="000000"/>
                <w:sz w:val="18"/>
                <w:szCs w:val="18"/>
              </w:rPr>
            </w:pPr>
            <w:r w:rsidRPr="008B7EDB">
              <w:rPr>
                <w:rFonts w:ascii="Arial" w:eastAsia="Times New Roman" w:hAnsi="Arial" w:cs="Arial"/>
                <w:color w:val="000000"/>
                <w:sz w:val="18"/>
                <w:szCs w:val="18"/>
              </w:rPr>
              <w:t xml:space="preserve">              70 </w:t>
            </w:r>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44</w:t>
            </w:r>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69</w:t>
            </w:r>
          </w:p>
        </w:tc>
        <w:tc>
          <w:tcPr>
            <w:tcW w:w="1105" w:type="dxa"/>
            <w:tcBorders>
              <w:top w:val="nil"/>
              <w:left w:val="nil"/>
              <w:bottom w:val="single" w:sz="4" w:space="0" w:color="000000" w:themeColor="text1"/>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39</w:t>
            </w:r>
          </w:p>
        </w:tc>
        <w:tc>
          <w:tcPr>
            <w:tcW w:w="1105" w:type="dxa"/>
            <w:tcBorders>
              <w:top w:val="nil"/>
              <w:left w:val="nil"/>
              <w:bottom w:val="single" w:sz="4" w:space="0" w:color="000000" w:themeColor="text1"/>
              <w:right w:val="single" w:sz="4" w:space="0" w:color="auto"/>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color w:val="000000"/>
                <w:sz w:val="18"/>
                <w:szCs w:val="18"/>
              </w:rPr>
            </w:pPr>
            <w:r w:rsidRPr="008B7EDB">
              <w:rPr>
                <w:rFonts w:ascii="Arial" w:eastAsia="Times New Roman" w:hAnsi="Arial" w:cs="Arial"/>
                <w:color w:val="000000"/>
                <w:sz w:val="18"/>
                <w:szCs w:val="18"/>
              </w:rPr>
              <w:t>66</w:t>
            </w:r>
          </w:p>
        </w:tc>
      </w:tr>
      <w:tr w:rsidR="00DD4B07" w:rsidRPr="00DD4B07" w:rsidTr="00F66A58">
        <w:trPr>
          <w:trHeight w:val="256"/>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RDefault="008B7EDB" w:rsidP="00B46992">
            <w:pPr>
              <w:spacing w:after="0" w:line="240" w:lineRule="auto"/>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Total</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51</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RDefault="008B7EDB" w:rsidP="00B46992">
            <w:pPr>
              <w:spacing w:after="0" w:line="240" w:lineRule="auto"/>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 xml:space="preserve">               100 </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60</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RDefault="008B7EDB" w:rsidP="00B46992">
            <w:pPr>
              <w:spacing w:after="0" w:line="240" w:lineRule="auto"/>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 xml:space="preserve">            100 </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64</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RDefault="008B7EDB" w:rsidP="00B46992">
            <w:pPr>
              <w:spacing w:after="0" w:line="240" w:lineRule="auto"/>
              <w:jc w:val="right"/>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100</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59</w:t>
            </w:r>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rsidR="008B7EDB" w:rsidRPr="008B7EDB" w:rsidRDefault="008B7EDB" w:rsidP="00B46992">
            <w:pPr>
              <w:spacing w:after="0" w:line="240" w:lineRule="auto"/>
              <w:jc w:val="right"/>
              <w:rPr>
                <w:rFonts w:ascii="Arial" w:eastAsia="Times New Roman" w:hAnsi="Arial" w:cs="Arial"/>
                <w:b/>
                <w:bCs/>
                <w:color w:val="000000"/>
                <w:sz w:val="18"/>
                <w:szCs w:val="18"/>
              </w:rPr>
            </w:pPr>
            <w:r w:rsidRPr="008B7EDB">
              <w:rPr>
                <w:rFonts w:ascii="Arial" w:eastAsia="Times New Roman" w:hAnsi="Arial" w:cs="Arial"/>
                <w:b/>
                <w:bCs/>
                <w:color w:val="000000"/>
                <w:sz w:val="18"/>
                <w:szCs w:val="18"/>
              </w:rPr>
              <w:t>100</w:t>
            </w:r>
          </w:p>
        </w:tc>
      </w:tr>
    </w:tbl>
    <w:p w:rsidR="00F66A58" w:rsidRDefault="00F66A58" w:rsidP="00B46992">
      <w:pPr>
        <w:spacing w:after="0" w:line="240" w:lineRule="auto"/>
      </w:pPr>
    </w:p>
    <w:p w:rsidR="00DC6CCC" w:rsidRDefault="00DC6CCC" w:rsidP="00B46992">
      <w:pPr>
        <w:spacing w:after="0" w:line="240" w:lineRule="auto"/>
      </w:pPr>
      <w:r w:rsidRPr="009622C3">
        <w:rPr>
          <w:bdr w:val="single" w:sz="4" w:space="0" w:color="000000" w:themeColor="text1"/>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C6CCC" w:rsidRDefault="00DC6CCC" w:rsidP="00B46992">
      <w:pPr>
        <w:spacing w:after="0" w:line="240" w:lineRule="auto"/>
      </w:pPr>
      <w:r w:rsidRPr="009622C3">
        <w:rPr>
          <w:bdr w:val="single" w:sz="4" w:space="0" w:color="000000" w:themeColor="text1"/>
        </w:rPr>
        <w:lastRenderedPageBreak/>
        <w:drawing>
          <wp:inline distT="0" distB="0" distL="0" distR="0">
            <wp:extent cx="47625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4B07" w:rsidRDefault="00DD4B07" w:rsidP="00B46992">
      <w:pPr>
        <w:spacing w:after="0" w:line="240" w:lineRule="auto"/>
      </w:pPr>
    </w:p>
    <w:p w:rsidR="00DD4B07" w:rsidRDefault="00DD4B07" w:rsidP="00B46992">
      <w:pPr>
        <w:spacing w:after="0" w:line="240" w:lineRule="auto"/>
        <w:rPr>
          <w:rFonts w:ascii="Arial" w:hAnsi="Arial" w:cs="Arial"/>
          <w:sz w:val="24"/>
          <w:szCs w:val="24"/>
        </w:rPr>
      </w:pPr>
      <w:r w:rsidRPr="009622C3">
        <w:rPr>
          <w:rFonts w:ascii="Arial" w:hAnsi="Arial" w:cs="Arial"/>
          <w:sz w:val="24"/>
          <w:szCs w:val="24"/>
        </w:rPr>
        <w:t>In addition, the percentage of small business membership of the BC continues to grow as depicted in the analysis hereunder.</w:t>
      </w:r>
    </w:p>
    <w:p w:rsidR="00D84DF0" w:rsidRPr="009622C3" w:rsidRDefault="00D84DF0" w:rsidP="00B46992">
      <w:pPr>
        <w:spacing w:after="0" w:line="240" w:lineRule="auto"/>
        <w:rPr>
          <w:rFonts w:ascii="Arial" w:hAnsi="Arial" w:cs="Arial"/>
          <w:sz w:val="24"/>
          <w:szCs w:val="24"/>
        </w:rPr>
      </w:pPr>
    </w:p>
    <w:tbl>
      <w:tblPr>
        <w:tblW w:w="6520" w:type="dxa"/>
        <w:tblInd w:w="103" w:type="dxa"/>
        <w:tblLook w:val="04A0"/>
      </w:tblPr>
      <w:tblGrid>
        <w:gridCol w:w="840"/>
        <w:gridCol w:w="1320"/>
        <w:gridCol w:w="1520"/>
        <w:gridCol w:w="1540"/>
        <w:gridCol w:w="1300"/>
      </w:tblGrid>
      <w:tr w:rsidR="00DD4B07" w:rsidRPr="00DD4B07" w:rsidTr="00DD4B07">
        <w:trPr>
          <w:trHeight w:val="300"/>
        </w:trPr>
        <w:tc>
          <w:tcPr>
            <w:tcW w:w="65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center"/>
              <w:rPr>
                <w:rFonts w:ascii="Calibri" w:eastAsia="Times New Roman" w:hAnsi="Calibri" w:cs="Times New Roman"/>
                <w:b/>
                <w:bCs/>
                <w:color w:val="000000"/>
              </w:rPr>
            </w:pPr>
            <w:r w:rsidRPr="00DD4B07">
              <w:rPr>
                <w:rFonts w:ascii="Calibri" w:eastAsia="Times New Roman" w:hAnsi="Calibri" w:cs="Times New Roman"/>
                <w:b/>
                <w:bCs/>
                <w:color w:val="000000"/>
              </w:rPr>
              <w:t>Small/Large Business Membership</w:t>
            </w:r>
          </w:p>
        </w:tc>
      </w:tr>
      <w:tr w:rsidR="00DD4B07" w:rsidRPr="00DD4B07" w:rsidTr="00DD4B07">
        <w:trPr>
          <w:trHeight w:val="600"/>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DD4B07" w:rsidRPr="00DD4B07" w:rsidRDefault="00DD4B07" w:rsidP="00B46992">
            <w:pPr>
              <w:spacing w:after="0" w:line="240" w:lineRule="auto"/>
              <w:jc w:val="right"/>
              <w:rPr>
                <w:rFonts w:ascii="Calibri" w:eastAsia="Times New Roman" w:hAnsi="Calibri" w:cs="Times New Roman"/>
                <w:b/>
                <w:bCs/>
                <w:color w:val="000000"/>
              </w:rPr>
            </w:pPr>
            <w:r w:rsidRPr="00DD4B07">
              <w:rPr>
                <w:rFonts w:ascii="Calibri" w:eastAsia="Times New Roman" w:hAnsi="Calibri" w:cs="Times New Roman"/>
                <w:b/>
                <w:bCs/>
                <w:color w:val="000000"/>
              </w:rPr>
              <w:t>Year</w:t>
            </w:r>
          </w:p>
        </w:tc>
        <w:tc>
          <w:tcPr>
            <w:tcW w:w="1320" w:type="dxa"/>
            <w:tcBorders>
              <w:top w:val="nil"/>
              <w:left w:val="nil"/>
              <w:bottom w:val="single" w:sz="4" w:space="0" w:color="auto"/>
              <w:right w:val="single" w:sz="4" w:space="0" w:color="auto"/>
            </w:tcBorders>
            <w:shd w:val="clear" w:color="auto" w:fill="auto"/>
            <w:vAlign w:val="bottom"/>
            <w:hideMark/>
          </w:tcPr>
          <w:p w:rsidR="00DD4B07" w:rsidRPr="00DD4B07" w:rsidRDefault="00DD4B07" w:rsidP="00B46992">
            <w:pPr>
              <w:spacing w:after="0" w:line="240" w:lineRule="auto"/>
              <w:jc w:val="center"/>
              <w:rPr>
                <w:rFonts w:ascii="Calibri" w:eastAsia="Times New Roman" w:hAnsi="Calibri" w:cs="Times New Roman"/>
                <w:b/>
                <w:bCs/>
                <w:color w:val="000000"/>
              </w:rPr>
            </w:pPr>
            <w:r w:rsidRPr="00DD4B07">
              <w:rPr>
                <w:rFonts w:ascii="Calibri" w:eastAsia="Times New Roman" w:hAnsi="Calibri" w:cs="Times New Roman"/>
                <w:b/>
                <w:bCs/>
                <w:color w:val="000000"/>
              </w:rPr>
              <w:t>No of Small Biz</w:t>
            </w:r>
          </w:p>
        </w:tc>
        <w:tc>
          <w:tcPr>
            <w:tcW w:w="1520" w:type="dxa"/>
            <w:tcBorders>
              <w:top w:val="nil"/>
              <w:left w:val="nil"/>
              <w:bottom w:val="single" w:sz="4" w:space="0" w:color="auto"/>
              <w:right w:val="single" w:sz="4" w:space="0" w:color="auto"/>
            </w:tcBorders>
            <w:shd w:val="clear" w:color="auto" w:fill="auto"/>
            <w:vAlign w:val="bottom"/>
            <w:hideMark/>
          </w:tcPr>
          <w:p w:rsidR="00DD4B07" w:rsidRPr="00DD4B07" w:rsidRDefault="00DD4B07" w:rsidP="00B46992">
            <w:pPr>
              <w:spacing w:after="0" w:line="240" w:lineRule="auto"/>
              <w:jc w:val="center"/>
              <w:rPr>
                <w:rFonts w:ascii="Calibri" w:eastAsia="Times New Roman" w:hAnsi="Calibri" w:cs="Times New Roman"/>
                <w:b/>
                <w:bCs/>
                <w:color w:val="000000"/>
              </w:rPr>
            </w:pPr>
            <w:r w:rsidRPr="00DD4B07">
              <w:rPr>
                <w:rFonts w:ascii="Calibri" w:eastAsia="Times New Roman" w:hAnsi="Calibri" w:cs="Times New Roman"/>
                <w:b/>
                <w:bCs/>
                <w:color w:val="000000"/>
              </w:rPr>
              <w:t>Large Biz</w:t>
            </w:r>
          </w:p>
        </w:tc>
        <w:tc>
          <w:tcPr>
            <w:tcW w:w="1540" w:type="dxa"/>
            <w:tcBorders>
              <w:top w:val="nil"/>
              <w:left w:val="nil"/>
              <w:bottom w:val="single" w:sz="4" w:space="0" w:color="auto"/>
              <w:right w:val="single" w:sz="4" w:space="0" w:color="auto"/>
            </w:tcBorders>
            <w:shd w:val="clear" w:color="auto" w:fill="auto"/>
            <w:vAlign w:val="bottom"/>
            <w:hideMark/>
          </w:tcPr>
          <w:p w:rsidR="00DD4B07" w:rsidRPr="00DD4B07" w:rsidRDefault="00DD4B07" w:rsidP="00B46992">
            <w:pPr>
              <w:spacing w:after="0" w:line="240" w:lineRule="auto"/>
              <w:jc w:val="center"/>
              <w:rPr>
                <w:rFonts w:ascii="Calibri" w:eastAsia="Times New Roman" w:hAnsi="Calibri" w:cs="Times New Roman"/>
                <w:b/>
                <w:bCs/>
                <w:color w:val="000000"/>
              </w:rPr>
            </w:pPr>
            <w:r w:rsidRPr="00DD4B07">
              <w:rPr>
                <w:rFonts w:ascii="Calibri" w:eastAsia="Times New Roman" w:hAnsi="Calibri" w:cs="Times New Roman"/>
                <w:b/>
                <w:bCs/>
                <w:color w:val="000000"/>
              </w:rPr>
              <w:t>Total</w:t>
            </w:r>
          </w:p>
        </w:tc>
        <w:tc>
          <w:tcPr>
            <w:tcW w:w="1300" w:type="dxa"/>
            <w:tcBorders>
              <w:top w:val="nil"/>
              <w:left w:val="nil"/>
              <w:bottom w:val="single" w:sz="4" w:space="0" w:color="auto"/>
              <w:right w:val="single" w:sz="4" w:space="0" w:color="auto"/>
            </w:tcBorders>
            <w:shd w:val="clear" w:color="auto" w:fill="auto"/>
            <w:vAlign w:val="bottom"/>
            <w:hideMark/>
          </w:tcPr>
          <w:p w:rsidR="00DD4B07" w:rsidRPr="00DD4B07" w:rsidRDefault="00DD4B07" w:rsidP="00B46992">
            <w:pPr>
              <w:spacing w:after="0" w:line="240" w:lineRule="auto"/>
              <w:jc w:val="center"/>
              <w:rPr>
                <w:rFonts w:ascii="Calibri" w:eastAsia="Times New Roman" w:hAnsi="Calibri" w:cs="Times New Roman"/>
                <w:b/>
                <w:bCs/>
                <w:color w:val="000000"/>
              </w:rPr>
            </w:pPr>
            <w:r w:rsidRPr="00DD4B07">
              <w:rPr>
                <w:rFonts w:ascii="Calibri" w:eastAsia="Times New Roman" w:hAnsi="Calibri" w:cs="Times New Roman"/>
                <w:b/>
                <w:bCs/>
                <w:color w:val="000000"/>
              </w:rPr>
              <w:t>% of Small Biz</w:t>
            </w:r>
          </w:p>
        </w:tc>
      </w:tr>
      <w:tr w:rsidR="00DD4B07" w:rsidRPr="00DD4B07" w:rsidTr="00DD4B07">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Y2014</w:t>
            </w:r>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18</w:t>
            </w:r>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33</w:t>
            </w:r>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51</w:t>
            </w:r>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 xml:space="preserve">                     35 </w:t>
            </w:r>
          </w:p>
        </w:tc>
      </w:tr>
      <w:tr w:rsidR="00DD4B07" w:rsidRPr="00DD4B07" w:rsidTr="00DD4B07">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Y2015</w:t>
            </w:r>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21</w:t>
            </w:r>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39</w:t>
            </w:r>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60</w:t>
            </w:r>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 xml:space="preserve">                     35 </w:t>
            </w:r>
          </w:p>
        </w:tc>
      </w:tr>
      <w:tr w:rsidR="00DD4B07" w:rsidRPr="00DD4B07" w:rsidTr="00DD4B07">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Y2016</w:t>
            </w:r>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25</w:t>
            </w:r>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39</w:t>
            </w:r>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64</w:t>
            </w:r>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 xml:space="preserve">                     39 </w:t>
            </w:r>
          </w:p>
        </w:tc>
      </w:tr>
      <w:tr w:rsidR="00DD4B07" w:rsidRPr="00DD4B07" w:rsidTr="00DD4B07">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Y2017</w:t>
            </w:r>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26</w:t>
            </w:r>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33</w:t>
            </w:r>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59</w:t>
            </w:r>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RDefault="00DD4B07" w:rsidP="00B46992">
            <w:pPr>
              <w:spacing w:after="0" w:line="240" w:lineRule="auto"/>
              <w:jc w:val="right"/>
              <w:rPr>
                <w:rFonts w:ascii="Calibri" w:eastAsia="Times New Roman" w:hAnsi="Calibri" w:cs="Times New Roman"/>
                <w:color w:val="000000"/>
              </w:rPr>
            </w:pPr>
            <w:r w:rsidRPr="00DD4B07">
              <w:rPr>
                <w:rFonts w:ascii="Calibri" w:eastAsia="Times New Roman" w:hAnsi="Calibri" w:cs="Times New Roman"/>
                <w:color w:val="000000"/>
              </w:rPr>
              <w:t xml:space="preserve">                     44 </w:t>
            </w:r>
          </w:p>
        </w:tc>
      </w:tr>
    </w:tbl>
    <w:p w:rsidR="00D84DF0" w:rsidRDefault="00D84DF0" w:rsidP="00B46992">
      <w:pPr>
        <w:spacing w:after="0" w:line="240" w:lineRule="auto"/>
      </w:pPr>
    </w:p>
    <w:p w:rsidR="00B46992" w:rsidRDefault="00B46992" w:rsidP="00B46992">
      <w:pPr>
        <w:spacing w:after="0" w:line="240" w:lineRule="auto"/>
      </w:pPr>
      <w:r w:rsidRPr="00F66A58">
        <w:rPr>
          <w:bdr w:val="single" w:sz="4" w:space="0" w:color="000000" w:themeColor="text1"/>
        </w:rPr>
        <w:drawing>
          <wp:inline distT="0" distB="0" distL="0" distR="0">
            <wp:extent cx="4657725" cy="2743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6992" w:rsidRDefault="00B46992" w:rsidP="00B46992">
      <w:pPr>
        <w:spacing w:after="0" w:line="240" w:lineRule="auto"/>
      </w:pPr>
    </w:p>
    <w:p w:rsidR="00DC6CCC" w:rsidRPr="00F66A58" w:rsidRDefault="00DC6CCC" w:rsidP="00B46992">
      <w:pPr>
        <w:spacing w:after="0" w:line="240" w:lineRule="auto"/>
        <w:rPr>
          <w:rFonts w:ascii="Arial" w:hAnsi="Arial" w:cs="Arial"/>
          <w:sz w:val="24"/>
          <w:szCs w:val="24"/>
        </w:rPr>
      </w:pPr>
      <w:r w:rsidRPr="00F66A58">
        <w:rPr>
          <w:rFonts w:ascii="Arial" w:hAnsi="Arial" w:cs="Arial"/>
          <w:sz w:val="24"/>
          <w:szCs w:val="24"/>
        </w:rPr>
        <w:lastRenderedPageBreak/>
        <w:t xml:space="preserve">In FY18, BC plans to double its outreach engagement activities using its own funds in particular, nevertheless, it is important to note that diversifying BC and ICANN in general is a process and not a </w:t>
      </w:r>
      <w:r w:rsidR="00B46992" w:rsidRPr="00F66A58">
        <w:rPr>
          <w:rFonts w:ascii="Arial" w:hAnsi="Arial" w:cs="Arial"/>
          <w:sz w:val="24"/>
          <w:szCs w:val="24"/>
        </w:rPr>
        <w:t>an</w:t>
      </w:r>
      <w:r w:rsidRPr="00F66A58">
        <w:rPr>
          <w:rFonts w:ascii="Arial" w:hAnsi="Arial" w:cs="Arial"/>
          <w:sz w:val="24"/>
          <w:szCs w:val="24"/>
        </w:rPr>
        <w:t xml:space="preserve"> event. </w:t>
      </w:r>
    </w:p>
    <w:p w:rsidR="00B46992" w:rsidRDefault="00B46992" w:rsidP="00B46992">
      <w:pPr>
        <w:spacing w:after="0" w:line="240" w:lineRule="auto"/>
        <w:rPr>
          <w:rFonts w:ascii="Arial" w:hAnsi="Arial" w:cs="Arial"/>
          <w:sz w:val="24"/>
          <w:szCs w:val="24"/>
        </w:rPr>
      </w:pPr>
    </w:p>
    <w:p w:rsidR="00D84DF0" w:rsidRDefault="00D84DF0" w:rsidP="00B46992">
      <w:pPr>
        <w:spacing w:after="0" w:line="240" w:lineRule="auto"/>
        <w:rPr>
          <w:rFonts w:ascii="Arial" w:hAnsi="Arial" w:cs="Arial"/>
          <w:sz w:val="24"/>
          <w:szCs w:val="24"/>
        </w:rPr>
      </w:pPr>
    </w:p>
    <w:p w:rsidR="00D84DF0" w:rsidRDefault="00D84DF0" w:rsidP="00B46992">
      <w:pPr>
        <w:spacing w:after="0" w:line="240" w:lineRule="auto"/>
        <w:rPr>
          <w:rFonts w:ascii="Arial" w:hAnsi="Arial" w:cs="Arial"/>
          <w:sz w:val="24"/>
          <w:szCs w:val="24"/>
        </w:rPr>
      </w:pPr>
      <w:r>
        <w:rPr>
          <w:rFonts w:ascii="Arial" w:hAnsi="Arial" w:cs="Arial"/>
          <w:sz w:val="24"/>
          <w:szCs w:val="24"/>
        </w:rPr>
        <w:t>3.0 Removing Barrier to Small Business Membership</w:t>
      </w:r>
    </w:p>
    <w:p w:rsidR="00935BF0" w:rsidRDefault="00935BF0" w:rsidP="00B46992">
      <w:pPr>
        <w:spacing w:after="0" w:line="240" w:lineRule="auto"/>
        <w:rPr>
          <w:rFonts w:ascii="Arial" w:hAnsi="Arial" w:cs="Arial"/>
          <w:sz w:val="24"/>
          <w:szCs w:val="24"/>
        </w:rPr>
      </w:pPr>
    </w:p>
    <w:p w:rsidR="00935BF0" w:rsidRDefault="00935BF0" w:rsidP="00B46992">
      <w:pPr>
        <w:spacing w:after="0" w:line="240" w:lineRule="auto"/>
        <w:rPr>
          <w:rFonts w:ascii="Arial" w:hAnsi="Arial" w:cs="Arial"/>
          <w:sz w:val="24"/>
          <w:szCs w:val="24"/>
        </w:rPr>
      </w:pPr>
    </w:p>
    <w:p w:rsidR="00935BF0" w:rsidRPr="00F66A58" w:rsidRDefault="00935BF0" w:rsidP="00B46992">
      <w:pPr>
        <w:spacing w:after="0" w:line="240" w:lineRule="auto"/>
        <w:rPr>
          <w:rFonts w:ascii="Arial" w:hAnsi="Arial" w:cs="Arial"/>
          <w:sz w:val="24"/>
          <w:szCs w:val="24"/>
        </w:rPr>
        <w:sectPr w:rsidR="00935BF0" w:rsidRPr="00F66A58" w:rsidSect="00D84DF0">
          <w:footerReference w:type="default" r:id="rId10"/>
          <w:pgSz w:w="12240" w:h="15840"/>
          <w:pgMar w:top="990" w:right="1440" w:bottom="990" w:left="1440" w:header="720" w:footer="279" w:gutter="0"/>
          <w:cols w:space="720"/>
          <w:docGrid w:linePitch="360"/>
        </w:sectPr>
      </w:pPr>
    </w:p>
    <w:p w:rsidR="00DC6CCC" w:rsidRPr="00B46992" w:rsidRDefault="00B46992" w:rsidP="00B46992">
      <w:pPr>
        <w:spacing w:after="0" w:line="240" w:lineRule="auto"/>
        <w:jc w:val="center"/>
        <w:rPr>
          <w:rFonts w:ascii="Arial" w:hAnsi="Arial" w:cs="Arial"/>
          <w:b/>
          <w:sz w:val="28"/>
          <w:szCs w:val="28"/>
        </w:rPr>
      </w:pPr>
      <w:r w:rsidRPr="00B46992">
        <w:rPr>
          <w:rFonts w:ascii="Arial" w:hAnsi="Arial" w:cs="Arial"/>
          <w:b/>
          <w:sz w:val="28"/>
          <w:szCs w:val="28"/>
        </w:rPr>
        <w:lastRenderedPageBreak/>
        <w:t>Annex 1</w:t>
      </w:r>
    </w:p>
    <w:p w:rsidR="00B46992" w:rsidRPr="00A334FF" w:rsidRDefault="00B46992" w:rsidP="00B46992">
      <w:pPr>
        <w:spacing w:after="0" w:line="240" w:lineRule="auto"/>
        <w:jc w:val="center"/>
        <w:rPr>
          <w:b/>
          <w:sz w:val="28"/>
        </w:rPr>
      </w:pPr>
      <w:r w:rsidRPr="00774680">
        <w:rPr>
          <w:b/>
          <w:sz w:val="28"/>
        </w:rPr>
        <w:t xml:space="preserve">BC </w:t>
      </w:r>
      <w:r>
        <w:rPr>
          <w:b/>
          <w:sz w:val="28"/>
        </w:rPr>
        <w:t xml:space="preserve">FY17 </w:t>
      </w:r>
      <w:r w:rsidRPr="00774680">
        <w:rPr>
          <w:b/>
          <w:sz w:val="28"/>
        </w:rPr>
        <w:t>Outreach Strategy Matrix</w:t>
      </w:r>
    </w:p>
    <w:tbl>
      <w:tblPr>
        <w:tblW w:w="14269" w:type="dxa"/>
        <w:tblInd w:w="-395" w:type="dxa"/>
        <w:tblLayout w:type="fixed"/>
        <w:tblCellMar>
          <w:top w:w="55" w:type="dxa"/>
          <w:left w:w="55" w:type="dxa"/>
          <w:bottom w:w="55" w:type="dxa"/>
          <w:right w:w="55" w:type="dxa"/>
        </w:tblCellMar>
        <w:tblLook w:val="0000"/>
      </w:tblPr>
      <w:tblGrid>
        <w:gridCol w:w="590"/>
        <w:gridCol w:w="2457"/>
        <w:gridCol w:w="4873"/>
        <w:gridCol w:w="2160"/>
        <w:gridCol w:w="4189"/>
      </w:tblGrid>
      <w:tr w:rsidR="00B46992" w:rsidRPr="00B46992" w:rsidTr="009622C3">
        <w:trPr>
          <w:trHeight w:val="305"/>
        </w:trPr>
        <w:tc>
          <w:tcPr>
            <w:tcW w:w="590" w:type="dxa"/>
            <w:tcBorders>
              <w:top w:val="single" w:sz="1" w:space="0" w:color="000000"/>
              <w:left w:val="single" w:sz="1" w:space="0" w:color="000000"/>
              <w:bottom w:val="single" w:sz="1" w:space="0" w:color="000000"/>
            </w:tcBorders>
            <w:shd w:val="clear" w:color="auto" w:fill="auto"/>
          </w:tcPr>
          <w:p w:rsidR="00B46992" w:rsidRPr="00B46992" w:rsidRDefault="00B46992" w:rsidP="00B46992">
            <w:pPr>
              <w:pStyle w:val="TableContents"/>
              <w:rPr>
                <w:b/>
                <w:sz w:val="24"/>
                <w:szCs w:val="24"/>
              </w:rPr>
            </w:pPr>
            <w:proofErr w:type="spellStart"/>
            <w:r w:rsidRPr="00B46992">
              <w:rPr>
                <w:b/>
                <w:sz w:val="24"/>
                <w:szCs w:val="24"/>
              </w:rPr>
              <w:t>Sn</w:t>
            </w:r>
            <w:proofErr w:type="spellEnd"/>
          </w:p>
        </w:tc>
        <w:tc>
          <w:tcPr>
            <w:tcW w:w="2457" w:type="dxa"/>
            <w:tcBorders>
              <w:top w:val="single" w:sz="1" w:space="0" w:color="000000"/>
              <w:left w:val="single" w:sz="1" w:space="0" w:color="000000"/>
              <w:bottom w:val="single" w:sz="1" w:space="0" w:color="000000"/>
            </w:tcBorders>
            <w:shd w:val="clear" w:color="auto" w:fill="auto"/>
          </w:tcPr>
          <w:p w:rsidR="00B46992" w:rsidRPr="00B46992" w:rsidRDefault="00B46992" w:rsidP="00B46992">
            <w:pPr>
              <w:pStyle w:val="TableContents"/>
              <w:rPr>
                <w:b/>
                <w:sz w:val="24"/>
                <w:szCs w:val="24"/>
              </w:rPr>
            </w:pPr>
            <w:r w:rsidRPr="00B46992">
              <w:rPr>
                <w:b/>
                <w:sz w:val="24"/>
                <w:szCs w:val="24"/>
              </w:rPr>
              <w:t>Objectives</w:t>
            </w:r>
          </w:p>
        </w:tc>
        <w:tc>
          <w:tcPr>
            <w:tcW w:w="4873" w:type="dxa"/>
            <w:tcBorders>
              <w:top w:val="single" w:sz="1" w:space="0" w:color="000000"/>
              <w:left w:val="single" w:sz="1" w:space="0" w:color="000000"/>
              <w:bottom w:val="single" w:sz="1" w:space="0" w:color="000000"/>
            </w:tcBorders>
            <w:shd w:val="clear" w:color="auto" w:fill="auto"/>
          </w:tcPr>
          <w:p w:rsidR="00B46992" w:rsidRPr="00B46992" w:rsidRDefault="00B46992" w:rsidP="00B46992">
            <w:pPr>
              <w:pStyle w:val="TableContents"/>
              <w:rPr>
                <w:b/>
                <w:sz w:val="24"/>
                <w:szCs w:val="24"/>
              </w:rPr>
            </w:pPr>
            <w:r w:rsidRPr="00B46992">
              <w:rPr>
                <w:b/>
                <w:sz w:val="24"/>
                <w:szCs w:val="24"/>
              </w:rPr>
              <w:t>Outputs</w:t>
            </w:r>
          </w:p>
        </w:tc>
        <w:tc>
          <w:tcPr>
            <w:tcW w:w="2160" w:type="dxa"/>
            <w:tcBorders>
              <w:top w:val="single" w:sz="1" w:space="0" w:color="000000"/>
              <w:left w:val="single" w:sz="1" w:space="0" w:color="000000"/>
              <w:bottom w:val="single" w:sz="1" w:space="0" w:color="000000"/>
            </w:tcBorders>
            <w:shd w:val="clear" w:color="auto" w:fill="auto"/>
          </w:tcPr>
          <w:p w:rsidR="00B46992" w:rsidRPr="00B46992" w:rsidRDefault="00B46992" w:rsidP="00B46992">
            <w:pPr>
              <w:pStyle w:val="TableContents"/>
              <w:rPr>
                <w:b/>
                <w:sz w:val="24"/>
                <w:szCs w:val="24"/>
              </w:rPr>
            </w:pPr>
            <w:r w:rsidRPr="00B46992">
              <w:rPr>
                <w:b/>
                <w:sz w:val="24"/>
                <w:szCs w:val="24"/>
              </w:rPr>
              <w:t>Expected Results</w:t>
            </w:r>
          </w:p>
        </w:tc>
        <w:tc>
          <w:tcPr>
            <w:tcW w:w="4189" w:type="dxa"/>
            <w:tcBorders>
              <w:top w:val="single" w:sz="1" w:space="0" w:color="000000"/>
              <w:left w:val="single" w:sz="1" w:space="0" w:color="000000"/>
              <w:bottom w:val="single" w:sz="1" w:space="0" w:color="000000"/>
              <w:right w:val="single" w:sz="1" w:space="0" w:color="000000"/>
            </w:tcBorders>
            <w:shd w:val="clear" w:color="auto" w:fill="auto"/>
          </w:tcPr>
          <w:p w:rsidR="00B46992" w:rsidRPr="00B46992" w:rsidRDefault="00B46992" w:rsidP="00B46992">
            <w:pPr>
              <w:pStyle w:val="TableContents"/>
              <w:rPr>
                <w:sz w:val="24"/>
                <w:szCs w:val="24"/>
              </w:rPr>
            </w:pPr>
            <w:r w:rsidRPr="00B46992">
              <w:rPr>
                <w:b/>
                <w:sz w:val="24"/>
                <w:szCs w:val="24"/>
              </w:rPr>
              <w:t>Key Performance Indicators</w:t>
            </w:r>
          </w:p>
        </w:tc>
      </w:tr>
      <w:tr w:rsidR="00B46992" w:rsidRPr="00B46992" w:rsidTr="009622C3">
        <w:trPr>
          <w:trHeight w:val="3365"/>
        </w:trPr>
        <w:tc>
          <w:tcPr>
            <w:tcW w:w="590" w:type="dxa"/>
            <w:tcBorders>
              <w:left w:val="single" w:sz="1" w:space="0" w:color="000000"/>
              <w:bottom w:val="single" w:sz="1" w:space="0" w:color="000000"/>
            </w:tcBorders>
            <w:shd w:val="clear" w:color="auto" w:fill="auto"/>
          </w:tcPr>
          <w:p w:rsidR="00B46992" w:rsidRPr="00B46992" w:rsidRDefault="00B46992" w:rsidP="00B46992">
            <w:pPr>
              <w:spacing w:after="0" w:line="240" w:lineRule="auto"/>
              <w:jc w:val="center"/>
              <w:rPr>
                <w:sz w:val="24"/>
                <w:szCs w:val="24"/>
              </w:rPr>
            </w:pPr>
            <w:r w:rsidRPr="00B46992">
              <w:rPr>
                <w:sz w:val="24"/>
                <w:szCs w:val="24"/>
              </w:rPr>
              <w:t>1</w:t>
            </w:r>
          </w:p>
        </w:tc>
        <w:tc>
          <w:tcPr>
            <w:tcW w:w="2457" w:type="dxa"/>
            <w:tcBorders>
              <w:left w:val="single" w:sz="1" w:space="0" w:color="000000"/>
              <w:bottom w:val="single" w:sz="1" w:space="0" w:color="000000"/>
            </w:tcBorders>
            <w:shd w:val="clear" w:color="auto" w:fill="auto"/>
          </w:tcPr>
          <w:p w:rsidR="00B46992" w:rsidRPr="00B46992" w:rsidRDefault="00B46992" w:rsidP="00B46992">
            <w:pPr>
              <w:spacing w:after="0" w:line="240" w:lineRule="auto"/>
              <w:rPr>
                <w:sz w:val="24"/>
                <w:szCs w:val="24"/>
              </w:rPr>
            </w:pPr>
            <w:r w:rsidRPr="00B46992">
              <w:rPr>
                <w:sz w:val="24"/>
                <w:szCs w:val="24"/>
              </w:rPr>
              <w:t>To create awareness about BC, its works and ICANN in low membership regions.</w:t>
            </w:r>
          </w:p>
        </w:tc>
        <w:tc>
          <w:tcPr>
            <w:tcW w:w="4873"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Conduct of Outreach events in collaboration with stakeholders in Africa, Asia &amp; Latin America. Continuous improvement of URL (bizconst.org).</w:t>
            </w:r>
          </w:p>
          <w:p w:rsidR="00B46992" w:rsidRPr="00B46992" w:rsidRDefault="00B46992" w:rsidP="00B46992">
            <w:pPr>
              <w:pStyle w:val="TableContents"/>
              <w:rPr>
                <w:sz w:val="24"/>
                <w:szCs w:val="24"/>
              </w:rPr>
            </w:pPr>
            <w:r w:rsidRPr="00B46992">
              <w:rPr>
                <w:sz w:val="24"/>
                <w:szCs w:val="24"/>
              </w:rPr>
              <w:t>Factsheets</w:t>
            </w:r>
          </w:p>
        </w:tc>
        <w:tc>
          <w:tcPr>
            <w:tcW w:w="2160"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Increased awareness of BC &amp; ICANN.</w:t>
            </w:r>
          </w:p>
          <w:p w:rsidR="00B46992" w:rsidRPr="00B46992" w:rsidRDefault="00B46992" w:rsidP="00B46992">
            <w:pPr>
              <w:pStyle w:val="TableContents"/>
              <w:rPr>
                <w:sz w:val="24"/>
                <w:szCs w:val="24"/>
              </w:rPr>
            </w:pPr>
            <w:r w:rsidRPr="00B46992">
              <w:rPr>
                <w:sz w:val="24"/>
                <w:szCs w:val="24"/>
              </w:rPr>
              <w:t>Increased interest in the DNS industry.</w:t>
            </w:r>
          </w:p>
          <w:p w:rsidR="00B46992" w:rsidRPr="00B46992" w:rsidRDefault="00B46992" w:rsidP="00B46992">
            <w:pPr>
              <w:pStyle w:val="TableContents"/>
              <w:rPr>
                <w:sz w:val="24"/>
                <w:szCs w:val="24"/>
              </w:rPr>
            </w:pPr>
          </w:p>
        </w:tc>
        <w:tc>
          <w:tcPr>
            <w:tcW w:w="4189" w:type="dxa"/>
            <w:tcBorders>
              <w:left w:val="single" w:sz="1" w:space="0" w:color="000000"/>
              <w:bottom w:val="single" w:sz="1" w:space="0" w:color="000000"/>
              <w:right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 xml:space="preserve">Speaking opportunities for BC officials @ (Business) events </w:t>
            </w:r>
          </w:p>
          <w:p w:rsidR="00B46992" w:rsidRPr="00B46992" w:rsidRDefault="00B46992" w:rsidP="00B46992">
            <w:pPr>
              <w:pStyle w:val="TableContents"/>
              <w:rPr>
                <w:sz w:val="24"/>
                <w:szCs w:val="24"/>
              </w:rPr>
            </w:pPr>
            <w:r w:rsidRPr="00B46992">
              <w:rPr>
                <w:sz w:val="24"/>
                <w:szCs w:val="24"/>
              </w:rPr>
              <w:t>Improved website completed.</w:t>
            </w:r>
          </w:p>
          <w:p w:rsidR="00B46992" w:rsidRPr="00B46992" w:rsidRDefault="00B46992" w:rsidP="00B46992">
            <w:pPr>
              <w:pStyle w:val="TableContents"/>
              <w:rPr>
                <w:sz w:val="24"/>
                <w:szCs w:val="24"/>
              </w:rPr>
            </w:pPr>
            <w:r w:rsidRPr="00B46992">
              <w:rPr>
                <w:sz w:val="24"/>
                <w:szCs w:val="24"/>
              </w:rPr>
              <w:t xml:space="preserve">Completion of one or two pager/”mini brief”, to be available at Regional and National Internet Governance Forums in appropriate languages. </w:t>
            </w:r>
          </w:p>
          <w:p w:rsidR="00B46992" w:rsidRPr="00B46992" w:rsidRDefault="00B46992" w:rsidP="00B46992">
            <w:pPr>
              <w:pStyle w:val="TableContents"/>
              <w:rPr>
                <w:sz w:val="24"/>
                <w:szCs w:val="24"/>
              </w:rPr>
            </w:pPr>
            <w:r w:rsidRPr="00B46992">
              <w:rPr>
                <w:sz w:val="24"/>
                <w:szCs w:val="24"/>
              </w:rPr>
              <w:t xml:space="preserve">Available at IGF and ICANN booths. Increased BC membership from developing countries that lack BC presence. Retain recently recruited members via the Outreach Program. </w:t>
            </w:r>
          </w:p>
        </w:tc>
      </w:tr>
      <w:tr w:rsidR="00B46992" w:rsidRPr="00B46992" w:rsidTr="009622C3">
        <w:trPr>
          <w:trHeight w:val="2771"/>
        </w:trPr>
        <w:tc>
          <w:tcPr>
            <w:tcW w:w="590"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2</w:t>
            </w:r>
          </w:p>
        </w:tc>
        <w:tc>
          <w:tcPr>
            <w:tcW w:w="2457" w:type="dxa"/>
            <w:tcBorders>
              <w:left w:val="single" w:sz="1" w:space="0" w:color="000000"/>
              <w:bottom w:val="single" w:sz="1" w:space="0" w:color="000000"/>
            </w:tcBorders>
            <w:shd w:val="clear" w:color="auto" w:fill="auto"/>
          </w:tcPr>
          <w:p w:rsidR="00B46992" w:rsidRPr="00B46992" w:rsidRDefault="00B46992" w:rsidP="00B46992">
            <w:pPr>
              <w:spacing w:after="0" w:line="240" w:lineRule="auto"/>
              <w:rPr>
                <w:sz w:val="24"/>
                <w:szCs w:val="24"/>
              </w:rPr>
            </w:pPr>
            <w:r w:rsidRPr="00B46992">
              <w:rPr>
                <w:sz w:val="24"/>
                <w:szCs w:val="24"/>
              </w:rPr>
              <w:t xml:space="preserve">To </w:t>
            </w:r>
            <w:proofErr w:type="spellStart"/>
            <w:r w:rsidRPr="00B46992">
              <w:rPr>
                <w:sz w:val="24"/>
                <w:szCs w:val="24"/>
              </w:rPr>
              <w:t>realise</w:t>
            </w:r>
            <w:proofErr w:type="spellEnd"/>
            <w:r w:rsidRPr="00B46992">
              <w:rPr>
                <w:sz w:val="24"/>
                <w:szCs w:val="24"/>
              </w:rPr>
              <w:t xml:space="preserve"> its mission by growing its membership base thereby enriching its long term policy development efforts and at the same time addressing volunteer burn-out phenomenon</w:t>
            </w:r>
          </w:p>
        </w:tc>
        <w:tc>
          <w:tcPr>
            <w:tcW w:w="4873"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Conduct of Outreach events in collaboration with stakeholders in Africa, Asia &amp; Latin America.</w:t>
            </w:r>
          </w:p>
          <w:p w:rsidR="00B46992" w:rsidRPr="00B46992" w:rsidRDefault="00B46992" w:rsidP="00B46992">
            <w:pPr>
              <w:pStyle w:val="TableContents"/>
              <w:rPr>
                <w:sz w:val="24"/>
                <w:szCs w:val="24"/>
              </w:rPr>
            </w:pPr>
            <w:r w:rsidRPr="00B46992">
              <w:rPr>
                <w:sz w:val="24"/>
                <w:szCs w:val="24"/>
              </w:rPr>
              <w:t>Individual member one-on-one outreach with business associates.</w:t>
            </w:r>
          </w:p>
        </w:tc>
        <w:tc>
          <w:tcPr>
            <w:tcW w:w="2160"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More members of BC from the 3 target regions (Africa, Asia and Latin America).</w:t>
            </w:r>
          </w:p>
        </w:tc>
        <w:tc>
          <w:tcPr>
            <w:tcW w:w="4189" w:type="dxa"/>
            <w:tcBorders>
              <w:left w:val="single" w:sz="1" w:space="0" w:color="000000"/>
              <w:bottom w:val="single" w:sz="1" w:space="0" w:color="000000"/>
              <w:right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Growth of BC membership by 10%.</w:t>
            </w:r>
          </w:p>
          <w:p w:rsidR="00B46992" w:rsidRPr="00B46992" w:rsidRDefault="00B46992" w:rsidP="00B46992">
            <w:pPr>
              <w:pStyle w:val="TableContents"/>
              <w:rPr>
                <w:sz w:val="24"/>
                <w:szCs w:val="24"/>
              </w:rPr>
            </w:pPr>
            <w:r w:rsidRPr="00B46992">
              <w:rPr>
                <w:sz w:val="24"/>
                <w:szCs w:val="24"/>
              </w:rPr>
              <w:t>Effective BC participation in all WGs.</w:t>
            </w:r>
          </w:p>
          <w:p w:rsidR="00B46992" w:rsidRPr="00B46992" w:rsidRDefault="00B46992" w:rsidP="00B46992">
            <w:pPr>
              <w:pStyle w:val="TableContents"/>
              <w:rPr>
                <w:sz w:val="24"/>
                <w:szCs w:val="24"/>
              </w:rPr>
            </w:pPr>
            <w:r w:rsidRPr="00B46992">
              <w:rPr>
                <w:sz w:val="24"/>
                <w:szCs w:val="24"/>
              </w:rPr>
              <w:t>Number of business stakeholders reached.</w:t>
            </w:r>
          </w:p>
        </w:tc>
      </w:tr>
      <w:tr w:rsidR="00B46992" w:rsidRPr="00B46992" w:rsidTr="009622C3">
        <w:trPr>
          <w:trHeight w:val="2501"/>
        </w:trPr>
        <w:tc>
          <w:tcPr>
            <w:tcW w:w="590"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3</w:t>
            </w:r>
          </w:p>
        </w:tc>
        <w:tc>
          <w:tcPr>
            <w:tcW w:w="2457" w:type="dxa"/>
            <w:tcBorders>
              <w:left w:val="single" w:sz="1" w:space="0" w:color="000000"/>
              <w:bottom w:val="single" w:sz="1" w:space="0" w:color="000000"/>
            </w:tcBorders>
            <w:shd w:val="clear" w:color="auto" w:fill="auto"/>
          </w:tcPr>
          <w:p w:rsidR="00B46992" w:rsidRPr="00B46992" w:rsidRDefault="00B46992" w:rsidP="00B46992">
            <w:pPr>
              <w:spacing w:after="0" w:line="240" w:lineRule="auto"/>
              <w:rPr>
                <w:sz w:val="24"/>
                <w:szCs w:val="24"/>
              </w:rPr>
            </w:pPr>
            <w:r w:rsidRPr="00B46992">
              <w:rPr>
                <w:sz w:val="24"/>
                <w:szCs w:val="24"/>
              </w:rPr>
              <w:t>To advance the bottom-up multi-stakeholder model of ICANN</w:t>
            </w:r>
          </w:p>
        </w:tc>
        <w:tc>
          <w:tcPr>
            <w:tcW w:w="4873"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Fortnightly conference calls.</w:t>
            </w:r>
          </w:p>
          <w:p w:rsidR="00B46992" w:rsidRPr="00B46992" w:rsidRDefault="00B46992" w:rsidP="00B46992">
            <w:pPr>
              <w:pStyle w:val="TableContents"/>
              <w:rPr>
                <w:sz w:val="24"/>
                <w:szCs w:val="24"/>
              </w:rPr>
            </w:pPr>
            <w:r w:rsidRPr="00B46992">
              <w:rPr>
                <w:sz w:val="24"/>
                <w:szCs w:val="24"/>
              </w:rPr>
              <w:t>Effective participation in ICANN policy development process.</w:t>
            </w:r>
          </w:p>
          <w:p w:rsidR="00B46992" w:rsidRPr="00B46992" w:rsidRDefault="00B46992" w:rsidP="00B46992">
            <w:pPr>
              <w:pStyle w:val="TableContents"/>
              <w:rPr>
                <w:sz w:val="24"/>
                <w:szCs w:val="24"/>
              </w:rPr>
            </w:pPr>
            <w:r w:rsidRPr="00B46992">
              <w:rPr>
                <w:sz w:val="24"/>
                <w:szCs w:val="24"/>
              </w:rPr>
              <w:t>Publication of policy positions on the wiki and URL.</w:t>
            </w:r>
          </w:p>
          <w:p w:rsidR="00B46992" w:rsidRPr="00B46992" w:rsidRDefault="00B46992" w:rsidP="009622C3">
            <w:pPr>
              <w:pStyle w:val="TableContents"/>
              <w:rPr>
                <w:sz w:val="24"/>
                <w:szCs w:val="24"/>
              </w:rPr>
            </w:pPr>
            <w:r w:rsidRPr="00B46992">
              <w:rPr>
                <w:sz w:val="24"/>
                <w:szCs w:val="24"/>
              </w:rPr>
              <w:t xml:space="preserve">Presentations at key Trade Association events provided by BC Outreach Committee Members and other BC members willing to engage with their trade associations. </w:t>
            </w:r>
          </w:p>
        </w:tc>
        <w:tc>
          <w:tcPr>
            <w:tcW w:w="2160" w:type="dxa"/>
            <w:tcBorders>
              <w:left w:val="single" w:sz="1" w:space="0" w:color="000000"/>
              <w:bottom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Increased uptake of the M/S model across entities.</w:t>
            </w:r>
          </w:p>
        </w:tc>
        <w:tc>
          <w:tcPr>
            <w:tcW w:w="4189" w:type="dxa"/>
            <w:tcBorders>
              <w:left w:val="single" w:sz="1" w:space="0" w:color="000000"/>
              <w:bottom w:val="single" w:sz="1" w:space="0" w:color="000000"/>
              <w:right w:val="single" w:sz="1" w:space="0" w:color="000000"/>
            </w:tcBorders>
            <w:shd w:val="clear" w:color="auto" w:fill="auto"/>
          </w:tcPr>
          <w:p w:rsidR="00B46992" w:rsidRPr="00B46992" w:rsidRDefault="00B46992" w:rsidP="00B46992">
            <w:pPr>
              <w:pStyle w:val="TableContents"/>
              <w:rPr>
                <w:sz w:val="24"/>
                <w:szCs w:val="24"/>
              </w:rPr>
            </w:pPr>
            <w:r w:rsidRPr="00B46992">
              <w:rPr>
                <w:sz w:val="24"/>
                <w:szCs w:val="24"/>
              </w:rPr>
              <w:t>Survey results.</w:t>
            </w:r>
          </w:p>
          <w:p w:rsidR="00B46992" w:rsidRPr="00B46992" w:rsidRDefault="00B46992" w:rsidP="00B46992">
            <w:pPr>
              <w:pStyle w:val="TableContents"/>
              <w:rPr>
                <w:sz w:val="24"/>
                <w:szCs w:val="24"/>
              </w:rPr>
            </w:pPr>
            <w:r w:rsidRPr="00B46992">
              <w:rPr>
                <w:sz w:val="24"/>
                <w:szCs w:val="24"/>
              </w:rPr>
              <w:t>Growth in membership.</w:t>
            </w:r>
          </w:p>
          <w:p w:rsidR="00B46992" w:rsidRPr="00B46992" w:rsidRDefault="00B46992" w:rsidP="00B46992">
            <w:pPr>
              <w:pStyle w:val="TableContents"/>
              <w:rPr>
                <w:sz w:val="24"/>
                <w:szCs w:val="24"/>
              </w:rPr>
            </w:pPr>
            <w:r w:rsidRPr="00B46992">
              <w:rPr>
                <w:sz w:val="24"/>
                <w:szCs w:val="24"/>
              </w:rPr>
              <w:t>Effective BC participation in all WGs.</w:t>
            </w:r>
          </w:p>
          <w:p w:rsidR="00B46992" w:rsidRPr="00B46992" w:rsidRDefault="00B46992" w:rsidP="00B46992">
            <w:pPr>
              <w:pStyle w:val="TableContents"/>
              <w:rPr>
                <w:sz w:val="24"/>
                <w:szCs w:val="24"/>
              </w:rPr>
            </w:pPr>
            <w:r w:rsidRPr="00B46992">
              <w:rPr>
                <w:sz w:val="24"/>
                <w:szCs w:val="24"/>
              </w:rPr>
              <w:t>New members’ involvement in BC work.</w:t>
            </w:r>
          </w:p>
        </w:tc>
      </w:tr>
    </w:tbl>
    <w:p w:rsidR="00B46992" w:rsidRDefault="00B46992" w:rsidP="00B46992">
      <w:pPr>
        <w:spacing w:after="0" w:line="240" w:lineRule="auto"/>
      </w:pPr>
    </w:p>
    <w:sectPr w:rsidR="00B46992" w:rsidSect="009622C3">
      <w:pgSz w:w="15840" w:h="12240" w:orient="landscape"/>
      <w:pgMar w:top="81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509" w:rsidRDefault="006D3509" w:rsidP="00D84DF0">
      <w:pPr>
        <w:spacing w:after="0" w:line="240" w:lineRule="auto"/>
      </w:pPr>
      <w:r>
        <w:separator/>
      </w:r>
    </w:p>
  </w:endnote>
  <w:endnote w:type="continuationSeparator" w:id="0">
    <w:p w:rsidR="006D3509" w:rsidRDefault="006D3509" w:rsidP="00D84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272032"/>
      <w:docPartObj>
        <w:docPartGallery w:val="Page Numbers (Bottom of Page)"/>
        <w:docPartUnique/>
      </w:docPartObj>
    </w:sdtPr>
    <w:sdtContent>
      <w:p w:rsidR="00D84DF0" w:rsidRDefault="00D84DF0">
        <w:pPr>
          <w:pStyle w:val="Footer"/>
          <w:jc w:val="center"/>
        </w:pPr>
        <w:fldSimple w:instr=" PAGE   \* MERGEFORMAT ">
          <w:r w:rsidR="00935BF0">
            <w:rPr>
              <w:noProof/>
            </w:rPr>
            <w:t>4</w:t>
          </w:r>
        </w:fldSimple>
      </w:p>
    </w:sdtContent>
  </w:sdt>
  <w:p w:rsidR="00D84DF0" w:rsidRDefault="00D84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509" w:rsidRDefault="006D3509" w:rsidP="00D84DF0">
      <w:pPr>
        <w:spacing w:after="0" w:line="240" w:lineRule="auto"/>
      </w:pPr>
      <w:r>
        <w:separator/>
      </w:r>
    </w:p>
  </w:footnote>
  <w:footnote w:type="continuationSeparator" w:id="0">
    <w:p w:rsidR="006D3509" w:rsidRDefault="006D3509" w:rsidP="00D84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0"/>
        </w:tabs>
        <w:ind w:left="870" w:hanging="360"/>
      </w:pPr>
      <w:rPr>
        <w:rFonts w:ascii="Symbol" w:hAnsi="Symbol"/>
      </w:rPr>
    </w:lvl>
    <w:lvl w:ilvl="1">
      <w:start w:val="1"/>
      <w:numFmt w:val="bullet"/>
      <w:lvlText w:val="o"/>
      <w:lvlJc w:val="left"/>
      <w:pPr>
        <w:tabs>
          <w:tab w:val="num" w:pos="0"/>
        </w:tabs>
        <w:ind w:left="1590" w:hanging="360"/>
      </w:pPr>
      <w:rPr>
        <w:rFonts w:ascii="Courier New" w:hAnsi="Courier New" w:cs="Courier New"/>
      </w:rPr>
    </w:lvl>
    <w:lvl w:ilvl="2">
      <w:start w:val="1"/>
      <w:numFmt w:val="bullet"/>
      <w:lvlText w:val=""/>
      <w:lvlJc w:val="left"/>
      <w:pPr>
        <w:tabs>
          <w:tab w:val="num" w:pos="0"/>
        </w:tabs>
        <w:ind w:left="2310" w:hanging="360"/>
      </w:pPr>
      <w:rPr>
        <w:rFonts w:ascii="Wingdings" w:hAnsi="Wingdings"/>
      </w:rPr>
    </w:lvl>
    <w:lvl w:ilvl="3">
      <w:start w:val="1"/>
      <w:numFmt w:val="bullet"/>
      <w:lvlText w:val=""/>
      <w:lvlJc w:val="left"/>
      <w:pPr>
        <w:tabs>
          <w:tab w:val="num" w:pos="0"/>
        </w:tabs>
        <w:ind w:left="3030" w:hanging="360"/>
      </w:pPr>
      <w:rPr>
        <w:rFonts w:ascii="Symbol" w:hAnsi="Symbol"/>
      </w:rPr>
    </w:lvl>
    <w:lvl w:ilvl="4">
      <w:start w:val="1"/>
      <w:numFmt w:val="bullet"/>
      <w:lvlText w:val="o"/>
      <w:lvlJc w:val="left"/>
      <w:pPr>
        <w:tabs>
          <w:tab w:val="num" w:pos="0"/>
        </w:tabs>
        <w:ind w:left="3750" w:hanging="360"/>
      </w:pPr>
      <w:rPr>
        <w:rFonts w:ascii="Courier New" w:hAnsi="Courier New" w:cs="Courier New"/>
      </w:rPr>
    </w:lvl>
    <w:lvl w:ilvl="5">
      <w:start w:val="1"/>
      <w:numFmt w:val="bullet"/>
      <w:lvlText w:val=""/>
      <w:lvlJc w:val="left"/>
      <w:pPr>
        <w:tabs>
          <w:tab w:val="num" w:pos="0"/>
        </w:tabs>
        <w:ind w:left="4470" w:hanging="360"/>
      </w:pPr>
      <w:rPr>
        <w:rFonts w:ascii="Wingdings" w:hAnsi="Wingdings"/>
      </w:rPr>
    </w:lvl>
    <w:lvl w:ilvl="6">
      <w:start w:val="1"/>
      <w:numFmt w:val="bullet"/>
      <w:lvlText w:val=""/>
      <w:lvlJc w:val="left"/>
      <w:pPr>
        <w:tabs>
          <w:tab w:val="num" w:pos="0"/>
        </w:tabs>
        <w:ind w:left="5190" w:hanging="360"/>
      </w:pPr>
      <w:rPr>
        <w:rFonts w:ascii="Symbol" w:hAnsi="Symbol"/>
      </w:rPr>
    </w:lvl>
    <w:lvl w:ilvl="7">
      <w:start w:val="1"/>
      <w:numFmt w:val="bullet"/>
      <w:lvlText w:val="o"/>
      <w:lvlJc w:val="left"/>
      <w:pPr>
        <w:tabs>
          <w:tab w:val="num" w:pos="0"/>
        </w:tabs>
        <w:ind w:left="5910" w:hanging="360"/>
      </w:pPr>
      <w:rPr>
        <w:rFonts w:ascii="Courier New" w:hAnsi="Courier New" w:cs="Courier New"/>
      </w:rPr>
    </w:lvl>
    <w:lvl w:ilvl="8">
      <w:start w:val="1"/>
      <w:numFmt w:val="bullet"/>
      <w:lvlText w:val=""/>
      <w:lvlJc w:val="left"/>
      <w:pPr>
        <w:tabs>
          <w:tab w:val="num" w:pos="0"/>
        </w:tabs>
        <w:ind w:left="6630" w:hanging="360"/>
      </w:pPr>
      <w:rPr>
        <w:rFonts w:ascii="Wingdings" w:hAnsi="Wingdings"/>
      </w:rPr>
    </w:lvl>
  </w:abstractNum>
  <w:abstractNum w:abstractNumId="1">
    <w:nsid w:val="1A747960"/>
    <w:multiLevelType w:val="hybridMultilevel"/>
    <w:tmpl w:val="AA5A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C01BD"/>
    <w:multiLevelType w:val="multilevel"/>
    <w:tmpl w:val="DA0A435A"/>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F1A37"/>
    <w:rsid w:val="003F00CE"/>
    <w:rsid w:val="005C2382"/>
    <w:rsid w:val="006B13C1"/>
    <w:rsid w:val="006D0F61"/>
    <w:rsid w:val="006D3509"/>
    <w:rsid w:val="00730B4D"/>
    <w:rsid w:val="007E24EA"/>
    <w:rsid w:val="00827047"/>
    <w:rsid w:val="008B7EDB"/>
    <w:rsid w:val="00935BF0"/>
    <w:rsid w:val="009622C3"/>
    <w:rsid w:val="00B46992"/>
    <w:rsid w:val="00B96D1E"/>
    <w:rsid w:val="00C66FD0"/>
    <w:rsid w:val="00D84DF0"/>
    <w:rsid w:val="00DC6CCC"/>
    <w:rsid w:val="00DD4B07"/>
    <w:rsid w:val="00E20978"/>
    <w:rsid w:val="00EF1A37"/>
    <w:rsid w:val="00F66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FD0"/>
    <w:pPr>
      <w:ind w:left="720"/>
      <w:contextualSpacing/>
    </w:pPr>
  </w:style>
  <w:style w:type="paragraph" w:styleId="BalloonText">
    <w:name w:val="Balloon Text"/>
    <w:basedOn w:val="Normal"/>
    <w:link w:val="BalloonTextChar"/>
    <w:uiPriority w:val="99"/>
    <w:semiHidden/>
    <w:unhideWhenUsed/>
    <w:rsid w:val="00DC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CCC"/>
    <w:rPr>
      <w:rFonts w:ascii="Tahoma" w:hAnsi="Tahoma" w:cs="Tahoma"/>
      <w:sz w:val="16"/>
      <w:szCs w:val="16"/>
    </w:rPr>
  </w:style>
  <w:style w:type="paragraph" w:customStyle="1" w:styleId="TableContents">
    <w:name w:val="Table Contents"/>
    <w:basedOn w:val="Normal"/>
    <w:rsid w:val="00B46992"/>
    <w:pPr>
      <w:widowControl w:val="0"/>
      <w:suppressLineNumbers/>
      <w:suppressAutoHyphens/>
      <w:spacing w:after="0" w:line="240" w:lineRule="auto"/>
    </w:pPr>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D84D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DF0"/>
  </w:style>
  <w:style w:type="paragraph" w:styleId="Footer">
    <w:name w:val="footer"/>
    <w:basedOn w:val="Normal"/>
    <w:link w:val="FooterChar"/>
    <w:uiPriority w:val="99"/>
    <w:unhideWhenUsed/>
    <w:rsid w:val="00D84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DF0"/>
  </w:style>
</w:styles>
</file>

<file path=word/webSettings.xml><?xml version="1.0" encoding="utf-8"?>
<w:webSettings xmlns:r="http://schemas.openxmlformats.org/officeDocument/2006/relationships" xmlns:w="http://schemas.openxmlformats.org/wordprocessingml/2006/main">
  <w:divs>
    <w:div w:id="786463086">
      <w:bodyDiv w:val="1"/>
      <w:marLeft w:val="0"/>
      <w:marRight w:val="0"/>
      <w:marTop w:val="0"/>
      <w:marBottom w:val="0"/>
      <w:divBdr>
        <w:top w:val="none" w:sz="0" w:space="0" w:color="auto"/>
        <w:left w:val="none" w:sz="0" w:space="0" w:color="auto"/>
        <w:bottom w:val="none" w:sz="0" w:space="0" w:color="auto"/>
        <w:right w:val="none" w:sz="0" w:space="0" w:color="auto"/>
      </w:divBdr>
    </w:div>
    <w:div w:id="10957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BC Membership by Number</a:t>
            </a:r>
          </a:p>
          <a:p>
            <a:pPr>
              <a:defRPr/>
            </a:pPr>
            <a:r>
              <a:rPr lang="en-US"/>
              <a:t> 2014 - 2017</a:t>
            </a:r>
          </a:p>
        </c:rich>
      </c:tx>
      <c:layout>
        <c:manualLayout>
          <c:xMode val="edge"/>
          <c:yMode val="edge"/>
          <c:x val="0.20493044619422576"/>
          <c:y val="3.2407407407407413E-2"/>
        </c:manualLayout>
      </c:layout>
    </c:title>
    <c:plotArea>
      <c:layout/>
      <c:barChart>
        <c:barDir val="col"/>
        <c:grouping val="clustered"/>
        <c:ser>
          <c:idx val="0"/>
          <c:order val="0"/>
          <c:tx>
            <c:strRef>
              <c:f>Summary!$C$5</c:f>
              <c:strCache>
                <c:ptCount val="1"/>
                <c:pt idx="0">
                  <c:v>2014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Summary!$C$6:$C$10</c:f>
              <c:numCache>
                <c:formatCode>General</c:formatCode>
                <c:ptCount val="5"/>
                <c:pt idx="0">
                  <c:v>1</c:v>
                </c:pt>
                <c:pt idx="1">
                  <c:v>1</c:v>
                </c:pt>
                <c:pt idx="2">
                  <c:v>9</c:v>
                </c:pt>
                <c:pt idx="3">
                  <c:v>2</c:v>
                </c:pt>
                <c:pt idx="4">
                  <c:v>38</c:v>
                </c:pt>
              </c:numCache>
            </c:numRef>
          </c:val>
        </c:ser>
        <c:ser>
          <c:idx val="1"/>
          <c:order val="1"/>
          <c:tx>
            <c:strRef>
              <c:f>Summary!$E$5</c:f>
              <c:strCache>
                <c:ptCount val="1"/>
                <c:pt idx="0">
                  <c:v>2015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Summary!$E$6:$E$10</c:f>
              <c:numCache>
                <c:formatCode>General</c:formatCode>
                <c:ptCount val="5"/>
                <c:pt idx="0">
                  <c:v>2</c:v>
                </c:pt>
                <c:pt idx="1">
                  <c:v>4</c:v>
                </c:pt>
                <c:pt idx="2">
                  <c:v>9</c:v>
                </c:pt>
                <c:pt idx="3">
                  <c:v>3</c:v>
                </c:pt>
                <c:pt idx="4">
                  <c:v>42</c:v>
                </c:pt>
              </c:numCache>
            </c:numRef>
          </c:val>
        </c:ser>
        <c:ser>
          <c:idx val="2"/>
          <c:order val="2"/>
          <c:tx>
            <c:strRef>
              <c:f>Summary!$G$5</c:f>
              <c:strCache>
                <c:ptCount val="1"/>
                <c:pt idx="0">
                  <c:v>2016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Summary!$G$6:$G$10</c:f>
              <c:numCache>
                <c:formatCode>General</c:formatCode>
                <c:ptCount val="5"/>
                <c:pt idx="0">
                  <c:v>5</c:v>
                </c:pt>
                <c:pt idx="1">
                  <c:v>5</c:v>
                </c:pt>
                <c:pt idx="2">
                  <c:v>8</c:v>
                </c:pt>
                <c:pt idx="3">
                  <c:v>2</c:v>
                </c:pt>
                <c:pt idx="4">
                  <c:v>44</c:v>
                </c:pt>
              </c:numCache>
            </c:numRef>
          </c:val>
        </c:ser>
        <c:ser>
          <c:idx val="3"/>
          <c:order val="3"/>
          <c:tx>
            <c:strRef>
              <c:f>Summary!$I$5</c:f>
              <c:strCache>
                <c:ptCount val="1"/>
                <c:pt idx="0">
                  <c:v>2017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Summary!$I$6:$I$10</c:f>
              <c:numCache>
                <c:formatCode>General</c:formatCode>
                <c:ptCount val="5"/>
                <c:pt idx="0">
                  <c:v>6</c:v>
                </c:pt>
                <c:pt idx="1">
                  <c:v>5</c:v>
                </c:pt>
                <c:pt idx="2">
                  <c:v>7</c:v>
                </c:pt>
                <c:pt idx="3">
                  <c:v>2</c:v>
                </c:pt>
                <c:pt idx="4">
                  <c:v>39</c:v>
                </c:pt>
              </c:numCache>
            </c:numRef>
          </c:val>
        </c:ser>
        <c:axId val="97559296"/>
        <c:axId val="97560832"/>
      </c:barChart>
      <c:catAx>
        <c:axId val="97559296"/>
        <c:scaling>
          <c:orientation val="minMax"/>
        </c:scaling>
        <c:axPos val="b"/>
        <c:tickLblPos val="nextTo"/>
        <c:crossAx val="97560832"/>
        <c:crosses val="autoZero"/>
        <c:auto val="1"/>
        <c:lblAlgn val="ctr"/>
        <c:lblOffset val="100"/>
      </c:catAx>
      <c:valAx>
        <c:axId val="97560832"/>
        <c:scaling>
          <c:orientation val="minMax"/>
        </c:scaling>
        <c:axPos val="l"/>
        <c:majorGridlines/>
        <c:numFmt formatCode="General" sourceLinked="1"/>
        <c:tickLblPos val="nextTo"/>
        <c:crossAx val="9755929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BC Membership by Percentage </a:t>
            </a:r>
          </a:p>
          <a:p>
            <a:pPr>
              <a:defRPr/>
            </a:pPr>
            <a:r>
              <a:rPr lang="en-US"/>
              <a:t>2014 - 2017</a:t>
            </a:r>
          </a:p>
        </c:rich>
      </c:tx>
    </c:title>
    <c:plotArea>
      <c:layout/>
      <c:barChart>
        <c:barDir val="col"/>
        <c:grouping val="clustered"/>
        <c:ser>
          <c:idx val="0"/>
          <c:order val="0"/>
          <c:tx>
            <c:strRef>
              <c:f>Summary!$D$5</c:f>
              <c:strCache>
                <c:ptCount val="1"/>
                <c:pt idx="0">
                  <c:v>2014 Membership by %</c:v>
                </c:pt>
              </c:strCache>
            </c:strRef>
          </c:tx>
          <c:cat>
            <c:strRef>
              <c:f>Summary!$B$6:$B$10</c:f>
              <c:strCache>
                <c:ptCount val="5"/>
                <c:pt idx="0">
                  <c:v>Africa</c:v>
                </c:pt>
                <c:pt idx="1">
                  <c:v>Asia</c:v>
                </c:pt>
                <c:pt idx="2">
                  <c:v>Europe</c:v>
                </c:pt>
                <c:pt idx="3">
                  <c:v>Latin America</c:v>
                </c:pt>
                <c:pt idx="4">
                  <c:v>North America</c:v>
                </c:pt>
              </c:strCache>
            </c:strRef>
          </c:cat>
          <c:val>
            <c:numRef>
              <c:f>Summary!$D$6:$D$10</c:f>
              <c:numCache>
                <c:formatCode>_(* #,##0_);_(* \(#,##0\);_(* "-"??_);_(@_)</c:formatCode>
                <c:ptCount val="5"/>
                <c:pt idx="0">
                  <c:v>1.9607843137254899</c:v>
                </c:pt>
                <c:pt idx="1">
                  <c:v>1.9607843137254899</c:v>
                </c:pt>
                <c:pt idx="2">
                  <c:v>17.647058823529417</c:v>
                </c:pt>
                <c:pt idx="3">
                  <c:v>3.9215686274509798</c:v>
                </c:pt>
                <c:pt idx="4">
                  <c:v>74.509803921568633</c:v>
                </c:pt>
              </c:numCache>
            </c:numRef>
          </c:val>
        </c:ser>
        <c:ser>
          <c:idx val="1"/>
          <c:order val="1"/>
          <c:tx>
            <c:strRef>
              <c:f>Summary!$F$5</c:f>
              <c:strCache>
                <c:ptCount val="1"/>
                <c:pt idx="0">
                  <c:v>2015 Membership by %</c:v>
                </c:pt>
              </c:strCache>
            </c:strRef>
          </c:tx>
          <c:cat>
            <c:strRef>
              <c:f>Summary!$B$6:$B$10</c:f>
              <c:strCache>
                <c:ptCount val="5"/>
                <c:pt idx="0">
                  <c:v>Africa</c:v>
                </c:pt>
                <c:pt idx="1">
                  <c:v>Asia</c:v>
                </c:pt>
                <c:pt idx="2">
                  <c:v>Europe</c:v>
                </c:pt>
                <c:pt idx="3">
                  <c:v>Latin America</c:v>
                </c:pt>
                <c:pt idx="4">
                  <c:v>North America</c:v>
                </c:pt>
              </c:strCache>
            </c:strRef>
          </c:cat>
          <c:val>
            <c:numRef>
              <c:f>Summary!$F$6:$F$10</c:f>
              <c:numCache>
                <c:formatCode>_(* #,##0_);_(* \(#,##0\);_(* "-"??_);_(@_)</c:formatCode>
                <c:ptCount val="5"/>
                <c:pt idx="0">
                  <c:v>3.3333333333333335</c:v>
                </c:pt>
                <c:pt idx="1">
                  <c:v>6.666666666666667</c:v>
                </c:pt>
                <c:pt idx="2">
                  <c:v>15</c:v>
                </c:pt>
                <c:pt idx="3">
                  <c:v>5</c:v>
                </c:pt>
                <c:pt idx="4">
                  <c:v>70</c:v>
                </c:pt>
              </c:numCache>
            </c:numRef>
          </c:val>
        </c:ser>
        <c:ser>
          <c:idx val="2"/>
          <c:order val="2"/>
          <c:tx>
            <c:strRef>
              <c:f>Summary!$H$5</c:f>
              <c:strCache>
                <c:ptCount val="1"/>
                <c:pt idx="0">
                  <c:v>2016 Membership by %</c:v>
                </c:pt>
              </c:strCache>
            </c:strRef>
          </c:tx>
          <c:cat>
            <c:strRef>
              <c:f>Summary!$B$6:$B$10</c:f>
              <c:strCache>
                <c:ptCount val="5"/>
                <c:pt idx="0">
                  <c:v>Africa</c:v>
                </c:pt>
                <c:pt idx="1">
                  <c:v>Asia</c:v>
                </c:pt>
                <c:pt idx="2">
                  <c:v>Europe</c:v>
                </c:pt>
                <c:pt idx="3">
                  <c:v>Latin America</c:v>
                </c:pt>
                <c:pt idx="4">
                  <c:v>North America</c:v>
                </c:pt>
              </c:strCache>
            </c:strRef>
          </c:cat>
          <c:val>
            <c:numRef>
              <c:f>Summary!$H$6:$H$10</c:f>
              <c:numCache>
                <c:formatCode>0</c:formatCode>
                <c:ptCount val="5"/>
                <c:pt idx="0">
                  <c:v>7.8124999999999991</c:v>
                </c:pt>
                <c:pt idx="1">
                  <c:v>7.8124999999999991</c:v>
                </c:pt>
                <c:pt idx="2">
                  <c:v>12.5</c:v>
                </c:pt>
                <c:pt idx="3">
                  <c:v>3.125</c:v>
                </c:pt>
                <c:pt idx="4">
                  <c:v>68.75</c:v>
                </c:pt>
              </c:numCache>
            </c:numRef>
          </c:val>
        </c:ser>
        <c:ser>
          <c:idx val="3"/>
          <c:order val="3"/>
          <c:tx>
            <c:strRef>
              <c:f>Summary!$J$5</c:f>
              <c:strCache>
                <c:ptCount val="1"/>
                <c:pt idx="0">
                  <c:v>2017 Membership by %</c:v>
                </c:pt>
              </c:strCache>
            </c:strRef>
          </c:tx>
          <c:cat>
            <c:strRef>
              <c:f>Summary!$B$6:$B$10</c:f>
              <c:strCache>
                <c:ptCount val="5"/>
                <c:pt idx="0">
                  <c:v>Africa</c:v>
                </c:pt>
                <c:pt idx="1">
                  <c:v>Asia</c:v>
                </c:pt>
                <c:pt idx="2">
                  <c:v>Europe</c:v>
                </c:pt>
                <c:pt idx="3">
                  <c:v>Latin America</c:v>
                </c:pt>
                <c:pt idx="4">
                  <c:v>North America</c:v>
                </c:pt>
              </c:strCache>
            </c:strRef>
          </c:cat>
          <c:val>
            <c:numRef>
              <c:f>Summary!$J$6:$J$10</c:f>
              <c:numCache>
                <c:formatCode>0</c:formatCode>
                <c:ptCount val="5"/>
                <c:pt idx="0">
                  <c:v>10.169491525423732</c:v>
                </c:pt>
                <c:pt idx="1">
                  <c:v>8.4745762711864412</c:v>
                </c:pt>
                <c:pt idx="2">
                  <c:v>11.864406779661021</c:v>
                </c:pt>
                <c:pt idx="3">
                  <c:v>3.3898305084745766</c:v>
                </c:pt>
                <c:pt idx="4">
                  <c:v>66.101694915254242</c:v>
                </c:pt>
              </c:numCache>
            </c:numRef>
          </c:val>
        </c:ser>
        <c:axId val="110588288"/>
        <c:axId val="110589824"/>
      </c:barChart>
      <c:catAx>
        <c:axId val="110588288"/>
        <c:scaling>
          <c:orientation val="minMax"/>
        </c:scaling>
        <c:axPos val="b"/>
        <c:majorTickMark val="none"/>
        <c:tickLblPos val="nextTo"/>
        <c:crossAx val="110589824"/>
        <c:crosses val="autoZero"/>
        <c:auto val="1"/>
        <c:lblAlgn val="ctr"/>
        <c:lblOffset val="100"/>
      </c:catAx>
      <c:valAx>
        <c:axId val="110589824"/>
        <c:scaling>
          <c:orientation val="minMax"/>
        </c:scaling>
        <c:axPos val="l"/>
        <c:majorGridlines/>
        <c:numFmt formatCode="_(* #,##0_);_(* \(#,##0\);_(* &quot;-&quot;??_);_(@_)" sourceLinked="1"/>
        <c:majorTickMark val="none"/>
        <c:tickLblPos val="nextTo"/>
        <c:crossAx val="110588288"/>
        <c:crosses val="autoZero"/>
        <c:crossBetween val="between"/>
      </c:valAx>
    </c:plotArea>
    <c:legend>
      <c:legendPos val="r"/>
      <c:layout>
        <c:manualLayout>
          <c:xMode val="edge"/>
          <c:yMode val="edge"/>
          <c:x val="0.68602104934902963"/>
          <c:y val="0.28383858267716561"/>
          <c:w val="0.20044759751565719"/>
          <c:h val="0.63579469233012686"/>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Small and Large Business Membership</a:t>
            </a:r>
          </a:p>
        </c:rich>
      </c:tx>
    </c:title>
    <c:plotArea>
      <c:layout/>
      <c:lineChart>
        <c:grouping val="standard"/>
        <c:ser>
          <c:idx val="0"/>
          <c:order val="0"/>
          <c:tx>
            <c:strRef>
              <c:f>Summary!$C$33</c:f>
              <c:strCache>
                <c:ptCount val="1"/>
                <c:pt idx="0">
                  <c:v>No of Small Biz</c:v>
                </c:pt>
              </c:strCache>
            </c:strRef>
          </c:tx>
          <c:marker>
            <c:symbol val="none"/>
          </c:marker>
          <c:cat>
            <c:strRef>
              <c:f>Summary!$B$34:$B$37</c:f>
              <c:strCache>
                <c:ptCount val="4"/>
                <c:pt idx="0">
                  <c:v>Y2014</c:v>
                </c:pt>
                <c:pt idx="1">
                  <c:v>Y2015</c:v>
                </c:pt>
                <c:pt idx="2">
                  <c:v>Y2016</c:v>
                </c:pt>
                <c:pt idx="3">
                  <c:v>Y2017</c:v>
                </c:pt>
              </c:strCache>
            </c:strRef>
          </c:cat>
          <c:val>
            <c:numRef>
              <c:f>Summary!$C$34:$C$37</c:f>
              <c:numCache>
                <c:formatCode>General</c:formatCode>
                <c:ptCount val="4"/>
                <c:pt idx="0">
                  <c:v>18</c:v>
                </c:pt>
                <c:pt idx="1">
                  <c:v>21</c:v>
                </c:pt>
                <c:pt idx="2">
                  <c:v>25</c:v>
                </c:pt>
                <c:pt idx="3">
                  <c:v>26</c:v>
                </c:pt>
              </c:numCache>
            </c:numRef>
          </c:val>
        </c:ser>
        <c:ser>
          <c:idx val="1"/>
          <c:order val="1"/>
          <c:tx>
            <c:strRef>
              <c:f>Summary!$D$33</c:f>
              <c:strCache>
                <c:ptCount val="1"/>
                <c:pt idx="0">
                  <c:v>Large Biz</c:v>
                </c:pt>
              </c:strCache>
            </c:strRef>
          </c:tx>
          <c:marker>
            <c:symbol val="none"/>
          </c:marker>
          <c:cat>
            <c:strRef>
              <c:f>Summary!$B$34:$B$37</c:f>
              <c:strCache>
                <c:ptCount val="4"/>
                <c:pt idx="0">
                  <c:v>Y2014</c:v>
                </c:pt>
                <c:pt idx="1">
                  <c:v>Y2015</c:v>
                </c:pt>
                <c:pt idx="2">
                  <c:v>Y2016</c:v>
                </c:pt>
                <c:pt idx="3">
                  <c:v>Y2017</c:v>
                </c:pt>
              </c:strCache>
            </c:strRef>
          </c:cat>
          <c:val>
            <c:numRef>
              <c:f>Summary!$D$34:$D$37</c:f>
              <c:numCache>
                <c:formatCode>General</c:formatCode>
                <c:ptCount val="4"/>
                <c:pt idx="0">
                  <c:v>33</c:v>
                </c:pt>
                <c:pt idx="1">
                  <c:v>39</c:v>
                </c:pt>
                <c:pt idx="2">
                  <c:v>39</c:v>
                </c:pt>
                <c:pt idx="3">
                  <c:v>33</c:v>
                </c:pt>
              </c:numCache>
            </c:numRef>
          </c:val>
        </c:ser>
        <c:marker val="1"/>
        <c:axId val="110610688"/>
        <c:axId val="110620672"/>
      </c:lineChart>
      <c:catAx>
        <c:axId val="110610688"/>
        <c:scaling>
          <c:orientation val="minMax"/>
        </c:scaling>
        <c:axPos val="b"/>
        <c:majorTickMark val="none"/>
        <c:tickLblPos val="nextTo"/>
        <c:crossAx val="110620672"/>
        <c:crosses val="autoZero"/>
        <c:auto val="1"/>
        <c:lblAlgn val="ctr"/>
        <c:lblOffset val="100"/>
      </c:catAx>
      <c:valAx>
        <c:axId val="110620672"/>
        <c:scaling>
          <c:orientation val="minMax"/>
        </c:scaling>
        <c:axPos val="l"/>
        <c:majorGridlines/>
        <c:title>
          <c:tx>
            <c:rich>
              <a:bodyPr/>
              <a:lstStyle/>
              <a:p>
                <a:pPr>
                  <a:defRPr/>
                </a:pPr>
                <a:r>
                  <a:rPr lang="en-US"/>
                  <a:t>Number of Members</a:t>
                </a:r>
              </a:p>
            </c:rich>
          </c:tx>
        </c:title>
        <c:numFmt formatCode="General" sourceLinked="1"/>
        <c:majorTickMark val="none"/>
        <c:tickLblPos val="nextTo"/>
        <c:crossAx val="11061068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OAuGF-LIB-7PC</dc:creator>
  <cp:lastModifiedBy>OAuGF-LIB-7PC</cp:lastModifiedBy>
  <cp:revision>4</cp:revision>
  <dcterms:created xsi:type="dcterms:W3CDTF">2017-01-13T17:21:00Z</dcterms:created>
  <dcterms:modified xsi:type="dcterms:W3CDTF">2017-01-13T21:53:00Z</dcterms:modified>
</cp:coreProperties>
</file>