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Outreach Committee has the overall responsibility for overseeing the input to the ICANN processes on activities that advance engagement and outreach.  The BC ExComm has overall review responsibility.  The BC members have supported consistent and predictable support to the GNSO gTLD Policy Councilors for travel, as well as for elected officers.  Our members also support funding to broaden engagement and awareness across all stakeholder groups, and also have applied for, and been approved for specific activities that enable both awareness and senior executive recruitment. </w:t>
      </w:r>
    </w:p>
    <w:p w:rsidR="00BF34AF" w:rsidRPr="005C397D" w:rsidRDefault="00BF34AF"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BC’s own analysis indicates that more clarification of characteristics of different stakeholder groups could improve the ICANN Fellowship Program’s effectiveness</w:t>
      </w:r>
      <w:r w:rsidR="00BF34AF" w:rsidRPr="005C397D">
        <w:rPr>
          <w:rFonts w:ascii="Times" w:hAnsi="Times"/>
          <w:color w:val="000000"/>
          <w:szCs w:val="32"/>
        </w:rPr>
        <w:t>, as we have found that sometimes applicants identify as business users, but are not actually eligible to join the BC</w:t>
      </w:r>
      <w:r w:rsidRPr="005C397D">
        <w:rPr>
          <w:rFonts w:ascii="Times" w:hAnsi="Times"/>
          <w:color w:val="000000"/>
          <w:szCs w:val="32"/>
        </w:rPr>
        <w:t xml:space="preserve">. </w:t>
      </w:r>
      <w:r w:rsidR="00BF34AF" w:rsidRPr="005C397D">
        <w:rPr>
          <w:rFonts w:ascii="Times" w:hAnsi="Times"/>
          <w:color w:val="000000"/>
          <w:szCs w:val="32"/>
        </w:rPr>
        <w:t xml:space="preserve"> We propose later that clarification of requirements to be part of any of the ICANN community could address this confusion. </w:t>
      </w:r>
    </w:p>
    <w:p w:rsidR="00BF34AF" w:rsidRPr="005C397D" w:rsidRDefault="00BF34AF"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Nevertheless, as this program is designed to support ICANN generally, while the BC sees opportunities for improvements, we overall support ICANN’s initiative to seek comments from those most effected – at the constituency level. </w:t>
      </w:r>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ICANN Community Travel Support Guidelines: </w:t>
      </w:r>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We have asked often to have an additional officer</w:t>
      </w:r>
      <w:r w:rsidR="00973023" w:rsidRPr="005C397D">
        <w:rPr>
          <w:rFonts w:ascii="Times" w:hAnsi="Times"/>
          <w:color w:val="000000"/>
          <w:szCs w:val="32"/>
        </w:rPr>
        <w:t xml:space="preserve">. </w:t>
      </w:r>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gNSO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 </w:t>
      </w:r>
      <w:r w:rsidRPr="005C397D">
        <w:rPr>
          <w:rFonts w:ascii="Times" w:hAnsi="Times"/>
          <w:color w:val="000000"/>
          <w:szCs w:val="32"/>
        </w:rPr>
        <w:t xml:space="preserve"> Still, the funding that we provide is modeled after CROP, in the event that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Description of </w:t>
      </w:r>
      <w:r w:rsidR="00973023" w:rsidRPr="005C397D">
        <w:rPr>
          <w:rFonts w:ascii="Times" w:hAnsi="Times"/>
          <w:color w:val="000000"/>
          <w:szCs w:val="32"/>
        </w:rPr>
        <w:t xml:space="preserve">BC  </w:t>
      </w:r>
      <w:r w:rsidR="00172CF7" w:rsidRPr="005C397D">
        <w:rPr>
          <w:rFonts w:ascii="Times" w:hAnsi="Times"/>
          <w:color w:val="000000"/>
          <w:szCs w:val="32"/>
        </w:rPr>
        <w:t>Requirements</w:t>
      </w:r>
      <w:r w:rsidR="00973023" w:rsidRPr="005C397D">
        <w:rPr>
          <w:rFonts w:ascii="Times" w:hAnsi="Times"/>
          <w:color w:val="000000"/>
          <w:szCs w:val="32"/>
        </w:rPr>
        <w:t xml:space="preserve"> for funding of an event to do Outreach or Member Recruitment</w:t>
      </w:r>
      <w:r w:rsidR="00172CF7" w:rsidRPr="005C397D">
        <w:rPr>
          <w:rFonts w:ascii="Times" w:hAnsi="Times"/>
          <w:color w:val="000000"/>
          <w:szCs w:val="32"/>
        </w:rPr>
        <w:t>:</w:t>
      </w:r>
      <w:r w:rsidRPr="005C397D">
        <w:rPr>
          <w:rFonts w:ascii="Times" w:hAnsi="Times"/>
          <w:color w:val="000000"/>
          <w:szCs w:val="32"/>
        </w:rPr>
        <w:t xml:space="preserve"> We have a well defined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or recruitment, or both.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half day pre ICANN session in Johannesberg, 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r w:rsidR="001E1817" w:rsidRPr="005C397D">
        <w:rPr>
          <w:rFonts w:ascii="Times" w:hAnsi="Times"/>
          <w:b/>
          <w:i/>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are supported are already reporting to their communities, so we are not asking that there be 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r w:rsidR="001E1817" w:rsidRPr="005C397D">
        <w:rPr>
          <w:rFonts w:ascii="Times" w:hAnsi="Times"/>
          <w:b/>
          <w:i/>
          <w:color w:val="000000"/>
          <w:szCs w:val="32"/>
        </w:rPr>
        <w:t xml:space="preserve">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Unfortunately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program, for instance. </w:t>
      </w:r>
      <w:r w:rsidR="00513EE9" w:rsidRPr="005C397D">
        <w:rPr>
          <w:rFonts w:ascii="Times" w:hAnsi="Times"/>
          <w:color w:val="000000"/>
          <w:szCs w:val="32"/>
        </w:rPr>
        <w:t xml:space="preserve"> </w:t>
      </w:r>
      <w:r w:rsidR="00BC33C5" w:rsidRPr="005C397D">
        <w:rPr>
          <w:rFonts w:ascii="Times" w:hAnsi="Times"/>
          <w:color w:val="000000"/>
          <w:szCs w:val="32"/>
        </w:rPr>
        <w:t xml:space="preserve">Request: can a </w:t>
      </w:r>
      <w:r w:rsidR="00513EE9" w:rsidRPr="005C397D">
        <w:rPr>
          <w:rFonts w:ascii="Times" w:hAnsi="Times"/>
          <w:color w:val="000000"/>
          <w:szCs w:val="32"/>
        </w:rPr>
        <w:t xml:space="preserve"> possible exception is possible, if there is no request for visa support, to allow a 4 week deadline. </w:t>
      </w:r>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Fellowships are not easily available as a resource to business users due to lack of clarity in definition</w:t>
      </w:r>
    </w:p>
    <w:p w:rsidR="003720D0" w:rsidRPr="005C397D" w:rsidRDefault="003720D0"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Fellowship program</w:t>
      </w:r>
      <w:r w:rsidR="00BC33C5" w:rsidRPr="005C397D">
        <w:rPr>
          <w:rFonts w:ascii="Times" w:hAnsi="Times"/>
          <w:color w:val="000000"/>
          <w:szCs w:val="32"/>
        </w:rPr>
        <w:t xml:space="preserve"> does not serve the BC</w:t>
      </w:r>
      <w:r w:rsidR="001E1817" w:rsidRPr="005C397D">
        <w:rPr>
          <w:rFonts w:ascii="Times" w:hAnsi="Times"/>
          <w:color w:val="000000"/>
          <w:szCs w:val="32"/>
        </w:rPr>
        <w:t xml:space="preserve"> well. Of the 650 Fellows over the last ten years,</w:t>
      </w:r>
      <w:r w:rsidR="00FD0841" w:rsidRPr="005C397D">
        <w:rPr>
          <w:rFonts w:ascii="Times" w:hAnsi="Times"/>
          <w:color w:val="000000"/>
          <w:szCs w:val="32"/>
        </w:rPr>
        <w:t xml:space="preserve"> </w:t>
      </w:r>
      <w:r w:rsidR="001E1817" w:rsidRPr="005C397D">
        <w:rPr>
          <w:rFonts w:ascii="Times" w:hAnsi="Times"/>
          <w:color w:val="000000"/>
          <w:szCs w:val="32"/>
        </w:rPr>
        <w: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identified as business was with a law firm, and had already joined the IPC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had joined the NCUC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with a governmental agency, and has since left that employment to join ICANN staff</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an ISP and had already joined the ISPCP</w:t>
      </w: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60 who said they were with business, an informal review notes that only 5-</w:t>
      </w:r>
      <w:r w:rsidR="00FD0841" w:rsidRPr="005C397D">
        <w:rPr>
          <w:rFonts w:ascii="Times" w:hAnsi="Times"/>
          <w:color w:val="000000"/>
          <w:szCs w:val="32"/>
        </w:rPr>
        <w:t xml:space="preserve"> 6 who said they were business attended </w:t>
      </w:r>
      <w:r w:rsidRPr="005C397D">
        <w:rPr>
          <w:rFonts w:ascii="Times" w:hAnsi="Times"/>
          <w:color w:val="000000"/>
          <w:szCs w:val="32"/>
        </w:rPr>
        <w:t xml:space="preserve">2 times, and 4 attended 3 times. </w:t>
      </w:r>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bios of the applicants who are chosen as fellows must 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 well defined description of the various categories should be provided by the relevant constituency/groups, and posted online</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NextGen. </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r w:rsidR="00435F52" w:rsidRPr="005C397D">
        <w:rPr>
          <w:rFonts w:ascii="Times" w:hAnsi="Times"/>
          <w:color w:val="000000"/>
          <w:szCs w:val="32"/>
        </w:rPr>
        <w:t>Evaluators: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 process</w:t>
      </w:r>
      <w:r w:rsidR="00435F52" w:rsidRPr="005C397D">
        <w:rPr>
          <w:rFonts w:ascii="Times" w:hAnsi="Times"/>
          <w:color w:val="000000"/>
          <w:szCs w:val="32"/>
        </w:rPr>
        <w:t xml:space="preserve"> and also hear feedback</w:t>
      </w:r>
      <w:r w:rsidRPr="005C397D">
        <w:rPr>
          <w:rFonts w:ascii="Times" w:hAnsi="Times"/>
          <w:color w:val="000000"/>
          <w:szCs w:val="32"/>
        </w:rPr>
        <w:t>.</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-As no member of the business user community has ever been included as an evaluator, we are not able to comment further on the process undertaken, but as this is now the 10</w:t>
      </w:r>
      <w:r w:rsidRPr="005C397D">
        <w:rPr>
          <w:rFonts w:ascii="Times" w:hAnsi="Times"/>
          <w:color w:val="000000"/>
          <w:szCs w:val="32"/>
          <w:vertAlign w:val="superscript"/>
        </w:rPr>
        <w:t>th</w:t>
      </w:r>
      <w:r w:rsidRPr="005C397D">
        <w:rPr>
          <w:rFonts w:ascii="Times" w:hAnsi="Times"/>
          <w:color w:val="000000"/>
          <w:szCs w:val="32"/>
        </w:rPr>
        <w:t xml:space="preserve"> year of the Fellowship program, we suggest that making the criteria used for selection and the outcomes : e.g. how many go on to engage in ICANN and directly related meetings, such as RIR events; </w:t>
      </w:r>
      <w:r w:rsidR="00BC13A6" w:rsidRPr="005C397D">
        <w:rPr>
          <w:rFonts w:ascii="Times" w:hAnsi="Times"/>
          <w:color w:val="000000"/>
          <w:szCs w:val="32"/>
        </w:rPr>
        <w:t>or engage in national level activities where ICANN is engaging – e.g. the NRI events; join any one of the ICANN communities will benefit the purpose of the Fellowship program</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r w:rsidRPr="005C397D">
        <w:rPr>
          <w:rFonts w:ascii="Times" w:hAnsi="Times"/>
          <w:color w:val="000000"/>
          <w:szCs w:val="32"/>
        </w:rPr>
        <w:t xml:space="preserve"> </w:t>
      </w: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  The Constituencies, and Advisory Committees should draft the definitions that are used.</w:t>
      </w:r>
      <w:r w:rsidR="00BC33C5"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 have a less than 30% attendance record at the online work of the group.  Other CCWGS have excellent attendance by the designated participants.</w:t>
      </w:r>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publication on a quarterly basis, of attendance 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community  they represent, there could be a need for a resignation due to personal reasons, and a new appointment, made from the relevant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After all, circumstances 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 factual and detailed, which today, many are not due to lack of clarity of the need for details. </w:t>
      </w:r>
      <w:r w:rsidR="004A6C8D"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gTLD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ExComm for final agreement.  In fact, the balance of sponsorships is pretty well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do not have funding for this, and could turn to ICANN funding for a special support.</w:t>
      </w:r>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have spoken about our disappointment in the effectiveness of the Fellowship Program for the business users, and will address this further when the Fellowship Program is further evaluated.</w:t>
      </w:r>
    </w:p>
    <w:p w:rsidR="00B466ED" w:rsidRPr="005C397D" w:rsidRDefault="00B466E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4C485C"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program [approximately 4-5 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 yet, their voice is incredibly important along that of civil society and NGOs. </w:t>
      </w:r>
    </w:p>
    <w:p w:rsidR="004C485C" w:rsidRPr="005C397D" w:rsidRDefault="004C485C"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6. What, if any, educational and informational activities does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well known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also have held outreach events, as referenced earlier.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-IGF2017: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7. What are actionable and measurable expectations your group or leadership has for members who receive travel support? Are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r w:rsidR="00EA6FF7" w:rsidRPr="005C397D">
        <w:rPr>
          <w:rFonts w:ascii="Times" w:hAnsi="Times"/>
          <w:color w:val="000000"/>
          <w:szCs w:val="32"/>
        </w:rPr>
        <w:t xml:space="preserve">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work loads.</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could find it very useful to bring BC members to the global IGF, is they were speaking there, and use this as an opportunity to deepen engagement.  </w:t>
      </w: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173FD9" w:rsidRPr="005C397D" w:rsidRDefault="00AA6943">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ExeComm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 xml:space="preserve">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ExeComm. </w:t>
      </w:r>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t>Append</w:t>
      </w:r>
      <w:r w:rsidR="00DE1E0C" w:rsidRPr="005C397D">
        <w:rPr>
          <w:rFonts w:ascii="Times" w:hAnsi="Times" w:cs="Times"/>
          <w:szCs w:val="32"/>
        </w:rPr>
        <w:t xml:space="preserve">ix:   The BC Outreach Programme, based on the BC Outreach Strategy: developed by the Outreach Committee/approved by the BC ExComm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Programme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Excom.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r w:rsidR="00DE1E0C" w:rsidRPr="005C397D">
        <w:rPr>
          <w:rFonts w:ascii="Times" w:hAnsi="Times" w:cs="Arial"/>
          <w:szCs w:val="32"/>
        </w:rPr>
        <w:t xml:space="preserve">  </w:t>
      </w:r>
      <w:r w:rsidRPr="005C397D">
        <w:rPr>
          <w:rFonts w:ascii="Times" w:hAnsi="Times" w:cs="Arial"/>
          <w:szCs w:val="32"/>
        </w:rPr>
        <w:t>Pilot</w:t>
      </w:r>
      <w:r w:rsidR="00DE1E0C" w:rsidRPr="005C397D">
        <w:rPr>
          <w:rFonts w:ascii="Times" w:hAnsi="Times" w:cs="Arial"/>
          <w:szCs w:val="32"/>
        </w:rPr>
        <w:t xml:space="preserve"> </w:t>
      </w:r>
      <w:r w:rsidRPr="005C397D">
        <w:rPr>
          <w:rFonts w:ascii="Times" w:hAnsi="Times" w:cs="Arial"/>
          <w:szCs w:val="32"/>
        </w:rPr>
        <w:t>Programme</w:t>
      </w:r>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programme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V.Chairs/Region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ICANN</w:t>
      </w:r>
      <w:r w:rsidR="00DE1E0C" w:rsidRPr="005C397D">
        <w:rPr>
          <w:rFonts w:ascii="Times" w:hAnsi="Times" w:cs="Arial"/>
          <w:szCs w:val="32"/>
        </w:rPr>
        <w:t xml:space="preserve"> </w:t>
      </w:r>
      <w:r w:rsidR="00532272" w:rsidRPr="005C397D">
        <w:rPr>
          <w:rFonts w:ascii="Times" w:hAnsi="Times" w:cs="Arial"/>
          <w:szCs w:val="32"/>
        </w:rPr>
        <w:t>and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43" w:rsidRDefault="00AA6943" w:rsidP="004D0ACC">
      <w:r>
        <w:separator/>
      </w:r>
    </w:p>
  </w:endnote>
  <w:endnote w:type="continuationSeparator" w:id="0">
    <w:p w:rsidR="00AA6943" w:rsidRDefault="00AA6943"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CC" w:rsidRDefault="004D0ACC" w:rsidP="002B39A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ACC" w:rsidRDefault="004D0ACC"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CC" w:rsidRDefault="004D0ACC" w:rsidP="002B39A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943">
      <w:rPr>
        <w:rStyle w:val="PageNumber"/>
        <w:noProof/>
      </w:rPr>
      <w:t>1</w:t>
    </w:r>
    <w:r>
      <w:rPr>
        <w:rStyle w:val="PageNumber"/>
      </w:rPr>
      <w:fldChar w:fldCharType="end"/>
    </w:r>
  </w:p>
  <w:p w:rsidR="004D0ACC" w:rsidRDefault="004D0ACC"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43" w:rsidRDefault="00AA6943" w:rsidP="004D0ACC">
      <w:r>
        <w:separator/>
      </w:r>
    </w:p>
  </w:footnote>
  <w:footnote w:type="continuationSeparator" w:id="0">
    <w:p w:rsidR="00AA6943" w:rsidRDefault="00AA6943"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CC"/>
    <w:rsid w:val="000705BB"/>
    <w:rsid w:val="001362C8"/>
    <w:rsid w:val="00172CF7"/>
    <w:rsid w:val="001D4CE9"/>
    <w:rsid w:val="001E1817"/>
    <w:rsid w:val="0020189B"/>
    <w:rsid w:val="003720D0"/>
    <w:rsid w:val="00435F52"/>
    <w:rsid w:val="004964F0"/>
    <w:rsid w:val="004A6C8D"/>
    <w:rsid w:val="004C485C"/>
    <w:rsid w:val="004D0ACC"/>
    <w:rsid w:val="00513EE9"/>
    <w:rsid w:val="00532272"/>
    <w:rsid w:val="005C397D"/>
    <w:rsid w:val="00691E71"/>
    <w:rsid w:val="006C285F"/>
    <w:rsid w:val="006E1BDE"/>
    <w:rsid w:val="006F7D24"/>
    <w:rsid w:val="008637B5"/>
    <w:rsid w:val="00973023"/>
    <w:rsid w:val="009B78D0"/>
    <w:rsid w:val="00A12136"/>
    <w:rsid w:val="00AA6943"/>
    <w:rsid w:val="00B1524C"/>
    <w:rsid w:val="00B466ED"/>
    <w:rsid w:val="00BC13A6"/>
    <w:rsid w:val="00BC33C5"/>
    <w:rsid w:val="00BC5D7E"/>
    <w:rsid w:val="00BF34AF"/>
    <w:rsid w:val="00C165C9"/>
    <w:rsid w:val="00C75048"/>
    <w:rsid w:val="00DE1E0C"/>
    <w:rsid w:val="00EA6FF7"/>
    <w:rsid w:val="00F0746D"/>
    <w:rsid w:val="00F76260"/>
    <w:rsid w:val="00F95F54"/>
    <w:rsid w:val="00FD08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C1FA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3201</Words>
  <Characters>18247</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2</cp:revision>
  <cp:lastPrinted>2017-12-02T14:57:00Z</cp:lastPrinted>
  <dcterms:created xsi:type="dcterms:W3CDTF">2017-12-02T14:56:00Z</dcterms:created>
  <dcterms:modified xsi:type="dcterms:W3CDTF">2017-12-02T14:56:00Z</dcterms:modified>
</cp:coreProperties>
</file>