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Calibri" w:cs="Calibri" w:eastAsia="Calibri" w:hAnsi="Calibri"/>
          <w:sz w:val="36"/>
          <w:szCs w:val="36"/>
        </w:rPr>
      </w:pPr>
      <w:bookmarkStart w:colFirst="0" w:colLast="0" w:name="_c8cqdjfre8o" w:id="0"/>
      <w:bookmarkEnd w:id="0"/>
      <w:r w:rsidDel="00000000" w:rsidR="00000000" w:rsidRPr="00000000">
        <w:rPr>
          <w:rFonts w:ascii="Calibri" w:cs="Calibri" w:eastAsia="Calibri" w:hAnsi="Calibri"/>
          <w:sz w:val="36"/>
          <w:szCs w:val="36"/>
          <w:rtl w:val="0"/>
        </w:rPr>
        <w:t xml:space="preserve">ccNSO Council Statement: </w:t>
        <w:br w:type="textWrapping"/>
        <w:t xml:space="preserve">Evolving ICANN’s Multistakeholder Model</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Date: 3 June 2019</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The ccNSO Council welcomes the opportunity to comment and further define issues that challenge the effectiveness of ICANN’s multistakeholder model.  The ccNSO Council reviewed the issue list as published on </w:t>
      </w:r>
      <w:hyperlink r:id="rId6">
        <w:r w:rsidDel="00000000" w:rsidR="00000000" w:rsidRPr="00000000">
          <w:rPr>
            <w:rFonts w:ascii="Calibri" w:cs="Calibri" w:eastAsia="Calibri" w:hAnsi="Calibri"/>
            <w:u w:val="single"/>
            <w:rtl w:val="0"/>
          </w:rPr>
          <w:t xml:space="preserve">https://www.icann.org/en/system/files/files/draft-evolving-multistakeholder-model-issues-list-25apr19-en.pdf</w:t>
        </w:r>
      </w:hyperlink>
      <w:r w:rsidDel="00000000" w:rsidR="00000000" w:rsidRPr="00000000">
        <w:rPr>
          <w:rFonts w:ascii="Calibri" w:cs="Calibri" w:eastAsia="Calibri" w:hAnsi="Calibri"/>
          <w:rtl w:val="0"/>
        </w:rPr>
        <w:t xml:space="preserve"> and hereby provides its comments to a few selected issues. Moreover, please find included a top 3 prioritisation of the items included on the </w:t>
      </w:r>
      <w:hyperlink r:id="rId7">
        <w:r w:rsidDel="00000000" w:rsidR="00000000" w:rsidRPr="00000000">
          <w:rPr>
            <w:rFonts w:ascii="Calibri" w:cs="Calibri" w:eastAsia="Calibri" w:hAnsi="Calibri"/>
            <w:color w:val="1155cc"/>
            <w:u w:val="single"/>
            <w:rtl w:val="0"/>
          </w:rPr>
          <w:t xml:space="preserve">issue list</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rPr>
      </w:pPr>
      <w:r w:rsidDel="00000000" w:rsidR="00000000" w:rsidRPr="00000000">
        <w:rPr>
          <w:rFonts w:ascii="Calibri" w:cs="Calibri" w:eastAsia="Calibri" w:hAnsi="Calibri"/>
          <w:b w:val="1"/>
          <w:rtl w:val="0"/>
        </w:rPr>
        <w:t xml:space="preserve">02. ISSUE: Complexity </w:t>
      </w:r>
    </w:p>
    <w:p w:rsidR="00000000" w:rsidDel="00000000" w:rsidP="00000000" w:rsidRDefault="00000000" w:rsidRPr="00000000" w14:paraId="00000009">
      <w:pPr>
        <w:rPr>
          <w:rFonts w:ascii="Calibri" w:cs="Calibri" w:eastAsia="Calibri" w:hAnsi="Calibri"/>
          <w:i w:val="1"/>
        </w:rPr>
      </w:pPr>
      <w:r w:rsidDel="00000000" w:rsidR="00000000" w:rsidRPr="00000000">
        <w:rPr>
          <w:rFonts w:ascii="Calibri" w:cs="Calibri" w:eastAsia="Calibri" w:hAnsi="Calibri"/>
          <w:i w:val="1"/>
          <w:rtl w:val="0"/>
        </w:rPr>
        <w:t xml:space="preserve">specific example about how the issue hampers the effectiveness of ICANN's multistakeholder model: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On numerous occasions, newcomers are challenged to get involved by the complexity of the topics and the excessive use of acronyms. This is a public comment made by newcomers at recent ICANN meetings.</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 ICANN Strategic and Operating Plan are another example of how complexity affects the effectiveness of the model. ICANN invites stakeholders to comment on them on a regular basis, but these documents require:</w:t>
      </w:r>
    </w:p>
    <w:p w:rsidR="00000000" w:rsidDel="00000000" w:rsidP="00000000" w:rsidRDefault="00000000" w:rsidRPr="00000000" w14:paraId="0000000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High level knowledge of the Strategic and Operating Plan framework.</w:t>
      </w:r>
    </w:p>
    <w:p w:rsidR="00000000" w:rsidDel="00000000" w:rsidP="00000000" w:rsidRDefault="00000000" w:rsidRPr="00000000" w14:paraId="0000000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In-depth knowledge of the ICANN structure.</w:t>
      </w:r>
    </w:p>
    <w:p w:rsidR="00000000" w:rsidDel="00000000" w:rsidP="00000000" w:rsidRDefault="00000000" w:rsidRPr="00000000" w14:paraId="0000000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Time to be read and eventually, commented.</w:t>
      </w:r>
    </w:p>
    <w:p w:rsidR="00000000" w:rsidDel="00000000" w:rsidP="00000000" w:rsidRDefault="00000000" w:rsidRPr="00000000" w14:paraId="0000000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Full and in-depth knowledge of the English language. On many occasions the SOPC highlighted the fact that these documents are not-so-accessible even for EN native speakers.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06. ISSUE: Recruitment </w:t>
      </w:r>
    </w:p>
    <w:p w:rsidR="00000000" w:rsidDel="00000000" w:rsidP="00000000" w:rsidRDefault="00000000" w:rsidRPr="00000000" w14:paraId="00000012">
      <w:pPr>
        <w:rPr>
          <w:rFonts w:ascii="Calibri" w:cs="Calibri" w:eastAsia="Calibri" w:hAnsi="Calibri"/>
          <w:i w:val="1"/>
        </w:rPr>
      </w:pPr>
      <w:r w:rsidDel="00000000" w:rsidR="00000000" w:rsidRPr="00000000">
        <w:rPr>
          <w:rFonts w:ascii="Calibri" w:cs="Calibri" w:eastAsia="Calibri" w:hAnsi="Calibri"/>
          <w:i w:val="1"/>
          <w:rtl w:val="0"/>
        </w:rPr>
        <w:t xml:space="preserve">specific example about how the issue hampers the effectiveness of ICANN's multistakeholder model:</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Many of the current volunteers have been devoting their time and hard work for a very long time, and regardless of the amazing results they are achieving, we can’t expect them to be here forever. It is very important to show a clear path for new participants to get engaged in the work of the different ICANN constituencies. This relates with ISSUE 17: Volunteer burnout.</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16. ISSUE: Efficient Use of Resources </w:t>
      </w:r>
    </w:p>
    <w:p w:rsidR="00000000" w:rsidDel="00000000" w:rsidP="00000000" w:rsidRDefault="00000000" w:rsidRPr="00000000" w14:paraId="00000016">
      <w:pPr>
        <w:rPr>
          <w:rFonts w:ascii="Calibri" w:cs="Calibri" w:eastAsia="Calibri" w:hAnsi="Calibri"/>
          <w:i w:val="1"/>
        </w:rPr>
      </w:pPr>
      <w:r w:rsidDel="00000000" w:rsidR="00000000" w:rsidRPr="00000000">
        <w:rPr>
          <w:rFonts w:ascii="Calibri" w:cs="Calibri" w:eastAsia="Calibri" w:hAnsi="Calibri"/>
          <w:i w:val="1"/>
          <w:rtl w:val="0"/>
        </w:rPr>
        <w:t xml:space="preserve">specific example about how the issue hampers the effectiveness of ICANN's multistakeholder model:</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The ccNSO SOPC has questioned ICANN on several occasions about the efficient use of resources when it comes - for instance - to international engagement. ICANN staff responses were just sufficient, but failed to address the long-standing item of cost optimisation and activities prioritisation.</w:t>
      </w: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17. ISSUE: Volunteer Burnout </w:t>
      </w:r>
    </w:p>
    <w:p w:rsidR="00000000" w:rsidDel="00000000" w:rsidP="00000000" w:rsidRDefault="00000000" w:rsidRPr="00000000" w14:paraId="0000001A">
      <w:pPr>
        <w:rPr>
          <w:rFonts w:ascii="Calibri" w:cs="Calibri" w:eastAsia="Calibri" w:hAnsi="Calibri"/>
          <w:i w:val="1"/>
        </w:rPr>
      </w:pPr>
      <w:r w:rsidDel="00000000" w:rsidR="00000000" w:rsidRPr="00000000">
        <w:rPr>
          <w:rFonts w:ascii="Calibri" w:cs="Calibri" w:eastAsia="Calibri" w:hAnsi="Calibri"/>
          <w:i w:val="1"/>
          <w:rtl w:val="0"/>
        </w:rPr>
        <w:t xml:space="preserve">specific example about how the issue hampers the effectiveness of ICANN's multistakeholder model:</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Many ccNSO working groups and committees are somehow affected by it. It is becoming harder and harder to find skilled people who can dedicated not hours, but mostly days of their week to read, assess and provide input on policy and procedural documents.</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This issue relates to ISSUE 01: Timing of decision-making: Our processes take too long </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The ccNSO council offers the following top 3 prioritisation of the items included on the </w:t>
      </w:r>
      <w:hyperlink r:id="rId8">
        <w:r w:rsidDel="00000000" w:rsidR="00000000" w:rsidRPr="00000000">
          <w:rPr>
            <w:rFonts w:ascii="Calibri" w:cs="Calibri" w:eastAsia="Calibri" w:hAnsi="Calibri"/>
            <w:color w:val="1155cc"/>
            <w:u w:val="single"/>
            <w:rtl w:val="0"/>
          </w:rPr>
          <w:t xml:space="preserve">issue list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Issue 02: Complexity</w:t>
      </w:r>
    </w:p>
    <w:p w:rsidR="00000000" w:rsidDel="00000000" w:rsidP="00000000" w:rsidRDefault="00000000" w:rsidRPr="00000000" w14:paraId="0000002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Issue 01: Timing (at ICANN and community end)</w:t>
      </w:r>
      <w:r w:rsidDel="00000000" w:rsidR="00000000" w:rsidRPr="00000000">
        <w:rPr>
          <w:rtl w:val="0"/>
        </w:rPr>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Issue 16: Efficient use of resources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cann.org/en/system/files/files/draft-evolving-multistakeholder-model-issues-list-25apr19-en.pdf" TargetMode="External"/><Relationship Id="rId7" Type="http://schemas.openxmlformats.org/officeDocument/2006/relationships/hyperlink" Target="https://www.icann.org/en/system/files/files/draft-evolving-multistakeholder-model-issues-list-25apr19-en.pdf" TargetMode="External"/><Relationship Id="rId8" Type="http://schemas.openxmlformats.org/officeDocument/2006/relationships/hyperlink" Target="https://www.icann.org/en/system/files/files/draft-evolving-multistakeholder-model-issues-list-25ap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