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511E0" w:rsidRDefault="00947E93">
      <w:pPr>
        <w:pStyle w:val="Heading1"/>
        <w:keepNext w:val="0"/>
        <w:keepLines w:val="0"/>
        <w:shd w:val="clear" w:color="auto" w:fill="FFFFFF"/>
        <w:spacing w:before="0" w:after="380"/>
        <w:jc w:val="center"/>
        <w:rPr>
          <w:b/>
          <w:color w:val="333333"/>
          <w:sz w:val="48"/>
          <w:szCs w:val="48"/>
          <w:highlight w:val="white"/>
        </w:rPr>
      </w:pPr>
      <w:bookmarkStart w:id="0" w:name="_gjdgxs" w:colFirst="0" w:colLast="0"/>
      <w:bookmarkStart w:id="1" w:name="_GoBack"/>
      <w:bookmarkEnd w:id="0"/>
      <w:bookmarkEnd w:id="1"/>
      <w:r>
        <w:rPr>
          <w:b/>
          <w:color w:val="333333"/>
          <w:sz w:val="48"/>
          <w:szCs w:val="48"/>
          <w:highlight w:val="white"/>
        </w:rPr>
        <w:t>ALAC Updates ----March 2020.</w:t>
      </w:r>
    </w:p>
    <w:p w14:paraId="00000002" w14:textId="77777777" w:rsidR="004511E0" w:rsidRDefault="00947E93">
      <w:pPr>
        <w:jc w:val="center"/>
        <w:rPr>
          <w:b/>
          <w:color w:val="333333"/>
          <w:sz w:val="36"/>
          <w:szCs w:val="36"/>
          <w:highlight w:val="white"/>
        </w:rPr>
      </w:pPr>
      <w:r>
        <w:rPr>
          <w:b/>
          <w:color w:val="333333"/>
          <w:sz w:val="36"/>
          <w:szCs w:val="36"/>
          <w:highlight w:val="white"/>
        </w:rPr>
        <w:t>Policy development activities</w:t>
      </w:r>
    </w:p>
    <w:p w14:paraId="00000003" w14:textId="77777777" w:rsidR="004511E0" w:rsidRDefault="004511E0">
      <w:pPr>
        <w:jc w:val="center"/>
        <w:rPr>
          <w:b/>
          <w:color w:val="333333"/>
          <w:sz w:val="36"/>
          <w:szCs w:val="36"/>
          <w:highlight w:val="white"/>
        </w:rPr>
      </w:pPr>
    </w:p>
    <w:p w14:paraId="00000004" w14:textId="77777777" w:rsidR="004511E0" w:rsidRDefault="00947E93">
      <w:pPr>
        <w:jc w:val="center"/>
        <w:rPr>
          <w:b/>
          <w:color w:val="333333"/>
          <w:sz w:val="28"/>
          <w:szCs w:val="28"/>
          <w:highlight w:val="white"/>
        </w:rPr>
      </w:pPr>
      <w:r>
        <w:rPr>
          <w:b/>
          <w:color w:val="333333"/>
          <w:sz w:val="28"/>
          <w:szCs w:val="28"/>
          <w:highlight w:val="white"/>
        </w:rPr>
        <w:t>Statements approved by the ALAC</w:t>
      </w:r>
    </w:p>
    <w:p w14:paraId="00000005" w14:textId="77777777" w:rsidR="004511E0" w:rsidRDefault="004511E0">
      <w:pPr>
        <w:rPr>
          <w:b/>
          <w:color w:val="333333"/>
          <w:sz w:val="36"/>
          <w:szCs w:val="36"/>
          <w:highlight w:val="white"/>
        </w:rPr>
      </w:pPr>
    </w:p>
    <w:p w14:paraId="00000006" w14:textId="77777777" w:rsidR="004511E0" w:rsidRDefault="004511E0"/>
    <w:bookmarkStart w:id="2" w:name="_30j0zll" w:colFirst="0" w:colLast="0"/>
    <w:bookmarkEnd w:id="2"/>
    <w:p w14:paraId="00000007" w14:textId="77777777" w:rsidR="004511E0" w:rsidRDefault="00947E93">
      <w:pPr>
        <w:pStyle w:val="Heading1"/>
        <w:keepNext w:val="0"/>
        <w:keepLines w:val="0"/>
        <w:shd w:val="clear" w:color="auto" w:fill="FFFFFF"/>
        <w:spacing w:before="0" w:after="380"/>
        <w:rPr>
          <w:b/>
          <w:sz w:val="28"/>
          <w:szCs w:val="28"/>
        </w:rPr>
      </w:pPr>
      <w:r>
        <w:fldChar w:fldCharType="begin"/>
      </w:r>
      <w:r>
        <w:instrText xml:space="preserve"> HYPERLINK "https://atlarge.icann.org/advice_statements/13770" \h </w:instrText>
      </w:r>
      <w:r>
        <w:fldChar w:fldCharType="separate"/>
      </w:r>
      <w:r>
        <w:rPr>
          <w:b/>
          <w:color w:val="1155CC"/>
          <w:sz w:val="28"/>
          <w:szCs w:val="28"/>
          <w:u w:val="single"/>
        </w:rPr>
        <w:t xml:space="preserve">Name Collision Analysis Project (NCAP) Study 1 </w:t>
      </w:r>
      <w:r>
        <w:rPr>
          <w:b/>
          <w:color w:val="1155CC"/>
          <w:sz w:val="28"/>
          <w:szCs w:val="28"/>
          <w:u w:val="single"/>
        </w:rPr>
        <w:fldChar w:fldCharType="end"/>
      </w:r>
    </w:p>
    <w:p w14:paraId="00000008" w14:textId="77777777" w:rsidR="004511E0" w:rsidRDefault="00947E93">
      <w:pPr>
        <w:rPr>
          <w:sz w:val="24"/>
          <w:szCs w:val="24"/>
        </w:rPr>
      </w:pPr>
      <w:r>
        <w:rPr>
          <w:sz w:val="24"/>
          <w:szCs w:val="24"/>
        </w:rPr>
        <w:t>The ALAC thanks OCTO, NCAP WP members and NCAP DG members in driving, overseeing and commenting on the work that has been undertaken in producing this NCAP Study 1 Report, and we acknowledge the report as a u</w:t>
      </w:r>
      <w:r>
        <w:rPr>
          <w:sz w:val="24"/>
          <w:szCs w:val="24"/>
        </w:rPr>
        <w:t>seful primer on the subject of Name Collisions. We look forward to further deliberation by the relevant groups and their onward action with respect to the third goal of Study 1, which is to determine if the NCAP Project will proceed onto a Study 2.</w:t>
      </w:r>
    </w:p>
    <w:p w14:paraId="00000009" w14:textId="77777777" w:rsidR="004511E0" w:rsidRDefault="004511E0">
      <w:pPr>
        <w:rPr>
          <w:b/>
          <w:sz w:val="24"/>
          <w:szCs w:val="24"/>
        </w:rPr>
      </w:pPr>
    </w:p>
    <w:bookmarkStart w:id="3" w:name="_1fob9te" w:colFirst="0" w:colLast="0"/>
    <w:bookmarkEnd w:id="3"/>
    <w:p w14:paraId="0000000A" w14:textId="77777777" w:rsidR="004511E0" w:rsidRDefault="00947E93">
      <w:pPr>
        <w:pStyle w:val="Heading1"/>
        <w:keepNext w:val="0"/>
        <w:keepLines w:val="0"/>
        <w:shd w:val="clear" w:color="auto" w:fill="FFFFFF"/>
        <w:spacing w:before="0" w:after="380"/>
        <w:rPr>
          <w:b/>
          <w:sz w:val="24"/>
          <w:szCs w:val="24"/>
        </w:rPr>
      </w:pPr>
      <w:r>
        <w:fldChar w:fldCharType="begin"/>
      </w:r>
      <w:r>
        <w:instrText xml:space="preserve"> HYP</w:instrText>
      </w:r>
      <w:r>
        <w:instrText xml:space="preserve">ERLINK "https://atlarge.icann.org/advice_statements/13772" \h </w:instrText>
      </w:r>
      <w:r>
        <w:fldChar w:fldCharType="separate"/>
      </w:r>
      <w:r>
        <w:rPr>
          <w:b/>
          <w:color w:val="1155CC"/>
          <w:sz w:val="28"/>
          <w:szCs w:val="28"/>
          <w:u w:val="single"/>
        </w:rPr>
        <w:t>Draft Proposal for NextGen@ICANN Program Improvements</w:t>
      </w:r>
      <w:r>
        <w:rPr>
          <w:b/>
          <w:color w:val="1155CC"/>
          <w:sz w:val="28"/>
          <w:szCs w:val="28"/>
          <w:u w:val="single"/>
        </w:rPr>
        <w:fldChar w:fldCharType="end"/>
      </w:r>
    </w:p>
    <w:p w14:paraId="0000000B" w14:textId="77777777" w:rsidR="004511E0" w:rsidRDefault="00947E93">
      <w:pPr>
        <w:pStyle w:val="Heading1"/>
        <w:shd w:val="clear" w:color="auto" w:fill="FFFFFF"/>
        <w:rPr>
          <w:b/>
          <w:sz w:val="28"/>
          <w:szCs w:val="28"/>
        </w:rPr>
      </w:pPr>
      <w:bookmarkStart w:id="4" w:name="_3znysh7" w:colFirst="0" w:colLast="0"/>
      <w:bookmarkEnd w:id="4"/>
      <w:r>
        <w:rPr>
          <w:b/>
          <w:sz w:val="24"/>
          <w:szCs w:val="24"/>
        </w:rPr>
        <w:t>Observations</w:t>
      </w:r>
      <w:r>
        <w:rPr>
          <w:b/>
          <w:sz w:val="28"/>
          <w:szCs w:val="28"/>
        </w:rPr>
        <w:t xml:space="preserve"> </w:t>
      </w:r>
    </w:p>
    <w:p w14:paraId="0000000C" w14:textId="77777777" w:rsidR="004511E0" w:rsidRDefault="00947E93">
      <w:pPr>
        <w:jc w:val="both"/>
      </w:pPr>
      <w:r>
        <w:t>The NextGen has been operating as a parallel activity during the ICANN meetings and dedicated to young students in post secon</w:t>
      </w:r>
      <w:r>
        <w:t>dary education. Due to their obligations to produce presentations, they tend to be a cloistered group at  the ICANN meetings with significantly limited interaction with the wider ICANN communities. The At-Large believes this could be altered to the benefit</w:t>
      </w:r>
      <w:r>
        <w:t xml:space="preserve"> of the community by opening the programme and ensuring a welcoming environment to all NextGenners, including first time participants. </w:t>
      </w:r>
    </w:p>
    <w:p w14:paraId="0000000D" w14:textId="77777777" w:rsidR="004511E0" w:rsidRDefault="004511E0"/>
    <w:p w14:paraId="0000000E" w14:textId="77777777" w:rsidR="004511E0" w:rsidRDefault="00947E93">
      <w:pPr>
        <w:shd w:val="clear" w:color="auto" w:fill="FFFFFF"/>
        <w:jc w:val="both"/>
        <w:rPr>
          <w:color w:val="222222"/>
        </w:rPr>
      </w:pPr>
      <w:r>
        <w:rPr>
          <w:color w:val="222222"/>
        </w:rPr>
        <w:t>1.  At-Large would welcome a more active participation of NextGenners in its community. Being broad and diverse, it off</w:t>
      </w:r>
      <w:r>
        <w:rPr>
          <w:color w:val="222222"/>
        </w:rPr>
        <w:t>ers unique opportunities for young academics from around the globe, giving them a unique chance to test their research against real life policy making. Yet despite the reporting in the  NexGen survey that participants have joined with the AT-LARGE communit</w:t>
      </w:r>
      <w:r>
        <w:rPr>
          <w:color w:val="222222"/>
        </w:rPr>
        <w:t>y, the community has thus far noted limited participation of this specific group in its work. The ALAC would welcome a structured, direct interaction with this high impact group and recommend the programme to be amended so that it accommodates such an inte</w:t>
      </w:r>
      <w:r>
        <w:rPr>
          <w:color w:val="222222"/>
        </w:rPr>
        <w:t xml:space="preserve">raction. We anticipate that other communities, thus far not having enjoyed active NextGen input would also welcome this change.   </w:t>
      </w:r>
    </w:p>
    <w:p w14:paraId="0000000F" w14:textId="77777777" w:rsidR="004511E0" w:rsidRDefault="00947E93">
      <w:pPr>
        <w:shd w:val="clear" w:color="auto" w:fill="FFFFFF"/>
        <w:rPr>
          <w:color w:val="222222"/>
        </w:rPr>
      </w:pPr>
      <w:r>
        <w:rPr>
          <w:color w:val="222222"/>
        </w:rPr>
        <w:t xml:space="preserve">  </w:t>
      </w:r>
    </w:p>
    <w:p w14:paraId="00000010" w14:textId="77777777" w:rsidR="004511E0" w:rsidRDefault="004511E0">
      <w:pPr>
        <w:shd w:val="clear" w:color="auto" w:fill="FFFFFF"/>
        <w:rPr>
          <w:color w:val="222222"/>
        </w:rPr>
      </w:pPr>
    </w:p>
    <w:p w14:paraId="00000011" w14:textId="77777777" w:rsidR="004511E0" w:rsidRDefault="00947E93">
      <w:pPr>
        <w:shd w:val="clear" w:color="auto" w:fill="FFFFFF"/>
        <w:rPr>
          <w:color w:val="222222"/>
        </w:rPr>
      </w:pPr>
      <w:r>
        <w:rPr>
          <w:color w:val="222222"/>
        </w:rPr>
        <w:t xml:space="preserve">A solution to this is to: </w:t>
      </w:r>
    </w:p>
    <w:p w14:paraId="00000012" w14:textId="77777777" w:rsidR="004511E0" w:rsidRDefault="004511E0">
      <w:pPr>
        <w:shd w:val="clear" w:color="auto" w:fill="FFFFFF"/>
        <w:ind w:left="720"/>
        <w:rPr>
          <w:color w:val="222222"/>
        </w:rPr>
      </w:pPr>
    </w:p>
    <w:p w14:paraId="00000013" w14:textId="77777777" w:rsidR="004511E0" w:rsidRDefault="00947E93">
      <w:pPr>
        <w:numPr>
          <w:ilvl w:val="0"/>
          <w:numId w:val="1"/>
        </w:numPr>
        <w:shd w:val="clear" w:color="auto" w:fill="FFFFFF"/>
        <w:rPr>
          <w:color w:val="222222"/>
        </w:rPr>
      </w:pPr>
      <w:r>
        <w:rPr>
          <w:color w:val="222222"/>
        </w:rPr>
        <w:lastRenderedPageBreak/>
        <w:t>Ensure that NextGen are not cloistered away from the community. At-Large members willing and able to attend the NextGen presentations, can provide advice and guidance on specific student topics while offering a way of direct involvement into the policy wor</w:t>
      </w:r>
      <w:r>
        <w:rPr>
          <w:color w:val="222222"/>
        </w:rPr>
        <w:t>k being done across the ICANN community. Currently the Nextgen presentations are sparsely attended by the other constituencies and many of the presentations do not take into account the ICANN policy process. This is unsurprising considering that NextGen ar</w:t>
      </w:r>
      <w:r>
        <w:rPr>
          <w:color w:val="222222"/>
        </w:rPr>
        <w:t>e first timers at ICANN. Reconsidering this part of the program appears appropriate.</w:t>
      </w:r>
    </w:p>
    <w:p w14:paraId="00000014" w14:textId="77777777" w:rsidR="004511E0" w:rsidRDefault="00947E93">
      <w:pPr>
        <w:numPr>
          <w:ilvl w:val="0"/>
          <w:numId w:val="1"/>
        </w:numPr>
        <w:shd w:val="clear" w:color="auto" w:fill="FFFFFF"/>
        <w:rPr>
          <w:color w:val="222222"/>
        </w:rPr>
      </w:pPr>
      <w:r>
        <w:rPr>
          <w:color w:val="222222"/>
        </w:rPr>
        <w:t xml:space="preserve">Have the program highlight the academic work by At-large members in educational efforts, e.g. Schools of Internet Governance, as well as academic research as conducted by </w:t>
      </w:r>
      <w:r>
        <w:rPr>
          <w:color w:val="222222"/>
        </w:rPr>
        <w:t xml:space="preserve">its numerous members around the globe. At-Large could then serve as a natural platform for including young academics into policy work in their respective region or country.  </w:t>
      </w:r>
    </w:p>
    <w:p w14:paraId="00000015" w14:textId="77777777" w:rsidR="004511E0" w:rsidRDefault="00947E93">
      <w:pPr>
        <w:numPr>
          <w:ilvl w:val="0"/>
          <w:numId w:val="1"/>
        </w:numPr>
        <w:shd w:val="clear" w:color="auto" w:fill="FFFFFF"/>
        <w:rPr>
          <w:color w:val="222222"/>
        </w:rPr>
      </w:pPr>
      <w:r>
        <w:rPr>
          <w:color w:val="222222"/>
        </w:rPr>
        <w:t>Provide an opportunity for an At-Large Mentor to individual attendees  and invite</w:t>
      </w:r>
      <w:r>
        <w:rPr>
          <w:color w:val="222222"/>
        </w:rPr>
        <w:t xml:space="preserve"> them to present to the broader At-Large audience during face-to-face meetings as well as during our regular webinars, enjoying quite some popularity across the regions. </w:t>
      </w:r>
    </w:p>
    <w:p w14:paraId="00000016" w14:textId="77777777" w:rsidR="004511E0" w:rsidRDefault="00947E93">
      <w:pPr>
        <w:numPr>
          <w:ilvl w:val="0"/>
          <w:numId w:val="1"/>
        </w:numPr>
        <w:shd w:val="clear" w:color="auto" w:fill="FFFFFF"/>
        <w:rPr>
          <w:color w:val="222222"/>
        </w:rPr>
      </w:pPr>
      <w:r>
        <w:rPr>
          <w:color w:val="222222"/>
        </w:rPr>
        <w:t>Provide an opportunity for  At-Large to take a more proactive approach to the NextGen</w:t>
      </w:r>
      <w:r>
        <w:rPr>
          <w:color w:val="222222"/>
        </w:rPr>
        <w:t xml:space="preserve"> group. This could be done by engaging directly with the group as per its schedule, speaking to the participants about the relevant activities  that the students are genuinely interested in, including but not limited to e.g. DNS Abuse, privacy or cybersecu</w:t>
      </w:r>
      <w:r>
        <w:rPr>
          <w:color w:val="222222"/>
        </w:rPr>
        <w:t xml:space="preserve">rity narrated in clear comprehensive language. To meet this aim we are looking to have a simple flyer indicating academic outreach efforts of At-Large </w:t>
      </w:r>
    </w:p>
    <w:p w14:paraId="00000017" w14:textId="77777777" w:rsidR="004511E0" w:rsidRDefault="00947E93">
      <w:pPr>
        <w:shd w:val="clear" w:color="auto" w:fill="FFFFFF"/>
        <w:rPr>
          <w:color w:val="222222"/>
        </w:rPr>
      </w:pPr>
      <w:r>
        <w:rPr>
          <w:color w:val="222222"/>
        </w:rPr>
        <w:t>At-Large, spanning across stakeholder groups and geographic regions is the natural environment to welcom</w:t>
      </w:r>
      <w:r>
        <w:rPr>
          <w:color w:val="222222"/>
        </w:rPr>
        <w:t xml:space="preserve">e academic expertise on all IG related areas and process it into relevant policy advice. We believe the At-Large offers a unique opportunity to introduce young academics to their local communities allowing them to become a more active community members on </w:t>
      </w:r>
      <w:r>
        <w:rPr>
          <w:color w:val="222222"/>
        </w:rPr>
        <w:t xml:space="preserve">both: local and global level. </w:t>
      </w:r>
    </w:p>
    <w:p w14:paraId="00000018" w14:textId="77777777" w:rsidR="004511E0" w:rsidRDefault="004511E0">
      <w:pPr>
        <w:shd w:val="clear" w:color="auto" w:fill="FFFFFF"/>
        <w:rPr>
          <w:color w:val="222222"/>
        </w:rPr>
      </w:pPr>
    </w:p>
    <w:p w14:paraId="00000019" w14:textId="77777777" w:rsidR="004511E0" w:rsidRDefault="00947E93">
      <w:pPr>
        <w:shd w:val="clear" w:color="auto" w:fill="FFFFFF"/>
        <w:rPr>
          <w:color w:val="222222"/>
        </w:rPr>
      </w:pPr>
      <w:r>
        <w:rPr>
          <w:color w:val="222222"/>
        </w:rPr>
        <w:t>We would welcome engaging NextGen participants into the At-Large Consolidated Policy Working Group, transposing their academic research into the ICANN policy advice development dialogue.</w:t>
      </w:r>
    </w:p>
    <w:p w14:paraId="0000001A" w14:textId="77777777" w:rsidR="004511E0" w:rsidRDefault="00947E93">
      <w:pPr>
        <w:numPr>
          <w:ilvl w:val="0"/>
          <w:numId w:val="1"/>
        </w:numPr>
        <w:shd w:val="clear" w:color="auto" w:fill="FFFFFF"/>
        <w:rPr>
          <w:color w:val="222222"/>
        </w:rPr>
      </w:pPr>
      <w:r>
        <w:rPr>
          <w:color w:val="222222"/>
        </w:rPr>
        <w:t>Current plans for enhancing ICANN’s A</w:t>
      </w:r>
      <w:r>
        <w:rPr>
          <w:color w:val="222222"/>
        </w:rPr>
        <w:t>cademic Engagement as per the strategy currently in development, directly reflect the interests of the At-Large community, which aims to serve as a pool for informed end-user opinions and a pathway to fuel these into the policy development process within I</w:t>
      </w:r>
      <w:r>
        <w:rPr>
          <w:color w:val="222222"/>
        </w:rPr>
        <w:t>CANN.</w:t>
      </w:r>
    </w:p>
    <w:p w14:paraId="0000001B" w14:textId="77777777" w:rsidR="004511E0" w:rsidRDefault="004511E0">
      <w:pPr>
        <w:shd w:val="clear" w:color="auto" w:fill="FFFFFF"/>
        <w:rPr>
          <w:color w:val="222222"/>
        </w:rPr>
      </w:pPr>
    </w:p>
    <w:p w14:paraId="0000001C" w14:textId="77777777" w:rsidR="004511E0" w:rsidRDefault="00947E93">
      <w:pPr>
        <w:shd w:val="clear" w:color="auto" w:fill="FFFFFF"/>
        <w:jc w:val="both"/>
        <w:rPr>
          <w:color w:val="222222"/>
        </w:rPr>
      </w:pPr>
      <w:r>
        <w:rPr>
          <w:color w:val="222222"/>
        </w:rPr>
        <w:br/>
      </w:r>
      <w:r>
        <w:rPr>
          <w:color w:val="222222"/>
          <w:sz w:val="28"/>
          <w:szCs w:val="28"/>
        </w:rPr>
        <w:t xml:space="preserve">2  </w:t>
      </w:r>
      <w:r>
        <w:rPr>
          <w:b/>
          <w:color w:val="222222"/>
          <w:sz w:val="24"/>
          <w:szCs w:val="24"/>
        </w:rPr>
        <w:t>Mentorship</w:t>
      </w:r>
      <w:r>
        <w:rPr>
          <w:color w:val="222222"/>
        </w:rPr>
        <w:br/>
        <w:t>All the NextGen participants who attend the ICANN meetings present on specific topics.   Within At-Large, we have subject matter experts that may be helpful to provide critical feedback to enhance the academic rigour  of the papers. A</w:t>
      </w:r>
      <w:r>
        <w:rPr>
          <w:color w:val="222222"/>
        </w:rPr>
        <w:t>t the same time this would offer NextGen participants to get a “real-feel” experience of ICANN policy development processes by encouraging them to ensure a pragmatic approach to their research topic and allow for a direct confrontation with the diverse vie</w:t>
      </w:r>
      <w:r>
        <w:rPr>
          <w:color w:val="222222"/>
        </w:rPr>
        <w:t>ws as represented by the community.</w:t>
      </w:r>
    </w:p>
    <w:p w14:paraId="0000001D" w14:textId="77777777" w:rsidR="004511E0" w:rsidRDefault="004511E0">
      <w:pPr>
        <w:shd w:val="clear" w:color="auto" w:fill="FFFFFF"/>
        <w:rPr>
          <w:b/>
          <w:color w:val="222222"/>
          <w:sz w:val="24"/>
          <w:szCs w:val="24"/>
        </w:rPr>
      </w:pPr>
    </w:p>
    <w:p w14:paraId="0000001E" w14:textId="77777777" w:rsidR="004511E0" w:rsidRDefault="00947E93">
      <w:pPr>
        <w:shd w:val="clear" w:color="auto" w:fill="FFFFFF"/>
        <w:rPr>
          <w:color w:val="222222"/>
        </w:rPr>
      </w:pPr>
      <w:r>
        <w:rPr>
          <w:b/>
          <w:color w:val="222222"/>
          <w:sz w:val="24"/>
          <w:szCs w:val="24"/>
        </w:rPr>
        <w:lastRenderedPageBreak/>
        <w:t xml:space="preserve">3. Analysis of NextGen </w:t>
      </w:r>
      <w:r>
        <w:rPr>
          <w:color w:val="222222"/>
        </w:rPr>
        <w:t xml:space="preserve"> </w:t>
      </w:r>
    </w:p>
    <w:p w14:paraId="0000001F" w14:textId="77777777" w:rsidR="004511E0" w:rsidRDefault="00947E93">
      <w:pPr>
        <w:shd w:val="clear" w:color="auto" w:fill="FFFFFF"/>
        <w:rPr>
          <w:color w:val="222222"/>
        </w:rPr>
      </w:pPr>
      <w:r>
        <w:rPr>
          <w:color w:val="222222"/>
        </w:rPr>
        <w:t>Stakeholder tool ( 268 NextGen entries)</w:t>
      </w:r>
    </w:p>
    <w:p w14:paraId="00000020" w14:textId="77777777" w:rsidR="004511E0" w:rsidRDefault="004511E0">
      <w:pPr>
        <w:shd w:val="clear" w:color="auto" w:fill="FFFFFF"/>
        <w:rPr>
          <w:color w:val="222222"/>
        </w:rPr>
      </w:pPr>
    </w:p>
    <w:p w14:paraId="00000021" w14:textId="77777777" w:rsidR="004511E0" w:rsidRDefault="00947E93">
      <w:pPr>
        <w:shd w:val="clear" w:color="auto" w:fill="FFFFFF"/>
        <w:rPr>
          <w:color w:val="222222"/>
        </w:rPr>
      </w:pPr>
      <w:r>
        <w:rPr>
          <w:color w:val="222222"/>
        </w:rPr>
        <w:t xml:space="preserve">Currently, there are eight NextGen participants active in ICANN or have had a longer tenure of post-NextGen participation at ICANN. </w:t>
      </w:r>
    </w:p>
    <w:p w14:paraId="00000022" w14:textId="77777777" w:rsidR="004511E0" w:rsidRDefault="004511E0">
      <w:pPr>
        <w:shd w:val="clear" w:color="auto" w:fill="FFFFFF"/>
        <w:rPr>
          <w:color w:val="222222"/>
        </w:rPr>
      </w:pPr>
    </w:p>
    <w:p w14:paraId="00000023" w14:textId="77777777" w:rsidR="004511E0" w:rsidRDefault="00947E93">
      <w:pPr>
        <w:shd w:val="clear" w:color="auto" w:fill="FFFFFF"/>
        <w:rPr>
          <w:color w:val="222222"/>
        </w:rPr>
      </w:pPr>
      <w:r>
        <w:rPr>
          <w:color w:val="222222"/>
        </w:rPr>
        <w:t>ALAC:</w:t>
      </w:r>
      <w:r>
        <w:rPr>
          <w:color w:val="222222"/>
        </w:rPr>
        <w:tab/>
      </w:r>
      <w:r>
        <w:rPr>
          <w:color w:val="222222"/>
        </w:rPr>
        <w:tab/>
        <w:t>Three indivi</w:t>
      </w:r>
      <w:r>
        <w:rPr>
          <w:color w:val="222222"/>
        </w:rPr>
        <w:t xml:space="preserve">duals have been active over time. </w:t>
      </w:r>
    </w:p>
    <w:p w14:paraId="00000024" w14:textId="77777777" w:rsidR="004511E0" w:rsidRDefault="004511E0">
      <w:pPr>
        <w:shd w:val="clear" w:color="auto" w:fill="FFFFFF"/>
        <w:rPr>
          <w:color w:val="222222"/>
        </w:rPr>
      </w:pPr>
    </w:p>
    <w:p w14:paraId="00000025" w14:textId="77777777" w:rsidR="004511E0" w:rsidRDefault="00947E93">
      <w:pPr>
        <w:shd w:val="clear" w:color="auto" w:fill="FFFFFF"/>
        <w:rPr>
          <w:color w:val="222222"/>
        </w:rPr>
      </w:pPr>
      <w:r>
        <w:rPr>
          <w:color w:val="222222"/>
        </w:rPr>
        <w:t xml:space="preserve">NARALO: </w:t>
      </w:r>
      <w:r>
        <w:rPr>
          <w:color w:val="222222"/>
        </w:rPr>
        <w:tab/>
        <w:t>One in nineteen NextGen from the United States joined NARALO.</w:t>
      </w:r>
    </w:p>
    <w:p w14:paraId="00000026" w14:textId="77777777" w:rsidR="004511E0" w:rsidRDefault="00947E93">
      <w:pPr>
        <w:shd w:val="clear" w:color="auto" w:fill="FFFFFF"/>
        <w:ind w:left="720" w:firstLine="720"/>
        <w:rPr>
          <w:color w:val="222222"/>
        </w:rPr>
      </w:pPr>
      <w:r>
        <w:rPr>
          <w:color w:val="222222"/>
        </w:rPr>
        <w:t xml:space="preserve">None in six NextGen from Canada joined NARALO </w:t>
      </w:r>
    </w:p>
    <w:p w14:paraId="00000027" w14:textId="77777777" w:rsidR="004511E0" w:rsidRDefault="00947E93">
      <w:pPr>
        <w:shd w:val="clear" w:color="auto" w:fill="FFFFFF"/>
        <w:rPr>
          <w:color w:val="222222"/>
        </w:rPr>
      </w:pPr>
      <w:r>
        <w:rPr>
          <w:color w:val="222222"/>
        </w:rPr>
        <w:t xml:space="preserve">EURALO: </w:t>
      </w:r>
      <w:r>
        <w:rPr>
          <w:color w:val="222222"/>
        </w:rPr>
        <w:tab/>
        <w:t>Three NextGen participants are actively involved in EURALO</w:t>
      </w:r>
    </w:p>
    <w:p w14:paraId="00000028" w14:textId="77777777" w:rsidR="004511E0" w:rsidRDefault="004511E0">
      <w:pPr>
        <w:shd w:val="clear" w:color="auto" w:fill="FFFFFF"/>
        <w:rPr>
          <w:color w:val="222222"/>
        </w:rPr>
      </w:pPr>
    </w:p>
    <w:p w14:paraId="00000029" w14:textId="77777777" w:rsidR="004511E0" w:rsidRDefault="00947E93">
      <w:pPr>
        <w:shd w:val="clear" w:color="auto" w:fill="FFFFFF"/>
        <w:rPr>
          <w:color w:val="222222"/>
        </w:rPr>
      </w:pPr>
      <w:r>
        <w:rPr>
          <w:color w:val="222222"/>
        </w:rPr>
        <w:t xml:space="preserve">IG: </w:t>
      </w:r>
      <w:r>
        <w:rPr>
          <w:color w:val="222222"/>
        </w:rPr>
        <w:tab/>
      </w:r>
      <w:r>
        <w:rPr>
          <w:color w:val="222222"/>
        </w:rPr>
        <w:tab/>
        <w:t>Three more are not as activ</w:t>
      </w:r>
      <w:r>
        <w:rPr>
          <w:color w:val="222222"/>
        </w:rPr>
        <w:t xml:space="preserve">e at ICANN but in IG more generally. </w:t>
      </w:r>
    </w:p>
    <w:p w14:paraId="0000002A" w14:textId="77777777" w:rsidR="004511E0" w:rsidRDefault="004511E0">
      <w:pPr>
        <w:shd w:val="clear" w:color="auto" w:fill="FFFFFF"/>
        <w:rPr>
          <w:color w:val="222222"/>
        </w:rPr>
      </w:pPr>
    </w:p>
    <w:p w14:paraId="0000002B" w14:textId="77777777" w:rsidR="004511E0" w:rsidRDefault="00947E93">
      <w:pPr>
        <w:shd w:val="clear" w:color="auto" w:fill="FFFFFF"/>
        <w:rPr>
          <w:color w:val="222222"/>
        </w:rPr>
      </w:pPr>
      <w:r>
        <w:rPr>
          <w:color w:val="222222"/>
        </w:rPr>
        <w:t>It is reasonable to expect that some undergraduate and graduate students have other Internet Governance priorities that are not resolved by volunteering in ICANN, and are busy with other aspects of their education. Yet, it is likely that these numbers also</w:t>
      </w:r>
      <w:r>
        <w:rPr>
          <w:color w:val="222222"/>
        </w:rPr>
        <w:t xml:space="preserve"> speak to a lack of integration of NextGen and the community. Without doubt, the lack of participation in ICANN remotely or in person is a serious issue. Considering however that NextGen participants are  usually “thrown into” a community and meetings that</w:t>
      </w:r>
      <w:r>
        <w:rPr>
          <w:color w:val="222222"/>
        </w:rPr>
        <w:t xml:space="preserve"> are difficult to navigate, it is not surprising that they struggle initially. It should be considered if the NextGen program can be redesigned to encourage longer-term involvement, potentially reducing the number of participants and increasing their conta</w:t>
      </w:r>
      <w:r>
        <w:rPr>
          <w:color w:val="222222"/>
        </w:rPr>
        <w:t xml:space="preserve">ct with ICANN. </w:t>
      </w:r>
    </w:p>
    <w:p w14:paraId="0000002C" w14:textId="77777777" w:rsidR="004511E0" w:rsidRDefault="00947E93">
      <w:pPr>
        <w:pStyle w:val="Heading1"/>
        <w:shd w:val="clear" w:color="auto" w:fill="FFFFFF"/>
        <w:rPr>
          <w:b/>
          <w:color w:val="222222"/>
          <w:sz w:val="24"/>
          <w:szCs w:val="24"/>
        </w:rPr>
      </w:pPr>
      <w:bookmarkStart w:id="5" w:name="_2et92p0" w:colFirst="0" w:colLast="0"/>
      <w:bookmarkEnd w:id="5"/>
      <w:r>
        <w:rPr>
          <w:b/>
          <w:sz w:val="24"/>
          <w:szCs w:val="24"/>
        </w:rPr>
        <w:t>Vision</w:t>
      </w:r>
    </w:p>
    <w:p w14:paraId="0000002D" w14:textId="77777777" w:rsidR="004511E0" w:rsidRDefault="00947E93">
      <w:pPr>
        <w:shd w:val="clear" w:color="auto" w:fill="FFFFFF"/>
      </w:pPr>
      <w:r>
        <w:t>The Nextgen program  has a good objective and its aims are laudable, and we are clearly in favor of maintaining this program. It provides students an insight into ICANN’s workings. However, given that Nextgen participants attend only</w:t>
      </w:r>
      <w:r>
        <w:t xml:space="preserve"> one single ICANN meeting, it is unrealistic to expect a wholesale integration of the Nextgen attendees into ATLARGE and other groups within the ecosystem. On the fellowship program, multiple individuals have been sponsored for multiple meetings, and many </w:t>
      </w:r>
      <w:r>
        <w:t>individuals are now active within the ICANN community and IG more generally. Unlike the fellowship, the NextGen does not seem to be as much of a stepping stone for interested individuals.</w:t>
      </w:r>
    </w:p>
    <w:p w14:paraId="0000002E" w14:textId="77777777" w:rsidR="004511E0" w:rsidRDefault="004511E0">
      <w:pPr>
        <w:jc w:val="both"/>
      </w:pPr>
    </w:p>
    <w:p w14:paraId="0000002F" w14:textId="77777777" w:rsidR="004511E0" w:rsidRDefault="00947E93">
      <w:pPr>
        <w:jc w:val="both"/>
      </w:pPr>
      <w:r>
        <w:t>To enable those individuals who are motivated and interested, the c</w:t>
      </w:r>
      <w:r>
        <w:t xml:space="preserve">ommunity needs to permit  them  to  attend  more than  one meeting and needs to establish programs that go beyond one meeting attendance for nextgen, as was the case with the nextgen ambassadors. For most people, one shot attendance will not be useful. </w:t>
      </w:r>
    </w:p>
    <w:p w14:paraId="00000030" w14:textId="77777777" w:rsidR="004511E0" w:rsidRDefault="004511E0">
      <w:pPr>
        <w:jc w:val="both"/>
      </w:pPr>
    </w:p>
    <w:p w14:paraId="00000031" w14:textId="77777777" w:rsidR="004511E0" w:rsidRDefault="00947E93">
      <w:pPr>
        <w:jc w:val="both"/>
      </w:pPr>
      <w:r>
        <w:t>F</w:t>
      </w:r>
      <w:r>
        <w:t>urthermore, we believe that the program would benefit from becoming more long-term and “serious” per individual selected. This includes NextGen being accepted for two or three meetings, with the first one providing orientation and the latter being used for</w:t>
      </w:r>
      <w:r>
        <w:t xml:space="preserve"> actual, more in-depth engagement with the DNS and ICANN processes. NextGen should, after the first meeting, select </w:t>
      </w:r>
      <w:r>
        <w:lastRenderedPageBreak/>
        <w:t xml:space="preserve">a policy issue and/or constituency and provide support and insight. Topics could include: Shadowing and reporting on a key process like the </w:t>
      </w:r>
      <w:r>
        <w:t>EPDP, or selecting a key issue like DNS Abuse.</w:t>
      </w:r>
    </w:p>
    <w:p w14:paraId="00000032" w14:textId="77777777" w:rsidR="004511E0" w:rsidRDefault="004511E0">
      <w:pPr>
        <w:jc w:val="both"/>
      </w:pPr>
    </w:p>
    <w:p w14:paraId="00000033" w14:textId="77777777" w:rsidR="004511E0" w:rsidRDefault="00947E93">
      <w:pPr>
        <w:pStyle w:val="Heading1"/>
        <w:rPr>
          <w:sz w:val="28"/>
          <w:szCs w:val="28"/>
        </w:rPr>
      </w:pPr>
      <w:bookmarkStart w:id="6" w:name="_tyjcwt" w:colFirst="0" w:colLast="0"/>
      <w:bookmarkEnd w:id="6"/>
      <w:r>
        <w:rPr>
          <w:sz w:val="22"/>
          <w:szCs w:val="22"/>
        </w:rPr>
        <w:t>For our vision to work, the selection of NextGen participants would likely have to be more involved, selecting fewer, but more invested and appropriately skilled, individuals. To achieve this, the process mig</w:t>
      </w:r>
      <w:r>
        <w:rPr>
          <w:sz w:val="22"/>
          <w:szCs w:val="22"/>
        </w:rPr>
        <w:t>ht involve interviews or reviews of CVs. On the other hand, it might be useful to remove regional limitations, particularly for more experienced individuals like PhD and Master’s students.</w:t>
      </w:r>
    </w:p>
    <w:p w14:paraId="00000034" w14:textId="77777777" w:rsidR="004511E0" w:rsidRDefault="00947E93">
      <w:pPr>
        <w:pStyle w:val="Heading1"/>
      </w:pPr>
      <w:bookmarkStart w:id="7" w:name="_3dy6vkm" w:colFirst="0" w:colLast="0"/>
      <w:bookmarkEnd w:id="7"/>
      <w:r>
        <w:rPr>
          <w:b/>
          <w:sz w:val="24"/>
          <w:szCs w:val="24"/>
        </w:rPr>
        <w:t xml:space="preserve">Recommendations </w:t>
      </w:r>
      <w:r>
        <w:t xml:space="preserve"> </w:t>
      </w:r>
    </w:p>
    <w:p w14:paraId="00000035" w14:textId="77777777" w:rsidR="004511E0" w:rsidRDefault="004511E0"/>
    <w:p w14:paraId="00000036" w14:textId="77777777" w:rsidR="004511E0" w:rsidRDefault="00947E93">
      <w:pPr>
        <w:numPr>
          <w:ilvl w:val="0"/>
          <w:numId w:val="2"/>
        </w:numPr>
      </w:pPr>
      <w:r>
        <w:t>Our key recommendation is to redesign the NextGe</w:t>
      </w:r>
      <w:r>
        <w:t xml:space="preserve">n program: removing its “one-off” nature, and giving hand-picked, qualified participants more of a chance to engage the ICANN community and become involved. </w:t>
      </w:r>
    </w:p>
    <w:p w14:paraId="00000037" w14:textId="77777777" w:rsidR="004511E0" w:rsidRDefault="00947E93">
      <w:pPr>
        <w:numPr>
          <w:ilvl w:val="0"/>
          <w:numId w:val="2"/>
        </w:numPr>
      </w:pPr>
      <w:r>
        <w:t>Open more opportunities for participants of the  NextGen Program to interactthe Fellowship Program</w:t>
      </w:r>
      <w:r>
        <w:t>, e.g. through more shared sessions. This will allow for excellent opportunities to get feedback from other individuals, probably with more experience in the ICANN environment and provide good tips on next steps to smoothly engage.</w:t>
      </w:r>
    </w:p>
    <w:p w14:paraId="00000038" w14:textId="77777777" w:rsidR="004511E0" w:rsidRDefault="00947E93">
      <w:pPr>
        <w:numPr>
          <w:ilvl w:val="0"/>
          <w:numId w:val="2"/>
        </w:numPr>
      </w:pPr>
      <w:r>
        <w:t>Embed questions in the a</w:t>
      </w:r>
      <w:r>
        <w:t>pplication geared towards identifying:</w:t>
      </w:r>
    </w:p>
    <w:p w14:paraId="00000039" w14:textId="77777777" w:rsidR="004511E0" w:rsidRDefault="00947E93">
      <w:pPr>
        <w:numPr>
          <w:ilvl w:val="1"/>
          <w:numId w:val="2"/>
        </w:numPr>
      </w:pPr>
      <w:r>
        <w:t>Undergraduate students, and graduate / doctoral students from ICANN meeting region, and</w:t>
      </w:r>
    </w:p>
    <w:p w14:paraId="0000003A" w14:textId="77777777" w:rsidR="004511E0" w:rsidRDefault="00947E93">
      <w:pPr>
        <w:numPr>
          <w:ilvl w:val="1"/>
          <w:numId w:val="2"/>
        </w:numPr>
      </w:pPr>
      <w:r>
        <w:t>Underserved, under-represented, and indigenous communities</w:t>
      </w:r>
    </w:p>
    <w:p w14:paraId="0000003B" w14:textId="77777777" w:rsidR="004511E0" w:rsidRDefault="00947E93">
      <w:pPr>
        <w:numPr>
          <w:ilvl w:val="1"/>
          <w:numId w:val="2"/>
        </w:numPr>
      </w:pPr>
      <w:r>
        <w:t>Individuals with identified subject interest / fit to ICANN discussion</w:t>
      </w:r>
      <w:r>
        <w:t>s ( independent of the region for highly specialized individuals like PhD students).</w:t>
      </w:r>
    </w:p>
    <w:p w14:paraId="0000003C" w14:textId="77777777" w:rsidR="004511E0" w:rsidRDefault="00947E93">
      <w:pPr>
        <w:ind w:left="1440"/>
      </w:pPr>
      <w:r>
        <w:t xml:space="preserve">The application should include more information for the selection committee, like a short CV and cover letters. </w:t>
      </w:r>
    </w:p>
    <w:p w14:paraId="0000003D" w14:textId="77777777" w:rsidR="004511E0" w:rsidRDefault="00947E93">
      <w:pPr>
        <w:numPr>
          <w:ilvl w:val="0"/>
          <w:numId w:val="2"/>
        </w:numPr>
      </w:pPr>
      <w:r>
        <w:t>Restrict the program to only those over 18 years for NextGen and Fellowship Programs.</w:t>
      </w:r>
    </w:p>
    <w:p w14:paraId="0000003E" w14:textId="77777777" w:rsidR="004511E0" w:rsidRDefault="00947E93">
      <w:pPr>
        <w:numPr>
          <w:ilvl w:val="0"/>
          <w:numId w:val="2"/>
        </w:numPr>
      </w:pPr>
      <w:r>
        <w:t>Mentors should be selected based on similar criteria used for the Fellowship Program, and those chosen must be representative of the different AC/SO’s.</w:t>
      </w:r>
    </w:p>
    <w:p w14:paraId="0000003F" w14:textId="77777777" w:rsidR="004511E0" w:rsidRDefault="00947E93">
      <w:pPr>
        <w:numPr>
          <w:ilvl w:val="0"/>
          <w:numId w:val="2"/>
        </w:numPr>
      </w:pPr>
      <w:r>
        <w:t>The idea of expect</w:t>
      </w:r>
      <w:r>
        <w:t>ing NextGenners to immediately get involved in ICANN is not realistic, unless their studies are linked to ICANN’s mission and/or prior involvement with ICANN exists. However, it is feasible to establish a relationship with the corresponding GSE and help co</w:t>
      </w:r>
      <w:r>
        <w:t>ordinate local/regional events.</w:t>
      </w:r>
    </w:p>
    <w:p w14:paraId="00000040" w14:textId="77777777" w:rsidR="004511E0" w:rsidRDefault="00947E93">
      <w:pPr>
        <w:numPr>
          <w:ilvl w:val="0"/>
          <w:numId w:val="2"/>
        </w:numPr>
        <w:rPr>
          <w:color w:val="434343"/>
        </w:rPr>
      </w:pPr>
      <w:r>
        <w:rPr>
          <w:color w:val="434343"/>
        </w:rPr>
        <w:t xml:space="preserve">Expand the programme to include multi-ICANN meetings for participation to help NextGen to truly understand and work with the ICANN community. </w:t>
      </w:r>
    </w:p>
    <w:p w14:paraId="00000041" w14:textId="77777777" w:rsidR="004511E0" w:rsidRDefault="00947E93">
      <w:pPr>
        <w:numPr>
          <w:ilvl w:val="0"/>
          <w:numId w:val="2"/>
        </w:numPr>
        <w:rPr>
          <w:color w:val="434343"/>
        </w:rPr>
      </w:pPr>
      <w:r>
        <w:rPr>
          <w:color w:val="434343"/>
        </w:rPr>
        <w:t>Before the first meeting, mandatory ICANN Learn courses and community introductio</w:t>
      </w:r>
      <w:r>
        <w:rPr>
          <w:color w:val="434343"/>
        </w:rPr>
        <w:t xml:space="preserve">n webinars should cover theoretical knowledge before experiencing the actual meeting. These sessions should also  pointers to relevant communities and individuals. </w:t>
      </w:r>
    </w:p>
    <w:p w14:paraId="00000042" w14:textId="77777777" w:rsidR="004511E0" w:rsidRDefault="00947E93">
      <w:pPr>
        <w:numPr>
          <w:ilvl w:val="0"/>
          <w:numId w:val="2"/>
        </w:numPr>
        <w:rPr>
          <w:color w:val="434343"/>
        </w:rPr>
      </w:pPr>
      <w:r>
        <w:rPr>
          <w:color w:val="434343"/>
        </w:rPr>
        <w:t>Provide a series of criteria for what is expected from a NextGen participating in an ICANN meeting.</w:t>
      </w:r>
    </w:p>
    <w:p w14:paraId="00000043" w14:textId="77777777" w:rsidR="004511E0" w:rsidRDefault="00947E93">
      <w:pPr>
        <w:numPr>
          <w:ilvl w:val="0"/>
          <w:numId w:val="2"/>
        </w:numPr>
        <w:rPr>
          <w:color w:val="434343"/>
        </w:rPr>
      </w:pPr>
      <w:r>
        <w:rPr>
          <w:color w:val="434343"/>
        </w:rPr>
        <w:lastRenderedPageBreak/>
        <w:t>Provide a list of previous ICANN community involvement done by applicants prior to attending an ICANN meeting</w:t>
      </w:r>
    </w:p>
    <w:p w14:paraId="00000044" w14:textId="77777777" w:rsidR="004511E0" w:rsidRDefault="00947E93">
      <w:pPr>
        <w:pStyle w:val="Heading1"/>
        <w:jc w:val="both"/>
        <w:rPr>
          <w:b/>
          <w:sz w:val="24"/>
          <w:szCs w:val="24"/>
        </w:rPr>
      </w:pPr>
      <w:bookmarkStart w:id="8" w:name="_1t3h5sf" w:colFirst="0" w:colLast="0"/>
      <w:bookmarkEnd w:id="8"/>
      <w:r>
        <w:rPr>
          <w:b/>
          <w:sz w:val="24"/>
          <w:szCs w:val="24"/>
        </w:rPr>
        <w:t>Conclusion</w:t>
      </w:r>
    </w:p>
    <w:p w14:paraId="00000045" w14:textId="77777777" w:rsidR="004511E0" w:rsidRDefault="00947E93">
      <w:r>
        <w:t>NextGen is a laudable program desig</w:t>
      </w:r>
      <w:r>
        <w:t xml:space="preserve">ned to  "engage and educate" but it currently fails to provide most of its participants with concrete connectivity to the community but rather a cursory one-off experience. While the ALAC considers NextGen to be an important and useful program, we believe </w:t>
      </w:r>
      <w:r>
        <w:t xml:space="preserve">that the program has to be rethought, so that participants are selected with a stronger focus on their work and can then attend more than one meeting to engage with the community and find their “policy home”. </w:t>
      </w:r>
    </w:p>
    <w:p w14:paraId="00000046" w14:textId="77777777" w:rsidR="004511E0" w:rsidRDefault="004511E0"/>
    <w:bookmarkStart w:id="9" w:name="_4d34og8" w:colFirst="0" w:colLast="0"/>
    <w:bookmarkEnd w:id="9"/>
    <w:p w14:paraId="00000047" w14:textId="77777777" w:rsidR="004511E0" w:rsidRDefault="00947E93">
      <w:pPr>
        <w:pStyle w:val="Heading1"/>
        <w:keepNext w:val="0"/>
        <w:keepLines w:val="0"/>
        <w:shd w:val="clear" w:color="auto" w:fill="FFFFFF"/>
        <w:spacing w:before="0" w:after="380"/>
      </w:pPr>
      <w:r>
        <w:fldChar w:fldCharType="begin"/>
      </w:r>
      <w:r>
        <w:instrText xml:space="preserve"> HYPERLINK "https://atlarge.icann.org/advic</w:instrText>
      </w:r>
      <w:r>
        <w:instrText xml:space="preserve">e_statements/13769" \h </w:instrText>
      </w:r>
      <w:r>
        <w:fldChar w:fldCharType="separate"/>
      </w:r>
      <w:r>
        <w:rPr>
          <w:b/>
          <w:color w:val="1155CC"/>
          <w:sz w:val="28"/>
          <w:szCs w:val="28"/>
          <w:u w:val="single"/>
        </w:rPr>
        <w:t>Initial Report of the Expedited Policy Development Process (EPDP) on the Temporary Specification for gTLD Registration Data Team – PHASE 2</w:t>
      </w:r>
      <w:r>
        <w:rPr>
          <w:b/>
          <w:color w:val="1155CC"/>
          <w:sz w:val="28"/>
          <w:szCs w:val="28"/>
          <w:u w:val="single"/>
        </w:rPr>
        <w:fldChar w:fldCharType="end"/>
      </w:r>
    </w:p>
    <w:p w14:paraId="00000048" w14:textId="77777777" w:rsidR="004511E0" w:rsidRDefault="00947E93">
      <w:pPr>
        <w:pStyle w:val="Heading1"/>
        <w:keepNext w:val="0"/>
        <w:keepLines w:val="0"/>
        <w:shd w:val="clear" w:color="auto" w:fill="FFFFFF"/>
        <w:spacing w:before="0" w:after="380"/>
        <w:rPr>
          <w:rFonts w:ascii="Roboto" w:eastAsia="Roboto" w:hAnsi="Roboto" w:cs="Roboto"/>
          <w:color w:val="333333"/>
          <w:sz w:val="21"/>
          <w:szCs w:val="21"/>
        </w:rPr>
      </w:pPr>
      <w:bookmarkStart w:id="10" w:name="_2s8eyo1" w:colFirst="0" w:colLast="0"/>
      <w:bookmarkEnd w:id="10"/>
      <w:r>
        <w:rPr>
          <w:rFonts w:ascii="Roboto" w:eastAsia="Roboto" w:hAnsi="Roboto" w:cs="Roboto"/>
          <w:color w:val="333333"/>
          <w:sz w:val="21"/>
          <w:szCs w:val="21"/>
        </w:rPr>
        <w:t>The ALAC appreciates ICANN putting forward the EPDP on the temporary specification for gTLD r</w:t>
      </w:r>
      <w:r>
        <w:rPr>
          <w:rFonts w:ascii="Roboto" w:eastAsia="Roboto" w:hAnsi="Roboto" w:cs="Roboto"/>
          <w:color w:val="333333"/>
          <w:sz w:val="21"/>
          <w:szCs w:val="21"/>
        </w:rPr>
        <w:t>egistration data, phase 2 report for public comment and takes this opportunity to provide its comment herewith.</w:t>
      </w:r>
    </w:p>
    <w:p w14:paraId="00000049"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333333"/>
          <w:sz w:val="21"/>
          <w:szCs w:val="21"/>
        </w:rPr>
      </w:pPr>
      <w:r>
        <w:rPr>
          <w:rFonts w:ascii="Roboto" w:eastAsia="Roboto" w:hAnsi="Roboto" w:cs="Roboto"/>
          <w:color w:val="333333"/>
          <w:sz w:val="21"/>
          <w:szCs w:val="21"/>
        </w:rPr>
        <w:t>For all Recommendations not listed here, we are recommending that the ALAC “Support as written”.</w:t>
      </w:r>
    </w:p>
    <w:p w14:paraId="0000004A"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b/>
          <w:color w:val="333333"/>
          <w:sz w:val="21"/>
          <w:szCs w:val="21"/>
        </w:rPr>
      </w:pPr>
      <w:r>
        <w:rPr>
          <w:rFonts w:ascii="Roboto" w:eastAsia="Roboto" w:hAnsi="Roboto" w:cs="Roboto"/>
          <w:b/>
          <w:color w:val="333333"/>
          <w:sz w:val="21"/>
          <w:szCs w:val="21"/>
        </w:rPr>
        <w:t>Recommendation #1: Accreditation</w:t>
      </w:r>
    </w:p>
    <w:p w14:paraId="0000004B"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333333"/>
          <w:sz w:val="21"/>
          <w:szCs w:val="21"/>
        </w:rPr>
      </w:pPr>
      <w:r>
        <w:rPr>
          <w:rFonts w:ascii="Roboto" w:eastAsia="Roboto" w:hAnsi="Roboto" w:cs="Roboto"/>
          <w:color w:val="333333"/>
          <w:sz w:val="21"/>
          <w:szCs w:val="21"/>
        </w:rPr>
        <w:t>Response: Supp</w:t>
      </w:r>
      <w:r>
        <w:rPr>
          <w:rFonts w:ascii="Roboto" w:eastAsia="Roboto" w:hAnsi="Roboto" w:cs="Roboto"/>
          <w:color w:val="333333"/>
          <w:sz w:val="21"/>
          <w:szCs w:val="21"/>
        </w:rPr>
        <w:t>ort with wording change.</w:t>
      </w:r>
    </w:p>
    <w:p w14:paraId="0000004C"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333333"/>
          <w:sz w:val="21"/>
          <w:szCs w:val="21"/>
        </w:rPr>
      </w:pPr>
      <w:r>
        <w:rPr>
          <w:rFonts w:ascii="Roboto" w:eastAsia="Roboto" w:hAnsi="Roboto" w:cs="Roboto"/>
          <w:color w:val="333333"/>
          <w:sz w:val="21"/>
          <w:szCs w:val="21"/>
        </w:rPr>
        <w:t>Accreditation is an important element of the SSAD as it saves the time and effort required by decision-making entities to verify the requestor, provides external assurance that the requestors have been verified and reduces the load</w:t>
      </w:r>
      <w:r>
        <w:rPr>
          <w:rFonts w:ascii="Roboto" w:eastAsia="Roboto" w:hAnsi="Roboto" w:cs="Roboto"/>
          <w:color w:val="333333"/>
          <w:sz w:val="21"/>
          <w:szCs w:val="21"/>
        </w:rPr>
        <w:t xml:space="preserve"> on the SSAD. However, the ALAC is concerned that given the fact that requests to SSAD can only be submitted by accredited users, the accreditation process could end up being a bottleneck, limiting access to the system. We therefore see that the accreditat</w:t>
      </w:r>
      <w:r>
        <w:rPr>
          <w:rFonts w:ascii="Roboto" w:eastAsia="Roboto" w:hAnsi="Roboto" w:cs="Roboto"/>
          <w:color w:val="333333"/>
          <w:sz w:val="21"/>
          <w:szCs w:val="21"/>
        </w:rPr>
        <w:t xml:space="preserve">ion entity in addition to having a uniform baseline application procedure and accompanying requirements should also have a clear timeline for its process and response.   </w:t>
      </w:r>
    </w:p>
    <w:p w14:paraId="0000004D"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b/>
          <w:color w:val="333333"/>
          <w:sz w:val="21"/>
          <w:szCs w:val="21"/>
        </w:rPr>
      </w:pPr>
      <w:r>
        <w:rPr>
          <w:rFonts w:ascii="Roboto" w:eastAsia="Roboto" w:hAnsi="Roboto" w:cs="Roboto"/>
          <w:b/>
          <w:color w:val="333333"/>
          <w:sz w:val="21"/>
          <w:szCs w:val="21"/>
        </w:rPr>
        <w:t>Recommendation #6: Contracted Party Authorization</w:t>
      </w:r>
    </w:p>
    <w:p w14:paraId="0000004E"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333333"/>
          <w:sz w:val="21"/>
          <w:szCs w:val="21"/>
        </w:rPr>
      </w:pPr>
      <w:r>
        <w:rPr>
          <w:rFonts w:ascii="Roboto" w:eastAsia="Roboto" w:hAnsi="Roboto" w:cs="Roboto"/>
          <w:color w:val="333333"/>
          <w:sz w:val="21"/>
          <w:szCs w:val="21"/>
        </w:rPr>
        <w:t>Response: Support with wording chan</w:t>
      </w:r>
      <w:r>
        <w:rPr>
          <w:rFonts w:ascii="Roboto" w:eastAsia="Roboto" w:hAnsi="Roboto" w:cs="Roboto"/>
          <w:color w:val="333333"/>
          <w:sz w:val="21"/>
          <w:szCs w:val="21"/>
        </w:rPr>
        <w:t>ge.</w:t>
      </w:r>
    </w:p>
    <w:p w14:paraId="0000004F"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333333"/>
          <w:sz w:val="21"/>
          <w:szCs w:val="21"/>
        </w:rPr>
      </w:pPr>
      <w:r>
        <w:rPr>
          <w:rFonts w:ascii="Roboto" w:eastAsia="Roboto" w:hAnsi="Roboto" w:cs="Roboto"/>
          <w:color w:val="333333"/>
          <w:sz w:val="21"/>
          <w:szCs w:val="21"/>
        </w:rPr>
        <w:t>The recommendation requires the contracted party to determine if the requestor provided legitimate interest or other lawful basis in processing the data and if the data requested is necessary to the requestors stated purpose. If the answer is affirmati</w:t>
      </w:r>
      <w:r>
        <w:rPr>
          <w:rFonts w:ascii="Roboto" w:eastAsia="Roboto" w:hAnsi="Roboto" w:cs="Roboto"/>
          <w:color w:val="333333"/>
          <w:sz w:val="21"/>
          <w:szCs w:val="21"/>
        </w:rPr>
        <w:t>ve the contracted party examines if the requested data contains personal data, if not then the data is disclosed without further consideration. We note that there is no need to examine the lawful basis and interest of the requestor if no personal data is r</w:t>
      </w:r>
      <w:r>
        <w:rPr>
          <w:rFonts w:ascii="Roboto" w:eastAsia="Roboto" w:hAnsi="Roboto" w:cs="Roboto"/>
          <w:color w:val="333333"/>
          <w:sz w:val="21"/>
          <w:szCs w:val="21"/>
        </w:rPr>
        <w:t xml:space="preserve">equired. Non-personal information is not protected under GDPR and all requestors are accredited users thus their identity is verified, this is an unnecessary step that: a) </w:t>
      </w:r>
      <w:r>
        <w:rPr>
          <w:rFonts w:ascii="Roboto" w:eastAsia="Roboto" w:hAnsi="Roboto" w:cs="Roboto"/>
          <w:color w:val="333333"/>
          <w:sz w:val="21"/>
          <w:szCs w:val="21"/>
        </w:rPr>
        <w:lastRenderedPageBreak/>
        <w:t>may allow the rejection of a request where the requested data is not protected under</w:t>
      </w:r>
      <w:r>
        <w:rPr>
          <w:rFonts w:ascii="Roboto" w:eastAsia="Roboto" w:hAnsi="Roboto" w:cs="Roboto"/>
          <w:color w:val="333333"/>
          <w:sz w:val="21"/>
          <w:szCs w:val="21"/>
        </w:rPr>
        <w:t xml:space="preserve"> GDPR or  b) may delay the response to a request that includes non-personal information.</w:t>
      </w:r>
    </w:p>
    <w:p w14:paraId="00000050"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b/>
          <w:color w:val="333333"/>
          <w:sz w:val="21"/>
          <w:szCs w:val="21"/>
        </w:rPr>
      </w:pPr>
      <w:r>
        <w:rPr>
          <w:rFonts w:ascii="Roboto" w:eastAsia="Roboto" w:hAnsi="Roboto" w:cs="Roboto"/>
          <w:b/>
          <w:color w:val="333333"/>
          <w:sz w:val="21"/>
          <w:szCs w:val="21"/>
        </w:rPr>
        <w:t>Recommendation #7: Authorization for automated disclosure requests</w:t>
      </w:r>
    </w:p>
    <w:p w14:paraId="00000051"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333333"/>
          <w:sz w:val="21"/>
          <w:szCs w:val="21"/>
        </w:rPr>
      </w:pPr>
      <w:r>
        <w:rPr>
          <w:rFonts w:ascii="Roboto" w:eastAsia="Roboto" w:hAnsi="Roboto" w:cs="Roboto"/>
          <w:color w:val="333333"/>
          <w:sz w:val="21"/>
          <w:szCs w:val="21"/>
        </w:rPr>
        <w:t>Response: Support with wording change.The EPDP team has indicated only two types of disclosure reque</w:t>
      </w:r>
      <w:r>
        <w:rPr>
          <w:rFonts w:ascii="Roboto" w:eastAsia="Roboto" w:hAnsi="Roboto" w:cs="Roboto"/>
          <w:color w:val="333333"/>
          <w:sz w:val="21"/>
          <w:szCs w:val="21"/>
        </w:rPr>
        <w:t>sts that can be automated from the start. We note that automation provides consistency, sustainability and quicker response time. We recommend trying to put forward more types of disclosure requests for automation by seeking the advice of the DPA’s. Such r</w:t>
      </w:r>
      <w:r>
        <w:rPr>
          <w:rFonts w:ascii="Roboto" w:eastAsia="Roboto" w:hAnsi="Roboto" w:cs="Roboto"/>
          <w:color w:val="333333"/>
          <w:sz w:val="21"/>
          <w:szCs w:val="21"/>
        </w:rPr>
        <w:t xml:space="preserve">equests should site explicit classes of requests and the rationale for allowing automated disclosure. </w:t>
      </w:r>
    </w:p>
    <w:p w14:paraId="00000052"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333333"/>
          <w:sz w:val="21"/>
          <w:szCs w:val="21"/>
        </w:rPr>
      </w:pPr>
      <w:r>
        <w:rPr>
          <w:rFonts w:ascii="Roboto" w:eastAsia="Roboto" w:hAnsi="Roboto" w:cs="Roboto"/>
          <w:color w:val="333333"/>
          <w:sz w:val="21"/>
          <w:szCs w:val="21"/>
        </w:rPr>
        <w:t>This work can be done during the implementation phase but must explicitly be described in the final report.</w:t>
      </w:r>
    </w:p>
    <w:p w14:paraId="00000053"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b/>
          <w:color w:val="333333"/>
          <w:sz w:val="21"/>
          <w:szCs w:val="21"/>
        </w:rPr>
      </w:pPr>
      <w:r>
        <w:rPr>
          <w:rFonts w:ascii="Roboto" w:eastAsia="Roboto" w:hAnsi="Roboto" w:cs="Roboto"/>
          <w:b/>
          <w:color w:val="333333"/>
          <w:sz w:val="21"/>
          <w:szCs w:val="21"/>
        </w:rPr>
        <w:t xml:space="preserve">Recommendation #9: Determining variable SLAs </w:t>
      </w:r>
      <w:r>
        <w:rPr>
          <w:rFonts w:ascii="Roboto" w:eastAsia="Roboto" w:hAnsi="Roboto" w:cs="Roboto"/>
          <w:b/>
          <w:color w:val="333333"/>
          <w:sz w:val="21"/>
          <w:szCs w:val="21"/>
        </w:rPr>
        <w:t>for response times for SSAD</w:t>
      </w:r>
    </w:p>
    <w:p w14:paraId="00000054"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333333"/>
          <w:sz w:val="21"/>
          <w:szCs w:val="21"/>
        </w:rPr>
      </w:pPr>
      <w:r>
        <w:rPr>
          <w:rFonts w:ascii="Roboto" w:eastAsia="Roboto" w:hAnsi="Roboto" w:cs="Roboto"/>
          <w:color w:val="333333"/>
          <w:sz w:val="21"/>
          <w:szCs w:val="21"/>
        </w:rPr>
        <w:t>Response: Support with wording change.</w:t>
      </w:r>
    </w:p>
    <w:p w14:paraId="00000055"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333333"/>
          <w:sz w:val="21"/>
          <w:szCs w:val="21"/>
        </w:rPr>
      </w:pPr>
      <w:r>
        <w:rPr>
          <w:rFonts w:ascii="Roboto" w:eastAsia="Roboto" w:hAnsi="Roboto" w:cs="Roboto"/>
          <w:color w:val="333333"/>
          <w:sz w:val="21"/>
          <w:szCs w:val="21"/>
        </w:rPr>
        <w:t>Urgent requests that are defined as circumstances that pose an imminent threat to life, serious bodily injury, critical infrastructure (Online and offline) or child exploitation, are critical situations that require immediate responses. According to the re</w:t>
      </w:r>
      <w:r>
        <w:rPr>
          <w:rFonts w:ascii="Roboto" w:eastAsia="Roboto" w:hAnsi="Roboto" w:cs="Roboto"/>
          <w:color w:val="333333"/>
          <w:sz w:val="21"/>
          <w:szCs w:val="21"/>
        </w:rPr>
        <w:t>commendation, the urgent response is one business day that is if the request is submitted on a Friday afternoon the response could be provided on Monday that is after three days, we regard this as a very long response period for an urgent request and recom</w:t>
      </w:r>
      <w:r>
        <w:rPr>
          <w:rFonts w:ascii="Roboto" w:eastAsia="Roboto" w:hAnsi="Roboto" w:cs="Roboto"/>
          <w:color w:val="333333"/>
          <w:sz w:val="21"/>
          <w:szCs w:val="21"/>
        </w:rPr>
        <w:t>mend that the response is one day instead of one business day.</w:t>
      </w:r>
    </w:p>
    <w:p w14:paraId="00000056"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333333"/>
          <w:sz w:val="21"/>
          <w:szCs w:val="21"/>
        </w:rPr>
      </w:pPr>
      <w:r>
        <w:rPr>
          <w:rFonts w:ascii="Roboto" w:eastAsia="Roboto" w:hAnsi="Roboto" w:cs="Roboto"/>
          <w:color w:val="333333"/>
          <w:sz w:val="21"/>
          <w:szCs w:val="21"/>
        </w:rPr>
        <w:t>The RAA already calls for 24 hour staffing for certain types of urgent requests and this class of disclosure request should be treated similarly.</w:t>
      </w:r>
    </w:p>
    <w:p w14:paraId="00000057"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b/>
          <w:color w:val="333333"/>
          <w:sz w:val="21"/>
          <w:szCs w:val="21"/>
        </w:rPr>
      </w:pPr>
      <w:r>
        <w:rPr>
          <w:rFonts w:ascii="Roboto" w:eastAsia="Roboto" w:hAnsi="Roboto" w:cs="Roboto"/>
          <w:b/>
          <w:color w:val="333333"/>
          <w:sz w:val="21"/>
          <w:szCs w:val="21"/>
        </w:rPr>
        <w:t>Recommendation #15: Financial Sustainability</w:t>
      </w:r>
    </w:p>
    <w:p w14:paraId="00000058"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333333"/>
          <w:sz w:val="21"/>
          <w:szCs w:val="21"/>
        </w:rPr>
      </w:pPr>
      <w:r>
        <w:rPr>
          <w:rFonts w:ascii="Roboto" w:eastAsia="Roboto" w:hAnsi="Roboto" w:cs="Roboto"/>
          <w:color w:val="333333"/>
          <w:sz w:val="21"/>
          <w:szCs w:val="21"/>
        </w:rPr>
        <w:t>Re</w:t>
      </w:r>
      <w:r>
        <w:rPr>
          <w:rFonts w:ascii="Roboto" w:eastAsia="Roboto" w:hAnsi="Roboto" w:cs="Roboto"/>
          <w:color w:val="333333"/>
          <w:sz w:val="21"/>
          <w:szCs w:val="21"/>
        </w:rPr>
        <w:t>sponse: Support with wording change.</w:t>
      </w:r>
    </w:p>
    <w:p w14:paraId="00000059"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333333"/>
          <w:sz w:val="21"/>
          <w:szCs w:val="21"/>
        </w:rPr>
      </w:pPr>
      <w:r>
        <w:rPr>
          <w:rFonts w:ascii="Roboto" w:eastAsia="Roboto" w:hAnsi="Roboto" w:cs="Roboto"/>
          <w:color w:val="333333"/>
          <w:sz w:val="21"/>
          <w:szCs w:val="21"/>
        </w:rPr>
        <w:t xml:space="preserve">The phrase “Data subjects MUST NOT bear the costs for having their data disclosed to third parties” is too vague and subject to mis-interpretation. Registrants, directly or indirectly are the prime soruce of revenue to </w:t>
      </w:r>
      <w:r>
        <w:rPr>
          <w:rFonts w:ascii="Roboto" w:eastAsia="Roboto" w:hAnsi="Roboto" w:cs="Roboto"/>
          <w:color w:val="333333"/>
          <w:sz w:val="21"/>
          <w:szCs w:val="21"/>
        </w:rPr>
        <w:t>ICANN and a major source of revenue to contracted parties. So the costs borne by ICANN and contracted parties implicitly (which this recommendation allows)  DOES ultimately come from registrants.</w:t>
      </w:r>
    </w:p>
    <w:p w14:paraId="0000005A"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333333"/>
          <w:sz w:val="21"/>
          <w:szCs w:val="21"/>
        </w:rPr>
      </w:pPr>
      <w:r>
        <w:rPr>
          <w:rFonts w:ascii="Roboto" w:eastAsia="Roboto" w:hAnsi="Roboto" w:cs="Roboto"/>
          <w:color w:val="333333"/>
          <w:sz w:val="21"/>
          <w:szCs w:val="21"/>
        </w:rPr>
        <w:t>The wording should be changed to say “a Registrant should no</w:t>
      </w:r>
      <w:r>
        <w:rPr>
          <w:rFonts w:ascii="Roboto" w:eastAsia="Roboto" w:hAnsi="Roboto" w:cs="Roboto"/>
          <w:color w:val="333333"/>
          <w:sz w:val="21"/>
          <w:szCs w:val="21"/>
        </w:rPr>
        <w:t>t be subjected to explicit additional charges associated with the operation of the SSAD”.</w:t>
      </w:r>
    </w:p>
    <w:p w14:paraId="0000005B"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333333"/>
          <w:sz w:val="21"/>
          <w:szCs w:val="21"/>
        </w:rPr>
      </w:pPr>
      <w:r>
        <w:rPr>
          <w:rFonts w:ascii="Roboto" w:eastAsia="Roboto" w:hAnsi="Roboto" w:cs="Roboto"/>
          <w:color w:val="333333"/>
          <w:sz w:val="21"/>
          <w:szCs w:val="21"/>
        </w:rPr>
        <w:t>In addition, the ALAC strongly believes that the fee structure must provide preferential treatment to CERTS, academic research and similar endeavours.</w:t>
      </w:r>
    </w:p>
    <w:p w14:paraId="0000005C"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b/>
          <w:color w:val="333333"/>
          <w:sz w:val="21"/>
          <w:szCs w:val="21"/>
        </w:rPr>
      </w:pPr>
      <w:r>
        <w:rPr>
          <w:rFonts w:ascii="Roboto" w:eastAsia="Roboto" w:hAnsi="Roboto" w:cs="Roboto"/>
          <w:b/>
          <w:color w:val="333333"/>
          <w:sz w:val="21"/>
          <w:szCs w:val="21"/>
        </w:rPr>
        <w:t xml:space="preserve">Recommendation </w:t>
      </w:r>
      <w:r>
        <w:rPr>
          <w:rFonts w:ascii="Roboto" w:eastAsia="Roboto" w:hAnsi="Roboto" w:cs="Roboto"/>
          <w:b/>
          <w:color w:val="333333"/>
          <w:sz w:val="21"/>
          <w:szCs w:val="21"/>
        </w:rPr>
        <w:t>#19 Mechanism for the evolution of the SSAD</w:t>
      </w:r>
    </w:p>
    <w:p w14:paraId="0000005D"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333333"/>
          <w:sz w:val="21"/>
          <w:szCs w:val="21"/>
        </w:rPr>
      </w:pPr>
      <w:r>
        <w:rPr>
          <w:rFonts w:ascii="Roboto" w:eastAsia="Roboto" w:hAnsi="Roboto" w:cs="Roboto"/>
          <w:color w:val="333333"/>
          <w:sz w:val="21"/>
          <w:szCs w:val="21"/>
        </w:rPr>
        <w:t xml:space="preserve">Response: Support with wording change.The ALAC notes the importance of introducing a methodology through which the system can improve and more cases out of experience and learning can be automated. We do not see </w:t>
      </w:r>
      <w:r>
        <w:rPr>
          <w:rFonts w:ascii="Roboto" w:eastAsia="Roboto" w:hAnsi="Roboto" w:cs="Roboto"/>
          <w:color w:val="333333"/>
          <w:sz w:val="21"/>
          <w:szCs w:val="21"/>
        </w:rPr>
        <w:t>any existing procedures that can be used to meet this responsibility and suggest forming an SSAD implementation council consisting from all stakeholders. The responsibility of the SSAD implementation council would be looking into the types of disclosures t</w:t>
      </w:r>
      <w:r>
        <w:rPr>
          <w:rFonts w:ascii="Roboto" w:eastAsia="Roboto" w:hAnsi="Roboto" w:cs="Roboto"/>
          <w:color w:val="333333"/>
          <w:sz w:val="21"/>
          <w:szCs w:val="21"/>
        </w:rPr>
        <w:t xml:space="preserve">hat out of experience are deemed to automatable and recommend moving its </w:t>
      </w:r>
      <w:r>
        <w:rPr>
          <w:rFonts w:ascii="Roboto" w:eastAsia="Roboto" w:hAnsi="Roboto" w:cs="Roboto"/>
          <w:color w:val="333333"/>
          <w:sz w:val="21"/>
          <w:szCs w:val="21"/>
        </w:rPr>
        <w:lastRenderedPageBreak/>
        <w:t>decision making to the central gateway manager who would provide an automated response to such requests. To be clear, the “mechanism” that is established by the recommendation must ha</w:t>
      </w:r>
      <w:r>
        <w:rPr>
          <w:rFonts w:ascii="Roboto" w:eastAsia="Roboto" w:hAnsi="Roboto" w:cs="Roboto"/>
          <w:color w:val="333333"/>
          <w:sz w:val="21"/>
          <w:szCs w:val="21"/>
        </w:rPr>
        <w:t>ve the authority (with the support of contracted party representatives) to have new classes of automation introduced into the SSAD without referring the matter to the GNSO Council which only has jurisdiction over policy matters (and this present policy rec</w:t>
      </w:r>
      <w:r>
        <w:rPr>
          <w:rFonts w:ascii="Roboto" w:eastAsia="Roboto" w:hAnsi="Roboto" w:cs="Roboto"/>
          <w:color w:val="333333"/>
          <w:sz w:val="21"/>
          <w:szCs w:val="21"/>
        </w:rPr>
        <w:t>ommendation will already allow the creation of new classes of automated responses).</w:t>
      </w:r>
    </w:p>
    <w:p w14:paraId="0000005E"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b/>
          <w:color w:val="333333"/>
          <w:sz w:val="21"/>
          <w:szCs w:val="21"/>
        </w:rPr>
      </w:pPr>
      <w:r>
        <w:rPr>
          <w:rFonts w:ascii="Roboto" w:eastAsia="Roboto" w:hAnsi="Roboto" w:cs="Roboto"/>
          <w:b/>
          <w:color w:val="333333"/>
          <w:sz w:val="21"/>
          <w:szCs w:val="21"/>
        </w:rPr>
        <w:t>General Comment</w:t>
      </w:r>
    </w:p>
    <w:p w14:paraId="0000005F"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333333"/>
          <w:sz w:val="21"/>
          <w:szCs w:val="21"/>
        </w:rPr>
      </w:pPr>
      <w:r>
        <w:rPr>
          <w:rFonts w:ascii="Roboto" w:eastAsia="Roboto" w:hAnsi="Roboto" w:cs="Roboto"/>
          <w:color w:val="333333"/>
          <w:sz w:val="21"/>
          <w:szCs w:val="21"/>
        </w:rPr>
        <w:t xml:space="preserve">Finally, the ALAC would like to note the importance of some priority 2 issues like the differentiation between legal vs natural persons and the accuracy of </w:t>
      </w:r>
      <w:r>
        <w:rPr>
          <w:rFonts w:ascii="Roboto" w:eastAsia="Roboto" w:hAnsi="Roboto" w:cs="Roboto"/>
          <w:color w:val="333333"/>
          <w:sz w:val="21"/>
          <w:szCs w:val="21"/>
        </w:rPr>
        <w:t>the data. Ending up with a disclosure system that returns inaccurate data and thus useless responses would be a waste to the effort put by all elements of the system and of no use to the requestor. Differentiation between natural and legal persons would of</w:t>
      </w:r>
      <w:r>
        <w:rPr>
          <w:rFonts w:ascii="Roboto" w:eastAsia="Roboto" w:hAnsi="Roboto" w:cs="Roboto"/>
          <w:color w:val="333333"/>
          <w:sz w:val="21"/>
          <w:szCs w:val="21"/>
        </w:rPr>
        <w:t xml:space="preserve">fload the system from unnecessary queries that are permissible under GDPR.  </w:t>
      </w:r>
    </w:p>
    <w:p w14:paraId="00000060" w14:textId="77777777" w:rsidR="004511E0" w:rsidRDefault="004511E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333333"/>
          <w:sz w:val="21"/>
          <w:szCs w:val="21"/>
        </w:rPr>
      </w:pPr>
    </w:p>
    <w:bookmarkStart w:id="11" w:name="_17dp8vu" w:colFirst="0" w:colLast="0"/>
    <w:bookmarkEnd w:id="11"/>
    <w:p w14:paraId="00000061" w14:textId="77777777" w:rsidR="004511E0" w:rsidRDefault="00947E93">
      <w:pPr>
        <w:pStyle w:val="Heading1"/>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380"/>
        <w:rPr>
          <w:rFonts w:ascii="Roboto" w:eastAsia="Roboto" w:hAnsi="Roboto" w:cs="Roboto"/>
          <w:color w:val="333333"/>
          <w:sz w:val="28"/>
          <w:szCs w:val="28"/>
        </w:rPr>
      </w:pPr>
      <w:r>
        <w:fldChar w:fldCharType="begin"/>
      </w:r>
      <w:r>
        <w:instrText xml:space="preserve"> HYPERLINK "https://atlarge.icann.org/advice_statements/13767" \h </w:instrText>
      </w:r>
      <w:r>
        <w:fldChar w:fldCharType="separate"/>
      </w:r>
      <w:r>
        <w:rPr>
          <w:b/>
          <w:color w:val="1155CC"/>
          <w:sz w:val="28"/>
          <w:szCs w:val="28"/>
          <w:u w:val="single"/>
        </w:rPr>
        <w:t>Second Security, Stability, and Resiliency (SSR2) Review Team Draft Report.</w:t>
      </w:r>
      <w:r>
        <w:rPr>
          <w:b/>
          <w:color w:val="1155CC"/>
          <w:sz w:val="28"/>
          <w:szCs w:val="28"/>
          <w:u w:val="single"/>
        </w:rPr>
        <w:fldChar w:fldCharType="end"/>
      </w:r>
    </w:p>
    <w:p w14:paraId="00000062"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333333"/>
          <w:sz w:val="21"/>
          <w:szCs w:val="21"/>
        </w:rPr>
      </w:pPr>
      <w:r>
        <w:rPr>
          <w:rFonts w:ascii="Roboto" w:eastAsia="Roboto" w:hAnsi="Roboto" w:cs="Roboto"/>
          <w:color w:val="333333"/>
          <w:sz w:val="21"/>
          <w:szCs w:val="21"/>
        </w:rPr>
        <w:t>The ALAC appreciates the opportun</w:t>
      </w:r>
      <w:r>
        <w:rPr>
          <w:rFonts w:ascii="Roboto" w:eastAsia="Roboto" w:hAnsi="Roboto" w:cs="Roboto"/>
          <w:color w:val="333333"/>
          <w:sz w:val="21"/>
          <w:szCs w:val="21"/>
        </w:rPr>
        <w:t>ity to comment on the Second Security, Stability, and Resiliency (SSR2) Review Team Draft Report.</w:t>
      </w:r>
    </w:p>
    <w:p w14:paraId="00000063"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333333"/>
          <w:sz w:val="21"/>
          <w:szCs w:val="21"/>
        </w:rPr>
      </w:pPr>
      <w:r>
        <w:rPr>
          <w:rFonts w:ascii="Roboto" w:eastAsia="Roboto" w:hAnsi="Roboto" w:cs="Roboto"/>
          <w:color w:val="333333"/>
          <w:sz w:val="21"/>
          <w:szCs w:val="21"/>
        </w:rPr>
        <w:t>Ensuring the security, stability and resiliency of the DNS is arguably ICANN's single most important role.</w:t>
      </w:r>
    </w:p>
    <w:p w14:paraId="00000064"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333333"/>
          <w:sz w:val="21"/>
          <w:szCs w:val="21"/>
        </w:rPr>
      </w:pPr>
      <w:r>
        <w:rPr>
          <w:rFonts w:ascii="Roboto" w:eastAsia="Roboto" w:hAnsi="Roboto" w:cs="Roboto"/>
          <w:color w:val="333333"/>
          <w:sz w:val="21"/>
          <w:szCs w:val="21"/>
        </w:rPr>
        <w:t>SSR1 issued 28 recommendations. The ICANN Org repor</w:t>
      </w:r>
      <w:r>
        <w:rPr>
          <w:rFonts w:ascii="Roboto" w:eastAsia="Roboto" w:hAnsi="Roboto" w:cs="Roboto"/>
          <w:color w:val="333333"/>
          <w:sz w:val="21"/>
          <w:szCs w:val="21"/>
        </w:rPr>
        <w:t xml:space="preserve">ts indicated the Board judged all to be relevant and implementable and that all were fully implemented. The SSR2 analysis was that of the 28 recommendations, 2 were not implemented at all, 26 were partially implemented and none fully implemented. Of these </w:t>
      </w:r>
      <w:r>
        <w:rPr>
          <w:rFonts w:ascii="Roboto" w:eastAsia="Roboto" w:hAnsi="Roboto" w:cs="Roboto"/>
          <w:color w:val="333333"/>
          <w:sz w:val="21"/>
          <w:szCs w:val="21"/>
        </w:rPr>
        <w:t>27 of the 28 were found to still be relevant. That is an astounding analysis 8 years after the acceptance of the SSR1 recommendations.</w:t>
      </w:r>
    </w:p>
    <w:p w14:paraId="00000065"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333333"/>
          <w:sz w:val="21"/>
          <w:szCs w:val="21"/>
        </w:rPr>
      </w:pPr>
      <w:r>
        <w:rPr>
          <w:rFonts w:ascii="Roboto" w:eastAsia="Roboto" w:hAnsi="Roboto" w:cs="Roboto"/>
          <w:color w:val="333333"/>
          <w:sz w:val="21"/>
          <w:szCs w:val="21"/>
        </w:rPr>
        <w:t>The ALAC has a particular interest in the recommendations related to domain name abuse, and notes that several of the recommendations overlap with and complement those issued by the RDS-WHOIS2-RT and the CCT RT.</w:t>
      </w:r>
    </w:p>
    <w:p w14:paraId="00000066"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333333"/>
          <w:sz w:val="21"/>
          <w:szCs w:val="21"/>
        </w:rPr>
      </w:pPr>
      <w:r>
        <w:rPr>
          <w:rFonts w:ascii="Roboto" w:eastAsia="Roboto" w:hAnsi="Roboto" w:cs="Roboto"/>
          <w:color w:val="333333"/>
          <w:sz w:val="21"/>
          <w:szCs w:val="21"/>
        </w:rPr>
        <w:t>The ALAC also notes that in the opinion of t</w:t>
      </w:r>
      <w:r>
        <w:rPr>
          <w:rFonts w:ascii="Roboto" w:eastAsia="Roboto" w:hAnsi="Roboto" w:cs="Roboto"/>
          <w:color w:val="333333"/>
          <w:sz w:val="21"/>
          <w:szCs w:val="21"/>
        </w:rPr>
        <w:t xml:space="preserve">he SSR2 RT, many of the recommendations are deemed to be of high priority. Given the current interest in ICANN in prioritizing activities with the implicit effect of not addressing those lower on the list, this could lead to not addressing issues critical </w:t>
      </w:r>
      <w:r>
        <w:rPr>
          <w:rFonts w:ascii="Roboto" w:eastAsia="Roboto" w:hAnsi="Roboto" w:cs="Roboto"/>
          <w:color w:val="333333"/>
          <w:sz w:val="21"/>
          <w:szCs w:val="21"/>
        </w:rPr>
        <w:t xml:space="preserve">to the SSR of the DNS. DNS Security, stability and resiliency is not something that we can afford to ignore. The lead item in ICANN's Strategic Plan is </w:t>
      </w:r>
      <w:r>
        <w:rPr>
          <w:rFonts w:ascii="Roboto" w:eastAsia="Roboto" w:hAnsi="Roboto" w:cs="Roboto"/>
          <w:b/>
          <w:i/>
          <w:color w:val="333333"/>
          <w:sz w:val="21"/>
          <w:szCs w:val="21"/>
        </w:rPr>
        <w:t>"Strengthen the security of the Domain Name System and the DNS Root Server System."</w:t>
      </w:r>
      <w:r>
        <w:rPr>
          <w:rFonts w:ascii="Roboto" w:eastAsia="Roboto" w:hAnsi="Roboto" w:cs="Roboto"/>
          <w:color w:val="333333"/>
          <w:sz w:val="21"/>
          <w:szCs w:val="21"/>
        </w:rPr>
        <w:t xml:space="preserve">. This must be taken </w:t>
      </w:r>
      <w:r>
        <w:rPr>
          <w:rFonts w:ascii="Roboto" w:eastAsia="Roboto" w:hAnsi="Roboto" w:cs="Roboto"/>
          <w:color w:val="333333"/>
          <w:sz w:val="21"/>
          <w:szCs w:val="21"/>
        </w:rPr>
        <w:t>into account when allocating resources and we trust that this will be taken into account when the Board works with the RT Implementation Shepherds on deciding how to prioritize the recommendation implementation.</w:t>
      </w:r>
    </w:p>
    <w:p w14:paraId="00000067"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666666"/>
          <w:sz w:val="21"/>
          <w:szCs w:val="21"/>
        </w:rPr>
      </w:pPr>
      <w:r>
        <w:rPr>
          <w:rFonts w:ascii="Roboto" w:eastAsia="Roboto" w:hAnsi="Roboto" w:cs="Roboto"/>
          <w:color w:val="666666"/>
          <w:sz w:val="21"/>
          <w:szCs w:val="21"/>
        </w:rPr>
        <w:t>The ALAC has a particular focus on and interest in DNS Abuse. To address this may require contractual changes to facilitate Contractual Compliance action. Such changes require either negotiations with the contracted parties or a PDP. A PDP will take consid</w:t>
      </w:r>
      <w:r>
        <w:rPr>
          <w:rFonts w:ascii="Roboto" w:eastAsia="Roboto" w:hAnsi="Roboto" w:cs="Roboto"/>
          <w:color w:val="666666"/>
          <w:sz w:val="21"/>
          <w:szCs w:val="21"/>
        </w:rPr>
        <w:t xml:space="preserve">erable time and the ALAC does not advocate such a path, but rather it is time for ICANN Org and specifically Contractual </w:t>
      </w:r>
      <w:r>
        <w:rPr>
          <w:rFonts w:ascii="Roboto" w:eastAsia="Roboto" w:hAnsi="Roboto" w:cs="Roboto"/>
          <w:color w:val="666666"/>
          <w:sz w:val="21"/>
          <w:szCs w:val="21"/>
        </w:rPr>
        <w:lastRenderedPageBreak/>
        <w:t>Compliance to meet with those contracted parties who have shown an interest in DNS Abuse mitigation, and come to an agreement on needed</w:t>
      </w:r>
      <w:r>
        <w:rPr>
          <w:rFonts w:ascii="Roboto" w:eastAsia="Roboto" w:hAnsi="Roboto" w:cs="Roboto"/>
          <w:color w:val="666666"/>
          <w:sz w:val="21"/>
          <w:szCs w:val="21"/>
        </w:rPr>
        <w:t xml:space="preserve"> contractual changes, factoring in not only penalties but any incentives that can be reasonably provided to encourage compliance.</w:t>
      </w:r>
    </w:p>
    <w:p w14:paraId="00000068"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666666"/>
          <w:sz w:val="21"/>
          <w:szCs w:val="21"/>
        </w:rPr>
      </w:pPr>
      <w:r>
        <w:rPr>
          <w:rFonts w:ascii="Roboto" w:eastAsia="Roboto" w:hAnsi="Roboto" w:cs="Roboto"/>
          <w:color w:val="666666"/>
          <w:sz w:val="21"/>
          <w:szCs w:val="21"/>
        </w:rPr>
        <w:t xml:space="preserve">Given the potential for rejection or deferral of the large number of high priority items, the ALAC encourages the review team </w:t>
      </w:r>
      <w:r>
        <w:rPr>
          <w:rFonts w:ascii="Roboto" w:eastAsia="Roboto" w:hAnsi="Roboto" w:cs="Roboto"/>
          <w:color w:val="666666"/>
          <w:sz w:val="21"/>
          <w:szCs w:val="21"/>
        </w:rPr>
        <w:t>to strengthen the justification on the high priority items.</w:t>
      </w:r>
    </w:p>
    <w:p w14:paraId="00000069"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b/>
          <w:color w:val="333333"/>
          <w:sz w:val="21"/>
          <w:szCs w:val="21"/>
        </w:rPr>
      </w:pPr>
      <w:r>
        <w:rPr>
          <w:rFonts w:ascii="Roboto" w:eastAsia="Roboto" w:hAnsi="Roboto" w:cs="Roboto"/>
          <w:b/>
          <w:color w:val="333333"/>
          <w:sz w:val="21"/>
          <w:szCs w:val="21"/>
        </w:rPr>
        <w:t>Summary:</w:t>
      </w:r>
    </w:p>
    <w:p w14:paraId="0000006A" w14:textId="77777777" w:rsidR="004511E0" w:rsidRDefault="00947E93">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rPr>
          <w:rFonts w:ascii="Roboto" w:eastAsia="Roboto" w:hAnsi="Roboto" w:cs="Roboto"/>
          <w:color w:val="333333"/>
          <w:sz w:val="21"/>
          <w:szCs w:val="21"/>
        </w:rPr>
      </w:pPr>
      <w:r>
        <w:rPr>
          <w:rFonts w:ascii="Roboto" w:eastAsia="Roboto" w:hAnsi="Roboto" w:cs="Roboto"/>
          <w:color w:val="333333"/>
          <w:sz w:val="21"/>
          <w:szCs w:val="21"/>
        </w:rPr>
        <w:t>We are living in a world where many parties seem to have an interest in destabilizing critical infrastructure and the Internet in particular. The fact that our systems have been sufficien</w:t>
      </w:r>
      <w:r>
        <w:rPr>
          <w:rFonts w:ascii="Roboto" w:eastAsia="Roboto" w:hAnsi="Roboto" w:cs="Roboto"/>
          <w:color w:val="333333"/>
          <w:sz w:val="21"/>
          <w:szCs w:val="21"/>
        </w:rPr>
        <w:t>tly robust in the past is not an indication that this is sustainable moving forward. ICANN needs to take seriously the need to professionally and rigorously ensure the SSR of its DNS operations. In particular, known vulnerabilities need to be corrected wit</w:t>
      </w:r>
      <w:r>
        <w:rPr>
          <w:rFonts w:ascii="Roboto" w:eastAsia="Roboto" w:hAnsi="Roboto" w:cs="Roboto"/>
          <w:color w:val="333333"/>
          <w:sz w:val="21"/>
          <w:szCs w:val="21"/>
        </w:rPr>
        <w:t>h the utmost haste.</w:t>
      </w:r>
    </w:p>
    <w:p w14:paraId="0000006B" w14:textId="77777777" w:rsidR="004511E0" w:rsidRDefault="004511E0"/>
    <w:sectPr w:rsidR="004511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97994"/>
    <w:multiLevelType w:val="multilevel"/>
    <w:tmpl w:val="E81CF6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EE323EA"/>
    <w:multiLevelType w:val="multilevel"/>
    <w:tmpl w:val="F7A4E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1E0"/>
    <w:rsid w:val="004511E0"/>
    <w:rsid w:val="00947E9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docId w15:val="{40F51281-25E1-5B44-B5A4-D919BA80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3039</Words>
  <Characters>17324</Characters>
  <Application>Microsoft Office Word</Application>
  <DocSecurity>0</DocSecurity>
  <Lines>144</Lines>
  <Paragraphs>40</Paragraphs>
  <ScaleCrop>false</ScaleCrop>
  <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Joke Braeken</cp:lastModifiedBy>
  <cp:revision>2</cp:revision>
  <dcterms:created xsi:type="dcterms:W3CDTF">2020-04-14T07:20:00Z</dcterms:created>
  <dcterms:modified xsi:type="dcterms:W3CDTF">2020-04-14T07:20:00Z</dcterms:modified>
</cp:coreProperties>
</file>