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3A8C0" w14:textId="77777777" w:rsidR="005F3136" w:rsidRDefault="005F31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7F6AB3F" w14:textId="158FFA92" w:rsidR="0042573F" w:rsidRDefault="0042573F" w:rsidP="0042573F">
      <w:pPr>
        <w:pStyle w:val="Heading1"/>
      </w:pPr>
      <w:r>
        <w:t>Changes Required to Implement Recommendations</w:t>
      </w:r>
    </w:p>
    <w:p w14:paraId="7D1479C2" w14:textId="77777777" w:rsidR="0042573F" w:rsidRDefault="0042573F">
      <w:pPr>
        <w:rPr>
          <w:rFonts w:ascii="Arial" w:hAnsi="Arial" w:cs="Arial"/>
          <w:sz w:val="22"/>
          <w:szCs w:val="22"/>
        </w:rPr>
      </w:pPr>
    </w:p>
    <w:p w14:paraId="1E5D7038" w14:textId="77777777" w:rsidR="005F3136" w:rsidRDefault="005F3136">
      <w:pPr>
        <w:rPr>
          <w:rFonts w:ascii="Arial" w:hAnsi="Arial" w:cs="Arial"/>
          <w:sz w:val="22"/>
          <w:szCs w:val="22"/>
        </w:rPr>
      </w:pPr>
    </w:p>
    <w:p w14:paraId="5DE4DCAA" w14:textId="77777777" w:rsidR="0042573F" w:rsidRPr="005F3136" w:rsidRDefault="0042573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2866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085"/>
        <w:gridCol w:w="4111"/>
        <w:gridCol w:w="2835"/>
        <w:gridCol w:w="2835"/>
      </w:tblGrid>
      <w:tr w:rsidR="00D5137F" w:rsidRPr="005F3136" w14:paraId="5D4A37E6" w14:textId="77777777" w:rsidTr="0042573F">
        <w:tc>
          <w:tcPr>
            <w:tcW w:w="3085" w:type="dxa"/>
            <w:vMerge w:val="restart"/>
            <w:shd w:val="clear" w:color="auto" w:fill="C4BC96" w:themeFill="background2" w:themeFillShade="BF"/>
            <w:vAlign w:val="center"/>
          </w:tcPr>
          <w:p w14:paraId="01A6DD1A" w14:textId="428FC596" w:rsidR="00D5137F" w:rsidRPr="005F3136" w:rsidRDefault="0042573F" w:rsidP="00425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4111" w:type="dxa"/>
            <w:vMerge w:val="restart"/>
            <w:shd w:val="clear" w:color="auto" w:fill="C4BC96" w:themeFill="background2" w:themeFillShade="BF"/>
            <w:vAlign w:val="center"/>
          </w:tcPr>
          <w:p w14:paraId="797CF03B" w14:textId="091C0785" w:rsidR="00D5137F" w:rsidRPr="005F3136" w:rsidRDefault="0042573F" w:rsidP="00425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WORDING</w:t>
            </w:r>
          </w:p>
        </w:tc>
        <w:tc>
          <w:tcPr>
            <w:tcW w:w="5670" w:type="dxa"/>
            <w:gridSpan w:val="2"/>
            <w:shd w:val="clear" w:color="auto" w:fill="C4BC96" w:themeFill="background2" w:themeFillShade="BF"/>
          </w:tcPr>
          <w:p w14:paraId="4918F3B5" w14:textId="394D93C0" w:rsidR="00D5137F" w:rsidRPr="005F3136" w:rsidRDefault="0042573F" w:rsidP="00425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ACTIONS REQUIRED TO IMPLEMENT</w:t>
            </w:r>
          </w:p>
        </w:tc>
      </w:tr>
      <w:tr w:rsidR="00D5137F" w:rsidRPr="005F3136" w14:paraId="42CC68EC" w14:textId="77777777" w:rsidTr="00E20F13">
        <w:tc>
          <w:tcPr>
            <w:tcW w:w="3085" w:type="dxa"/>
            <w:vMerge/>
          </w:tcPr>
          <w:p w14:paraId="0C4C4C10" w14:textId="77777777" w:rsidR="00D5137F" w:rsidRPr="005F3136" w:rsidRDefault="00D51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660EA9AC" w14:textId="77777777" w:rsidR="00D5137F" w:rsidRPr="005F3136" w:rsidRDefault="00D51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C4BC96" w:themeFill="background2" w:themeFillShade="BF"/>
          </w:tcPr>
          <w:p w14:paraId="521D546B" w14:textId="1DF07336" w:rsidR="00D5137F" w:rsidRPr="005F3136" w:rsidRDefault="0042573F" w:rsidP="00425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</w:t>
            </w:r>
            <w:r w:rsidR="00D5137F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5B901D99" w14:textId="3CB66212" w:rsidR="00D5137F" w:rsidRPr="005F3136" w:rsidRDefault="0042573F" w:rsidP="004257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</w:t>
            </w:r>
            <w:r w:rsidR="00D5137F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</w:tr>
      <w:tr w:rsidR="00D5137F" w:rsidRPr="005F3136" w14:paraId="76F588DF" w14:textId="77777777" w:rsidTr="00AE4CC4">
        <w:tc>
          <w:tcPr>
            <w:tcW w:w="3085" w:type="dxa"/>
          </w:tcPr>
          <w:p w14:paraId="034F67E5" w14:textId="77777777" w:rsidR="00D5137F" w:rsidRPr="005F3136" w:rsidRDefault="00D5137F">
            <w:pPr>
              <w:rPr>
                <w:rFonts w:ascii="Arial" w:hAnsi="Arial" w:cs="Arial"/>
                <w:sz w:val="22"/>
                <w:szCs w:val="22"/>
              </w:rPr>
            </w:pPr>
            <w:r w:rsidRPr="005F3136">
              <w:rPr>
                <w:rFonts w:ascii="Arial" w:hAnsi="Arial" w:cs="Arial"/>
                <w:sz w:val="22"/>
                <w:szCs w:val="22"/>
              </w:rPr>
              <w:t xml:space="preserve">Develop voting mechanism where </w:t>
            </w:r>
            <w:proofErr w:type="spellStart"/>
            <w:r w:rsidRPr="005F3136"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 w:rsidRPr="005F3136">
              <w:rPr>
                <w:rFonts w:ascii="Arial" w:hAnsi="Arial" w:cs="Arial"/>
                <w:sz w:val="22"/>
                <w:szCs w:val="22"/>
              </w:rPr>
              <w:t xml:space="preserve"> members can indicate how their “non-vote” should be interpreted during a voting.</w:t>
            </w:r>
          </w:p>
        </w:tc>
        <w:tc>
          <w:tcPr>
            <w:tcW w:w="4111" w:type="dxa"/>
          </w:tcPr>
          <w:p w14:paraId="09CAE70E" w14:textId="155AFE10" w:rsidR="00D5137F" w:rsidRPr="005F3136" w:rsidRDefault="00E20F13" w:rsidP="00D513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Currently not described anywhere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5FDFDA7D" w14:textId="17DF2E0F" w:rsidR="00D5137F" w:rsidRPr="005F3136" w:rsidRDefault="00D5137F" w:rsidP="004257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Rules – add a section where </w:t>
            </w:r>
            <w:r w:rsidR="0042573F">
              <w:rPr>
                <w:rFonts w:ascii="Arial" w:hAnsi="Arial" w:cs="Arial"/>
                <w:sz w:val="22"/>
                <w:szCs w:val="22"/>
              </w:rPr>
              <w:t>‘non-vote’</w:t>
            </w:r>
            <w:r>
              <w:rPr>
                <w:rFonts w:ascii="Arial" w:hAnsi="Arial" w:cs="Arial"/>
                <w:sz w:val="22"/>
                <w:szCs w:val="22"/>
              </w:rPr>
              <w:t xml:space="preserve"> is explained. To change the Rules - 66% of membership need to approve</w:t>
            </w:r>
          </w:p>
        </w:tc>
        <w:tc>
          <w:tcPr>
            <w:tcW w:w="2835" w:type="dxa"/>
          </w:tcPr>
          <w:p w14:paraId="480EB2FE" w14:textId="03C9346B" w:rsidR="00D5137F" w:rsidRPr="005F3136" w:rsidRDefault="00D5137F" w:rsidP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Guidelines</w:t>
            </w:r>
            <w:r w:rsidR="00E20F1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add clarifications in all relevant guidelines. To adopt guidelines – Council majority is required</w:t>
            </w:r>
          </w:p>
        </w:tc>
      </w:tr>
      <w:tr w:rsidR="00D5137F" w:rsidRPr="005F3136" w14:paraId="4535D536" w14:textId="77777777" w:rsidTr="00AE4CC4">
        <w:tc>
          <w:tcPr>
            <w:tcW w:w="3085" w:type="dxa"/>
          </w:tcPr>
          <w:p w14:paraId="4490C19B" w14:textId="77777777" w:rsidR="00D5137F" w:rsidRPr="005F3136" w:rsidRDefault="00D5137F">
            <w:pPr>
              <w:rPr>
                <w:rFonts w:ascii="Arial" w:hAnsi="Arial" w:cs="Arial"/>
                <w:sz w:val="22"/>
                <w:szCs w:val="22"/>
              </w:rPr>
            </w:pPr>
            <w:r w:rsidRPr="005F3136">
              <w:rPr>
                <w:rFonts w:ascii="Arial" w:hAnsi="Arial" w:cs="Arial"/>
                <w:sz w:val="22"/>
                <w:szCs w:val="22"/>
              </w:rPr>
              <w:t>Abandon current quorum needed for Council elections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Board selection process</w:t>
            </w:r>
            <w:r w:rsidRPr="005F3136">
              <w:rPr>
                <w:rFonts w:ascii="Arial" w:hAnsi="Arial" w:cs="Arial"/>
                <w:sz w:val="22"/>
                <w:szCs w:val="22"/>
              </w:rPr>
              <w:t>, use simple majority</w:t>
            </w:r>
          </w:p>
        </w:tc>
        <w:tc>
          <w:tcPr>
            <w:tcW w:w="4111" w:type="dxa"/>
          </w:tcPr>
          <w:p w14:paraId="0060350C" w14:textId="77777777" w:rsidR="00D5137F" w:rsidRPr="005F3136" w:rsidRDefault="00D5137F" w:rsidP="005F3136">
            <w:pPr>
              <w:rPr>
                <w:rFonts w:ascii="Arial" w:hAnsi="Arial" w:cs="Arial"/>
                <w:sz w:val="22"/>
                <w:szCs w:val="22"/>
              </w:rPr>
            </w:pPr>
            <w:r w:rsidRPr="005F3136">
              <w:rPr>
                <w:rFonts w:ascii="Arial" w:hAnsi="Arial" w:cs="Arial"/>
                <w:sz w:val="22"/>
                <w:szCs w:val="22"/>
              </w:rPr>
              <w:t>Bylaws, Article IX.</w:t>
            </w: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5F3136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754BB406" w14:textId="77777777" w:rsidR="00D5137F" w:rsidRPr="005F3136" w:rsidRDefault="00D5137F" w:rsidP="005F3136">
            <w:pPr>
              <w:rPr>
                <w:rFonts w:ascii="Arial" w:hAnsi="Arial" w:cs="Arial"/>
                <w:sz w:val="22"/>
                <w:szCs w:val="22"/>
              </w:rPr>
            </w:pPr>
            <w:r w:rsidRPr="005F3136">
              <w:rPr>
                <w:rFonts w:ascii="Arial" w:hAnsi="Arial" w:cs="Arial"/>
                <w:sz w:val="22"/>
                <w:szCs w:val="22"/>
              </w:rPr>
              <w:t xml:space="preserve">“In such an election, a majority of all </w:t>
            </w:r>
            <w:proofErr w:type="spellStart"/>
            <w:r w:rsidRPr="005F3136"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 w:rsidRPr="005F3136">
              <w:rPr>
                <w:rFonts w:ascii="Arial" w:hAnsi="Arial" w:cs="Arial"/>
                <w:sz w:val="22"/>
                <w:szCs w:val="22"/>
              </w:rPr>
              <w:t xml:space="preserve"> members in the Geographic Region entitled to vote shall constitute a quorum”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4E43EB23" w14:textId="1EA0844B" w:rsidR="00D5137F" w:rsidRPr="005F3136" w:rsidRDefault="00D5137F">
            <w:pPr>
              <w:rPr>
                <w:rFonts w:ascii="Arial" w:hAnsi="Arial" w:cs="Arial"/>
                <w:sz w:val="22"/>
                <w:szCs w:val="22"/>
              </w:rPr>
            </w:pPr>
            <w:r w:rsidRPr="005F3136">
              <w:rPr>
                <w:rFonts w:ascii="Arial" w:hAnsi="Arial" w:cs="Arial"/>
                <w:sz w:val="22"/>
                <w:szCs w:val="22"/>
              </w:rPr>
              <w:t>PDP</w:t>
            </w:r>
            <w:r>
              <w:rPr>
                <w:rFonts w:ascii="Arial" w:hAnsi="Arial" w:cs="Arial"/>
                <w:sz w:val="22"/>
                <w:szCs w:val="22"/>
              </w:rPr>
              <w:t xml:space="preserve">: to abandon rule in Bylaws re council elections. </w:t>
            </w:r>
          </w:p>
        </w:tc>
        <w:tc>
          <w:tcPr>
            <w:tcW w:w="2835" w:type="dxa"/>
          </w:tcPr>
          <w:p w14:paraId="74463A41" w14:textId="3823BE2F" w:rsidR="00D5137F" w:rsidRPr="005F3136" w:rsidRDefault="00D51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73F" w:rsidRPr="005F3136" w14:paraId="2308F219" w14:textId="77777777" w:rsidTr="00896176">
        <w:tc>
          <w:tcPr>
            <w:tcW w:w="12866" w:type="dxa"/>
            <w:gridSpan w:val="4"/>
            <w:shd w:val="clear" w:color="auto" w:fill="EEECE1" w:themeFill="background2"/>
          </w:tcPr>
          <w:p w14:paraId="2B958B2C" w14:textId="082EE7E6" w:rsidR="0042573F" w:rsidRPr="005F3136" w:rsidRDefault="004257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  <w:tr w:rsidR="00E20F13" w:rsidRPr="005F3136" w14:paraId="6EB24DC0" w14:textId="77777777" w:rsidTr="00AE4CC4">
        <w:tc>
          <w:tcPr>
            <w:tcW w:w="3085" w:type="dxa"/>
          </w:tcPr>
          <w:p w14:paraId="293C7E21" w14:textId="77777777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 timing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AGM</w:t>
            </w:r>
          </w:p>
        </w:tc>
        <w:tc>
          <w:tcPr>
            <w:tcW w:w="4111" w:type="dxa"/>
          </w:tcPr>
          <w:p w14:paraId="10BF71B0" w14:textId="77777777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Bylaws, Article IX.4</w:t>
            </w:r>
          </w:p>
          <w:p w14:paraId="1B791B2C" w14:textId="77777777" w:rsidR="00E20F13" w:rsidRPr="005F3136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“the regular term of each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Council member shall begin at the conclusion of an ICANN annual meeting and shall end at the conclusion of the third ICANN annual meeting thereafter”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48A2AE98" w14:textId="26505429" w:rsidR="00E20F13" w:rsidRPr="005F3136" w:rsidRDefault="00E20F13" w:rsidP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PDP: change Bylaws to reflect actual operations </w:t>
            </w:r>
          </w:p>
        </w:tc>
        <w:tc>
          <w:tcPr>
            <w:tcW w:w="2835" w:type="dxa"/>
          </w:tcPr>
          <w:p w14:paraId="10141D3C" w14:textId="0AC539C7" w:rsidR="00E20F13" w:rsidRPr="005F3136" w:rsidRDefault="00E20F13" w:rsidP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Council Election Guidelines</w:t>
            </w:r>
          </w:p>
        </w:tc>
      </w:tr>
      <w:tr w:rsidR="00E20F13" w:rsidRPr="005F3136" w14:paraId="2B2FE3E4" w14:textId="77777777" w:rsidTr="00AE4CC4">
        <w:tc>
          <w:tcPr>
            <w:tcW w:w="3085" w:type="dxa"/>
          </w:tcPr>
          <w:p w14:paraId="495DBF7A" w14:textId="77777777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Membership</w:t>
            </w:r>
          </w:p>
        </w:tc>
        <w:tc>
          <w:tcPr>
            <w:tcW w:w="4111" w:type="dxa"/>
          </w:tcPr>
          <w:p w14:paraId="2C87878F" w14:textId="77777777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Bylaws, Article IX.4.1</w:t>
            </w:r>
          </w:p>
          <w:p w14:paraId="6668436D" w14:textId="77777777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shall have a membership consisting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ccTLD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managers /…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/  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ccTLD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manager is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or entity responsible for managing an ISO 3166 country-code top-level domain /…/”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63FC96AC" w14:textId="6C2D1EEC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PDP: Will be changed as result of IDN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ccPDP</w:t>
            </w:r>
            <w:proofErr w:type="spellEnd"/>
          </w:p>
        </w:tc>
        <w:tc>
          <w:tcPr>
            <w:tcW w:w="2835" w:type="dxa"/>
          </w:tcPr>
          <w:p w14:paraId="48EF9B91" w14:textId="5BD3B611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F13" w:rsidRPr="005F3136" w14:paraId="0DD4B76F" w14:textId="77777777" w:rsidTr="00AE4CC4">
        <w:tc>
          <w:tcPr>
            <w:tcW w:w="3085" w:type="dxa"/>
          </w:tcPr>
          <w:p w14:paraId="67466FFA" w14:textId="77777777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Designated representative - voting</w:t>
            </w:r>
          </w:p>
        </w:tc>
        <w:tc>
          <w:tcPr>
            <w:tcW w:w="4111" w:type="dxa"/>
          </w:tcPr>
          <w:p w14:paraId="1442B4F9" w14:textId="77777777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Bylaws, Article IX.4.9</w:t>
            </w:r>
          </w:p>
          <w:p w14:paraId="5E255E31" w14:textId="77777777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“…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members from the geographic region being entitled to vote in the election through their designated representatives.”</w:t>
            </w:r>
          </w:p>
          <w:p w14:paraId="5A9B5E4F" w14:textId="713751AC" w:rsidR="00E20F13" w:rsidRDefault="00E20F13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Changes with IDN PDP, Guidelines need to be updated to reflect change in Bylaws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6E1E9F50" w14:textId="3C4CD8CB" w:rsidR="00E20F13" w:rsidRDefault="00AE4CC4" w:rsidP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PDP: will be updated as result PDP.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3B9AEFB" w14:textId="77777777" w:rsidR="00AE4CC4" w:rsidRDefault="00AE4CC4" w:rsidP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text on one vote per territory in Guidelines and Rules.</w:t>
            </w:r>
          </w:p>
          <w:p w14:paraId="0961F3DA" w14:textId="651C8755" w:rsidR="00E20F13" w:rsidRDefault="00E20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CC4" w:rsidRPr="005F3136" w14:paraId="47FF2692" w14:textId="77777777" w:rsidTr="00AE4CC4">
        <w:tc>
          <w:tcPr>
            <w:tcW w:w="3085" w:type="dxa"/>
          </w:tcPr>
          <w:p w14:paraId="348DCA82" w14:textId="77777777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Define who can nominate, second in election</w:t>
            </w:r>
          </w:p>
        </w:tc>
        <w:tc>
          <w:tcPr>
            <w:tcW w:w="4111" w:type="dxa"/>
          </w:tcPr>
          <w:p w14:paraId="3E9EA502" w14:textId="77777777" w:rsidR="00AE4CC4" w:rsidRDefault="00AE4CC4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Bylaws, Article 4.8&amp;9; Rules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24D50713" w14:textId="118B7386" w:rsidR="00AE4CC4" w:rsidRDefault="00AE4CC4" w:rsidP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PDP: change Bylaws</w:t>
            </w:r>
            <w:r w:rsidR="0042573F">
              <w:rPr>
                <w:rFonts w:ascii="Arial" w:hAnsi="Arial" w:cs="Arial"/>
                <w:sz w:val="22"/>
                <w:szCs w:val="22"/>
              </w:rPr>
              <w:t xml:space="preserve"> (may not be required – needs additional study)</w:t>
            </w:r>
          </w:p>
          <w:p w14:paraId="582BD10B" w14:textId="1FA97114" w:rsidR="00AE4CC4" w:rsidRDefault="00AE4CC4" w:rsidP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2D1803" w14:textId="123E2700" w:rsidR="00AE4CC4" w:rsidRDefault="00AE4CC4" w:rsidP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 Election Guidelines – clarify these issues. To adopt guidelines – Council majority is required</w:t>
            </w:r>
          </w:p>
        </w:tc>
      </w:tr>
      <w:tr w:rsidR="00AE4CC4" w:rsidRPr="005F3136" w14:paraId="0F31A656" w14:textId="77777777" w:rsidTr="00AE4CC4">
        <w:tc>
          <w:tcPr>
            <w:tcW w:w="3085" w:type="dxa"/>
          </w:tcPr>
          <w:p w14:paraId="22779611" w14:textId="77777777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 “Rules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Paper”</w:t>
            </w:r>
          </w:p>
          <w:p w14:paraId="60C4DAA6" w14:textId="36E44250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Changes to Resolutions section, electronic votes section, ratification or veto or council decisions section.</w:t>
            </w:r>
          </w:p>
        </w:tc>
        <w:tc>
          <w:tcPr>
            <w:tcW w:w="4111" w:type="dxa"/>
          </w:tcPr>
          <w:p w14:paraId="7B04EF4A" w14:textId="6C57D089" w:rsidR="00AE4CC4" w:rsidRDefault="00AE4CC4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Rules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17F76260" w14:textId="389ECCA6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Update. Need 66% of membership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2835" w:type="dxa"/>
          </w:tcPr>
          <w:p w14:paraId="075CD3AF" w14:textId="68F4F211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CC4" w:rsidRPr="005F3136" w14:paraId="0BCF8E38" w14:textId="77777777" w:rsidTr="00AE4CC4">
        <w:tc>
          <w:tcPr>
            <w:tcW w:w="3085" w:type="dxa"/>
          </w:tcPr>
          <w:p w14:paraId="7EC6E8D6" w14:textId="5F2ACE88" w:rsidR="00AE4CC4" w:rsidRDefault="00AE4CC4" w:rsidP="00B62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Align quorum rule in “Rules” with Quorum rule voting  for Bylaw changes, PDPs (supermajority required to change rules – 66%; bylaws only require 50%+1) </w:t>
            </w:r>
          </w:p>
        </w:tc>
        <w:tc>
          <w:tcPr>
            <w:tcW w:w="4111" w:type="dxa"/>
          </w:tcPr>
          <w:p w14:paraId="2FDF5167" w14:textId="6DD0DAF0" w:rsidR="00AE4CC4" w:rsidRDefault="00AE4CC4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Rules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2835" w:type="dxa"/>
            <w:shd w:val="clear" w:color="auto" w:fill="FDE9D9" w:themeFill="accent6" w:themeFillTint="33"/>
          </w:tcPr>
          <w:p w14:paraId="00ECFE8F" w14:textId="64DCC70A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Update. Need 66% of membership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2835" w:type="dxa"/>
          </w:tcPr>
          <w:p w14:paraId="2542B968" w14:textId="5CAA00C9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CC4" w:rsidRPr="005F3136" w14:paraId="311C5D45" w14:textId="77777777" w:rsidTr="00AE4CC4">
        <w:tc>
          <w:tcPr>
            <w:tcW w:w="3085" w:type="dxa"/>
          </w:tcPr>
          <w:p w14:paraId="7BBA86C0" w14:textId="2832F483" w:rsidR="00AE4CC4" w:rsidRDefault="00AE4CC4" w:rsidP="00B62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Introduce second round of voting in Rules, if quorum not met in first round.</w:t>
            </w:r>
          </w:p>
        </w:tc>
        <w:tc>
          <w:tcPr>
            <w:tcW w:w="4111" w:type="dxa"/>
          </w:tcPr>
          <w:p w14:paraId="3DD05E26" w14:textId="08421A8B" w:rsidR="00AE4CC4" w:rsidRDefault="00AE4CC4" w:rsidP="005F31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Rules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2835" w:type="dxa"/>
            <w:shd w:val="clear" w:color="auto" w:fill="FDE9D9" w:themeFill="accent6" w:themeFillTint="33"/>
          </w:tcPr>
          <w:p w14:paraId="74BE03A5" w14:textId="3F4C2864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Update. Need 66% of membership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2835" w:type="dxa"/>
          </w:tcPr>
          <w:p w14:paraId="7DB8AEF1" w14:textId="5E9AD3D9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8FC01A" w14:textId="77777777" w:rsidR="005F3136" w:rsidRPr="005F3136" w:rsidRDefault="005F3136">
      <w:pPr>
        <w:rPr>
          <w:rFonts w:ascii="Arial" w:hAnsi="Arial" w:cs="Arial"/>
          <w:sz w:val="22"/>
          <w:szCs w:val="22"/>
        </w:rPr>
      </w:pPr>
    </w:p>
    <w:p w14:paraId="47411C64" w14:textId="77777777" w:rsidR="00AE4CC4" w:rsidRDefault="00AE4CC4">
      <w:pPr>
        <w:rPr>
          <w:rFonts w:ascii="Arial" w:hAnsi="Arial" w:cs="Arial"/>
          <w:b/>
          <w:sz w:val="22"/>
          <w:szCs w:val="22"/>
        </w:rPr>
      </w:pPr>
    </w:p>
    <w:p w14:paraId="09C98369" w14:textId="27FEA103" w:rsidR="005F3136" w:rsidRDefault="00AE4CC4">
      <w:pPr>
        <w:rPr>
          <w:rFonts w:ascii="Arial" w:hAnsi="Arial" w:cs="Arial"/>
          <w:b/>
          <w:sz w:val="22"/>
          <w:szCs w:val="22"/>
        </w:rPr>
      </w:pPr>
      <w:r w:rsidRPr="00AE4CC4">
        <w:rPr>
          <w:rFonts w:ascii="Arial" w:hAnsi="Arial" w:cs="Arial"/>
          <w:b/>
          <w:sz w:val="22"/>
          <w:szCs w:val="22"/>
        </w:rPr>
        <w:t>Legend:</w:t>
      </w:r>
    </w:p>
    <w:p w14:paraId="7A270D96" w14:textId="77777777" w:rsidR="00AE4CC4" w:rsidRPr="00AE4CC4" w:rsidRDefault="00AE4CC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075"/>
      </w:tblGrid>
      <w:tr w:rsidR="00AE4CC4" w14:paraId="655337FA" w14:textId="77777777" w:rsidTr="00AE4CC4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BA1C083" w14:textId="77777777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33E20" w14:textId="75ED599F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Requires PDP</w:t>
            </w:r>
          </w:p>
        </w:tc>
      </w:tr>
      <w:tr w:rsidR="00AE4CC4" w14:paraId="04FC103D" w14:textId="77777777" w:rsidTr="00AE4CC4">
        <w:tc>
          <w:tcPr>
            <w:tcW w:w="11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0F335F0" w14:textId="77777777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91FF7" w14:textId="5507AEE7" w:rsidR="00AE4CC4" w:rsidRDefault="00AE4C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Requires 66% of members to vote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favour</w:t>
            </w:r>
            <w:proofErr w:type="spellEnd"/>
          </w:p>
        </w:tc>
      </w:tr>
    </w:tbl>
    <w:p w14:paraId="1552E3EC" w14:textId="77777777" w:rsidR="00AE4CC4" w:rsidRPr="005F3136" w:rsidRDefault="00AE4CC4">
      <w:pPr>
        <w:rPr>
          <w:rFonts w:ascii="Arial" w:hAnsi="Arial" w:cs="Arial"/>
          <w:sz w:val="22"/>
          <w:szCs w:val="22"/>
        </w:rPr>
      </w:pPr>
    </w:p>
    <w:sectPr w:rsidR="00AE4CC4" w:rsidRPr="005F3136" w:rsidSect="00E20F13">
      <w:pgSz w:w="15840" w:h="12240" w:orient="landscape"/>
      <w:pgMar w:top="851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36"/>
    <w:rsid w:val="000B6EC0"/>
    <w:rsid w:val="002D7717"/>
    <w:rsid w:val="0042573F"/>
    <w:rsid w:val="005E1881"/>
    <w:rsid w:val="005F3136"/>
    <w:rsid w:val="00695F25"/>
    <w:rsid w:val="00707DDB"/>
    <w:rsid w:val="00855A3D"/>
    <w:rsid w:val="00A41228"/>
    <w:rsid w:val="00AB7B3D"/>
    <w:rsid w:val="00AE0D4A"/>
    <w:rsid w:val="00AE4CC4"/>
    <w:rsid w:val="00B628DC"/>
    <w:rsid w:val="00BF5A11"/>
    <w:rsid w:val="00C97B1D"/>
    <w:rsid w:val="00D5137F"/>
    <w:rsid w:val="00E20F13"/>
    <w:rsid w:val="00F1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73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1D1B11" w:themeColor="background2" w:themeShade="1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F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2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573F"/>
    <w:rPr>
      <w:rFonts w:ascii="Arial" w:eastAsiaTheme="majorEastAsia" w:hAnsi="Arial" w:cstheme="majorBidi"/>
      <w:b/>
      <w:color w:val="1D1B11" w:themeColor="background2" w:themeShade="1A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73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1D1B11" w:themeColor="background2" w:themeShade="1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F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2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573F"/>
    <w:rPr>
      <w:rFonts w:ascii="Arial" w:eastAsiaTheme="majorEastAsia" w:hAnsi="Arial" w:cstheme="majorBidi"/>
      <w:b/>
      <w:color w:val="1D1B11" w:themeColor="background2" w:themeShade="1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45272F-005E-4544-B9E5-08A82A05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dcterms:created xsi:type="dcterms:W3CDTF">2014-01-22T13:12:00Z</dcterms:created>
  <dcterms:modified xsi:type="dcterms:W3CDTF">2014-01-22T13:12:00Z</dcterms:modified>
</cp:coreProperties>
</file>