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8715" w:type="dxa"/>
        <w:tblLook w:val="04A0" w:firstRow="1" w:lastRow="0" w:firstColumn="1" w:lastColumn="0" w:noHBand="0" w:noVBand="1"/>
      </w:tblPr>
      <w:tblGrid>
        <w:gridCol w:w="4677"/>
        <w:gridCol w:w="4679"/>
        <w:gridCol w:w="4679"/>
        <w:gridCol w:w="4680"/>
      </w:tblGrid>
      <w:tr w:rsidR="00C34874" w:rsidRPr="0063390E" w:rsidTr="00FD27D3">
        <w:tc>
          <w:tcPr>
            <w:tcW w:w="18715" w:type="dxa"/>
            <w:gridSpan w:val="4"/>
            <w:shd w:val="clear" w:color="auto" w:fill="1F3864" w:themeFill="accent5" w:themeFillShade="80"/>
          </w:tcPr>
          <w:p w:rsidR="00C34874" w:rsidRPr="0063390E" w:rsidRDefault="00C34874" w:rsidP="004B47A2">
            <w:pPr>
              <w:rPr>
                <w:b/>
                <w:sz w:val="32"/>
              </w:rPr>
            </w:pPr>
            <w:r w:rsidRPr="0063390E">
              <w:rPr>
                <w:b/>
                <w:sz w:val="32"/>
              </w:rPr>
              <w:t>IANA Function Review Team (IFRT)</w:t>
            </w:r>
          </w:p>
        </w:tc>
      </w:tr>
      <w:tr w:rsidR="00C34874" w:rsidTr="00FD27D3">
        <w:tc>
          <w:tcPr>
            <w:tcW w:w="4678" w:type="dxa"/>
            <w:shd w:val="clear" w:color="auto" w:fill="D9E2F3" w:themeFill="accent5" w:themeFillTint="33"/>
            <w:vAlign w:val="center"/>
          </w:tcPr>
          <w:p w:rsidR="00C34874" w:rsidRPr="0074647F" w:rsidRDefault="00C34874" w:rsidP="00C34874">
            <w:pPr>
              <w:jc w:val="center"/>
              <w:rPr>
                <w:b/>
              </w:rPr>
            </w:pPr>
            <w:r w:rsidRPr="0074647F">
              <w:rPr>
                <w:b/>
              </w:rPr>
              <w:t>Description</w:t>
            </w:r>
          </w:p>
        </w:tc>
        <w:tc>
          <w:tcPr>
            <w:tcW w:w="4679" w:type="dxa"/>
            <w:shd w:val="clear" w:color="auto" w:fill="D9E2F3" w:themeFill="accent5" w:themeFillTint="33"/>
            <w:vAlign w:val="center"/>
          </w:tcPr>
          <w:p w:rsidR="00C34874" w:rsidRPr="0074647F" w:rsidRDefault="00C34874" w:rsidP="00C34874">
            <w:pPr>
              <w:jc w:val="center"/>
              <w:rPr>
                <w:b/>
              </w:rPr>
            </w:pPr>
            <w:r w:rsidRPr="0074647F">
              <w:rPr>
                <w:b/>
              </w:rPr>
              <w:t>Occurrence</w:t>
            </w:r>
          </w:p>
        </w:tc>
        <w:tc>
          <w:tcPr>
            <w:tcW w:w="4679" w:type="dxa"/>
            <w:shd w:val="clear" w:color="auto" w:fill="D9E2F3" w:themeFill="accent5" w:themeFillTint="33"/>
            <w:vAlign w:val="center"/>
          </w:tcPr>
          <w:p w:rsidR="00C34874" w:rsidRPr="0074647F" w:rsidRDefault="00C34874" w:rsidP="00C34874">
            <w:pPr>
              <w:jc w:val="center"/>
              <w:rPr>
                <w:b/>
              </w:rPr>
            </w:pPr>
            <w:r w:rsidRPr="0074647F">
              <w:rPr>
                <w:b/>
              </w:rPr>
              <w:t>Classification</w:t>
            </w:r>
          </w:p>
        </w:tc>
        <w:tc>
          <w:tcPr>
            <w:tcW w:w="4679" w:type="dxa"/>
            <w:shd w:val="clear" w:color="auto" w:fill="D9E2F3" w:themeFill="accent5" w:themeFillTint="33"/>
            <w:vAlign w:val="center"/>
          </w:tcPr>
          <w:p w:rsidR="00C34874" w:rsidRPr="0074647F" w:rsidRDefault="00C34874" w:rsidP="00C34874">
            <w:pPr>
              <w:jc w:val="center"/>
              <w:rPr>
                <w:b/>
              </w:rPr>
            </w:pPr>
            <w:r w:rsidRPr="0074647F">
              <w:rPr>
                <w:b/>
              </w:rPr>
              <w:t>Composition</w:t>
            </w:r>
          </w:p>
        </w:tc>
      </w:tr>
      <w:tr w:rsidR="00C34874" w:rsidTr="00FD27D3">
        <w:tc>
          <w:tcPr>
            <w:tcW w:w="4678" w:type="dxa"/>
          </w:tcPr>
          <w:p w:rsidR="00C34874" w:rsidRPr="0000406B" w:rsidRDefault="00C34874" w:rsidP="00C34874">
            <w:r>
              <w:t>To review PTI’s SOW and PTI’s performance against ICANN-PTI contract and SOW</w:t>
            </w:r>
          </w:p>
        </w:tc>
        <w:tc>
          <w:tcPr>
            <w:tcW w:w="4679" w:type="dxa"/>
          </w:tcPr>
          <w:p w:rsidR="00C34874" w:rsidRDefault="00C34874" w:rsidP="00C34874">
            <w:r>
              <w:t>Periodic</w:t>
            </w:r>
          </w:p>
          <w:p w:rsidR="00C34874" w:rsidRDefault="00C34874" w:rsidP="00C34874">
            <w:r>
              <w:t>(Within 2 years from the transition, then no more than every 5 years thereafter)</w:t>
            </w:r>
          </w:p>
          <w:p w:rsidR="00C34874" w:rsidRDefault="00C34874" w:rsidP="00C34874"/>
          <w:p w:rsidR="00C34874" w:rsidRPr="0000406B" w:rsidRDefault="00C34874" w:rsidP="00C34874"/>
        </w:tc>
        <w:tc>
          <w:tcPr>
            <w:tcW w:w="4679" w:type="dxa"/>
          </w:tcPr>
          <w:p w:rsidR="00C34874" w:rsidRDefault="00C34874" w:rsidP="00C34874">
            <w:r>
              <w:t>Cross Community Working Group</w:t>
            </w:r>
          </w:p>
        </w:tc>
        <w:tc>
          <w:tcPr>
            <w:tcW w:w="4679" w:type="dxa"/>
          </w:tcPr>
          <w:p w:rsidR="00C34874" w:rsidRDefault="00C34874" w:rsidP="00C34874">
            <w:pPr>
              <w:pStyle w:val="ListParagraph"/>
              <w:numPr>
                <w:ilvl w:val="0"/>
                <w:numId w:val="2"/>
              </w:numPr>
              <w:ind w:left="252" w:hanging="180"/>
            </w:pPr>
            <w:r>
              <w:t xml:space="preserve">2 </w:t>
            </w:r>
            <w:proofErr w:type="spellStart"/>
            <w:r>
              <w:t>ccNSO</w:t>
            </w:r>
            <w:proofErr w:type="spellEnd"/>
          </w:p>
          <w:p w:rsidR="00C34874" w:rsidRDefault="00C34874" w:rsidP="00C34874">
            <w:pPr>
              <w:pStyle w:val="ListParagraph"/>
              <w:numPr>
                <w:ilvl w:val="0"/>
                <w:numId w:val="2"/>
              </w:numPr>
              <w:ind w:left="252" w:hanging="180"/>
            </w:pPr>
            <w:r>
              <w:t xml:space="preserve">1 </w:t>
            </w:r>
            <w:proofErr w:type="spellStart"/>
            <w:r>
              <w:t>ccTLD</w:t>
            </w:r>
            <w:proofErr w:type="spellEnd"/>
            <w:r>
              <w:t xml:space="preserve"> (non-</w:t>
            </w:r>
            <w:proofErr w:type="spellStart"/>
            <w:r>
              <w:t>ccNSO</w:t>
            </w:r>
            <w:proofErr w:type="spellEnd"/>
            <w:r>
              <w:t>)</w:t>
            </w:r>
          </w:p>
          <w:p w:rsidR="00C34874" w:rsidRDefault="00C34874" w:rsidP="00C34874">
            <w:pPr>
              <w:pStyle w:val="ListParagraph"/>
              <w:numPr>
                <w:ilvl w:val="0"/>
                <w:numId w:val="2"/>
              </w:numPr>
              <w:ind w:left="252" w:hanging="180"/>
            </w:pPr>
            <w:r>
              <w:t xml:space="preserve">2 </w:t>
            </w:r>
            <w:proofErr w:type="spellStart"/>
            <w:r>
              <w:t>RySG</w:t>
            </w:r>
            <w:proofErr w:type="spellEnd"/>
          </w:p>
          <w:p w:rsidR="00C34874" w:rsidRDefault="00C34874" w:rsidP="00C34874">
            <w:pPr>
              <w:pStyle w:val="ListParagraph"/>
              <w:numPr>
                <w:ilvl w:val="0"/>
                <w:numId w:val="2"/>
              </w:numPr>
              <w:ind w:left="252" w:hanging="180"/>
            </w:pPr>
            <w:r>
              <w:t xml:space="preserve">1 </w:t>
            </w:r>
            <w:proofErr w:type="spellStart"/>
            <w:r>
              <w:t>RsSG</w:t>
            </w:r>
            <w:proofErr w:type="spellEnd"/>
          </w:p>
          <w:p w:rsidR="00C34874" w:rsidRDefault="00C34874" w:rsidP="00C34874">
            <w:pPr>
              <w:pStyle w:val="ListParagraph"/>
              <w:numPr>
                <w:ilvl w:val="0"/>
                <w:numId w:val="2"/>
              </w:numPr>
              <w:ind w:left="252" w:hanging="180"/>
            </w:pPr>
            <w:r>
              <w:t>1 CSG</w:t>
            </w:r>
          </w:p>
          <w:p w:rsidR="00C34874" w:rsidRDefault="00C34874" w:rsidP="00C34874">
            <w:pPr>
              <w:pStyle w:val="ListParagraph"/>
              <w:numPr>
                <w:ilvl w:val="0"/>
                <w:numId w:val="2"/>
              </w:numPr>
              <w:ind w:left="252" w:hanging="180"/>
            </w:pPr>
            <w:r>
              <w:t>1NCSG</w:t>
            </w:r>
          </w:p>
          <w:p w:rsidR="00C34874" w:rsidRDefault="00C34874" w:rsidP="00C34874">
            <w:pPr>
              <w:pStyle w:val="ListParagraph"/>
              <w:numPr>
                <w:ilvl w:val="0"/>
                <w:numId w:val="2"/>
              </w:numPr>
              <w:ind w:left="252" w:hanging="180"/>
            </w:pPr>
            <w:r>
              <w:t>1 GAC</w:t>
            </w:r>
          </w:p>
          <w:p w:rsidR="00C34874" w:rsidRDefault="00C34874" w:rsidP="00C34874">
            <w:pPr>
              <w:pStyle w:val="ListParagraph"/>
              <w:numPr>
                <w:ilvl w:val="0"/>
                <w:numId w:val="2"/>
              </w:numPr>
              <w:ind w:left="252" w:hanging="180"/>
            </w:pPr>
            <w:r>
              <w:t>1 SSAC</w:t>
            </w:r>
          </w:p>
          <w:p w:rsidR="00C34874" w:rsidRDefault="00C34874" w:rsidP="00C34874">
            <w:pPr>
              <w:pStyle w:val="ListParagraph"/>
              <w:numPr>
                <w:ilvl w:val="0"/>
                <w:numId w:val="2"/>
              </w:numPr>
              <w:ind w:left="252" w:hanging="180"/>
            </w:pPr>
            <w:r>
              <w:t>1 RSSAC</w:t>
            </w:r>
          </w:p>
          <w:p w:rsidR="00C34874" w:rsidRDefault="00C34874" w:rsidP="00C34874">
            <w:pPr>
              <w:pStyle w:val="ListParagraph"/>
              <w:numPr>
                <w:ilvl w:val="0"/>
                <w:numId w:val="2"/>
              </w:numPr>
              <w:ind w:left="252" w:hanging="180"/>
            </w:pPr>
            <w:r>
              <w:t>1 ALAC</w:t>
            </w:r>
          </w:p>
          <w:p w:rsidR="00C34874" w:rsidRDefault="00C34874" w:rsidP="00C34874">
            <w:pPr>
              <w:pStyle w:val="ListParagraph"/>
              <w:numPr>
                <w:ilvl w:val="0"/>
                <w:numId w:val="2"/>
              </w:numPr>
              <w:ind w:left="252" w:hanging="180"/>
            </w:pPr>
            <w:r>
              <w:t>1 CSC Liaison</w:t>
            </w:r>
          </w:p>
          <w:p w:rsidR="00C34874" w:rsidRDefault="00C34874" w:rsidP="00C34874"/>
          <w:p w:rsidR="00C34874" w:rsidRDefault="00C34874" w:rsidP="00C34874">
            <w:r>
              <w:t>Liaison</w:t>
            </w:r>
          </w:p>
          <w:p w:rsidR="00C34874" w:rsidRDefault="00C34874" w:rsidP="00C34874">
            <w:pPr>
              <w:pStyle w:val="ListParagraph"/>
              <w:numPr>
                <w:ilvl w:val="0"/>
                <w:numId w:val="2"/>
              </w:numPr>
              <w:ind w:left="252" w:hanging="180"/>
            </w:pPr>
            <w:r>
              <w:t>1 from Numbers community</w:t>
            </w:r>
          </w:p>
          <w:p w:rsidR="00C34874" w:rsidRPr="0000406B" w:rsidRDefault="00C34874" w:rsidP="00C34874">
            <w:pPr>
              <w:pStyle w:val="ListParagraph"/>
              <w:numPr>
                <w:ilvl w:val="0"/>
                <w:numId w:val="2"/>
              </w:numPr>
              <w:ind w:left="252" w:hanging="180"/>
            </w:pPr>
            <w:r>
              <w:t>1 from Protocol community</w:t>
            </w:r>
          </w:p>
        </w:tc>
      </w:tr>
      <w:tr w:rsidR="00C34874" w:rsidTr="00FD27D3">
        <w:tc>
          <w:tcPr>
            <w:tcW w:w="14035" w:type="dxa"/>
            <w:gridSpan w:val="3"/>
            <w:shd w:val="clear" w:color="auto" w:fill="D9E2F3" w:themeFill="accent5" w:themeFillTint="33"/>
            <w:vAlign w:val="center"/>
          </w:tcPr>
          <w:p w:rsidR="00C34874" w:rsidRPr="0074647F" w:rsidRDefault="00C34874" w:rsidP="00C34874">
            <w:pPr>
              <w:jc w:val="center"/>
              <w:rPr>
                <w:b/>
              </w:rPr>
            </w:pPr>
            <w:r w:rsidRPr="0074647F">
              <w:rPr>
                <w:b/>
              </w:rPr>
              <w:t>CWG</w:t>
            </w:r>
            <w:r>
              <w:rPr>
                <w:b/>
              </w:rPr>
              <w:t xml:space="preserve"> Proposals Reference</w:t>
            </w:r>
          </w:p>
        </w:tc>
        <w:tc>
          <w:tcPr>
            <w:tcW w:w="4680" w:type="dxa"/>
            <w:shd w:val="clear" w:color="auto" w:fill="D9E2F3" w:themeFill="accent5" w:themeFillTint="33"/>
            <w:vAlign w:val="center"/>
          </w:tcPr>
          <w:p w:rsidR="00C34874" w:rsidRPr="0074647F" w:rsidRDefault="00C34874" w:rsidP="00C34874">
            <w:pPr>
              <w:jc w:val="center"/>
              <w:rPr>
                <w:b/>
              </w:rPr>
            </w:pPr>
            <w:r w:rsidRPr="0074647F">
              <w:rPr>
                <w:b/>
              </w:rPr>
              <w:t>Affected Parties</w:t>
            </w:r>
          </w:p>
        </w:tc>
      </w:tr>
      <w:tr w:rsidR="00C34874" w:rsidTr="00FD27D3">
        <w:tc>
          <w:tcPr>
            <w:tcW w:w="14035" w:type="dxa"/>
            <w:gridSpan w:val="3"/>
          </w:tcPr>
          <w:p w:rsidR="00C34874" w:rsidRDefault="00C34874" w:rsidP="00C34874">
            <w:pPr>
              <w:autoSpaceDE w:val="0"/>
              <w:autoSpaceDN w:val="0"/>
              <w:adjustRightInd w:val="0"/>
              <w:rPr>
                <w:rFonts w:cs="Arial"/>
              </w:rPr>
            </w:pPr>
            <w:r w:rsidRPr="0074647F">
              <w:rPr>
                <w:b/>
              </w:rPr>
              <w:t>1119</w:t>
            </w:r>
            <w:r>
              <w:t xml:space="preserve">: The members of the IANA Function Review </w:t>
            </w:r>
            <w:r w:rsidRPr="00CA3949">
              <w:t xml:space="preserve">Team (IFRT) will be selected by the Supporting Organizations and Advisory Committees and will include several liaisons from other communities. </w:t>
            </w:r>
            <w:r w:rsidRPr="00CA3949">
              <w:rPr>
                <w:rFonts w:cs="Arial"/>
              </w:rPr>
              <w:t>While the IFRT is intended to be a smaller group, it will be open to non-</w:t>
            </w:r>
            <w:r w:rsidRPr="00CA3949">
              <w:rPr>
                <w:rFonts w:cs="Helvetica"/>
              </w:rPr>
              <w:t xml:space="preserve">member “participants” in </w:t>
            </w:r>
            <w:r w:rsidRPr="00CA3949">
              <w:rPr>
                <w:rFonts w:cs="Arial"/>
              </w:rPr>
              <w:t>much the same way as the CWG-Stewardship is.</w:t>
            </w:r>
          </w:p>
          <w:p w:rsidR="00C34874" w:rsidRDefault="00C34874" w:rsidP="00C34874">
            <w:pPr>
              <w:autoSpaceDE w:val="0"/>
              <w:autoSpaceDN w:val="0"/>
              <w:adjustRightInd w:val="0"/>
              <w:rPr>
                <w:rFonts w:cs="Arial"/>
              </w:rPr>
            </w:pPr>
          </w:p>
          <w:p w:rsidR="00C34874" w:rsidRDefault="00C34874" w:rsidP="00C34874">
            <w:pPr>
              <w:autoSpaceDE w:val="0"/>
              <w:autoSpaceDN w:val="0"/>
              <w:adjustRightInd w:val="0"/>
            </w:pPr>
            <w:r w:rsidRPr="00C34874">
              <w:rPr>
                <w:b/>
              </w:rPr>
              <w:t>1283:</w:t>
            </w:r>
            <w:r>
              <w:t xml:space="preserve"> All stakeholder groups represented at ICANN will be relevant for the reviews done by the IANA Function Review Team. Additionally, the Number and Protocol operational communities will each be offered the opportunity to name a liaison to the review group.</w:t>
            </w:r>
          </w:p>
          <w:p w:rsidR="00C34874" w:rsidRDefault="00C34874" w:rsidP="00C34874">
            <w:pPr>
              <w:autoSpaceDE w:val="0"/>
              <w:autoSpaceDN w:val="0"/>
              <w:adjustRightInd w:val="0"/>
            </w:pPr>
          </w:p>
          <w:p w:rsidR="00C34874" w:rsidRDefault="00C34874" w:rsidP="00C34874">
            <w:pPr>
              <w:autoSpaceDE w:val="0"/>
              <w:autoSpaceDN w:val="0"/>
              <w:adjustRightInd w:val="0"/>
            </w:pPr>
            <w:r w:rsidRPr="0074647F">
              <w:rPr>
                <w:b/>
              </w:rPr>
              <w:t>1289:</w:t>
            </w:r>
            <w:r>
              <w:t xml:space="preserve"> Supporting Organizations or Advisory Committees, in accordance with their respective internally defined processes, will appoint individuals who have submitted Expressions of Interest. In the case of the non-</w:t>
            </w:r>
            <w:proofErr w:type="spellStart"/>
            <w:r>
              <w:t>ccNSO</w:t>
            </w:r>
            <w:proofErr w:type="spellEnd"/>
            <w:r>
              <w:t xml:space="preserve"> </w:t>
            </w:r>
            <w:proofErr w:type="spellStart"/>
            <w:r>
              <w:t>ccTLD</w:t>
            </w:r>
            <w:proofErr w:type="spellEnd"/>
            <w:r>
              <w:t xml:space="preserve"> representative, the </w:t>
            </w:r>
            <w:proofErr w:type="spellStart"/>
            <w:r>
              <w:t>ccNSO</w:t>
            </w:r>
            <w:proofErr w:type="spellEnd"/>
            <w:r>
              <w:t xml:space="preserve"> will be the appointing body; in appointing the non-</w:t>
            </w:r>
            <w:proofErr w:type="spellStart"/>
            <w:r>
              <w:t>ccNSO</w:t>
            </w:r>
            <w:proofErr w:type="spellEnd"/>
            <w:r>
              <w:t xml:space="preserve"> representative it is strongly recommended that the </w:t>
            </w:r>
            <w:proofErr w:type="spellStart"/>
            <w:r>
              <w:t>ccNSO</w:t>
            </w:r>
            <w:proofErr w:type="spellEnd"/>
            <w:r>
              <w:t xml:space="preserve"> also consult with the Regional </w:t>
            </w:r>
            <w:proofErr w:type="spellStart"/>
            <w:r>
              <w:t>ccTLD</w:t>
            </w:r>
            <w:proofErr w:type="spellEnd"/>
            <w:r>
              <w:t xml:space="preserve"> Organizations, namely </w:t>
            </w:r>
            <w:proofErr w:type="spellStart"/>
            <w:r>
              <w:t>AfTLD</w:t>
            </w:r>
            <w:proofErr w:type="spellEnd"/>
            <w:r>
              <w:t>, APTLD, LACTLD, and CENTR.</w:t>
            </w:r>
          </w:p>
          <w:p w:rsidR="00C34874" w:rsidRDefault="00C34874" w:rsidP="00C34874"/>
        </w:tc>
        <w:tc>
          <w:tcPr>
            <w:tcW w:w="4680" w:type="dxa"/>
          </w:tcPr>
          <w:p w:rsidR="00C34874" w:rsidRDefault="00C34874" w:rsidP="00C34874">
            <w:proofErr w:type="spellStart"/>
            <w:r>
              <w:t>ccNSO</w:t>
            </w:r>
            <w:proofErr w:type="spellEnd"/>
          </w:p>
          <w:p w:rsidR="00C34874" w:rsidRDefault="00C34874" w:rsidP="00C34874">
            <w:proofErr w:type="spellStart"/>
            <w:r>
              <w:t>ccTLD</w:t>
            </w:r>
            <w:proofErr w:type="spellEnd"/>
          </w:p>
          <w:p w:rsidR="00C34874" w:rsidRDefault="00C34874" w:rsidP="00C34874">
            <w:proofErr w:type="spellStart"/>
            <w:r>
              <w:t>RySG</w:t>
            </w:r>
            <w:proofErr w:type="spellEnd"/>
          </w:p>
          <w:p w:rsidR="00C34874" w:rsidRDefault="00C34874" w:rsidP="00C34874">
            <w:proofErr w:type="spellStart"/>
            <w:r>
              <w:t>RsSG</w:t>
            </w:r>
            <w:proofErr w:type="spellEnd"/>
          </w:p>
          <w:p w:rsidR="00C34874" w:rsidRDefault="00C34874" w:rsidP="00C34874">
            <w:r>
              <w:t>CSG</w:t>
            </w:r>
          </w:p>
          <w:p w:rsidR="00C34874" w:rsidRDefault="00C34874" w:rsidP="00C34874">
            <w:r>
              <w:t>NCSG</w:t>
            </w:r>
          </w:p>
          <w:p w:rsidR="00C34874" w:rsidRDefault="00C34874" w:rsidP="00C34874">
            <w:r>
              <w:t>GAC</w:t>
            </w:r>
          </w:p>
          <w:p w:rsidR="00C34874" w:rsidRDefault="00C34874" w:rsidP="00C34874">
            <w:r>
              <w:t>SSAC</w:t>
            </w:r>
          </w:p>
          <w:p w:rsidR="00C34874" w:rsidRDefault="00C34874" w:rsidP="00C34874">
            <w:r>
              <w:t>RSSAC</w:t>
            </w:r>
          </w:p>
          <w:p w:rsidR="00C34874" w:rsidRDefault="00C34874" w:rsidP="00C34874">
            <w:r>
              <w:t>ALAC</w:t>
            </w:r>
          </w:p>
          <w:p w:rsidR="00C34874" w:rsidRDefault="00C34874" w:rsidP="00C34874">
            <w:r>
              <w:t>CSC</w:t>
            </w:r>
          </w:p>
          <w:p w:rsidR="00C34874" w:rsidRDefault="00C34874" w:rsidP="00C34874">
            <w:r>
              <w:t>Numb</w:t>
            </w:r>
            <w:r w:rsidR="00323542">
              <w:t>er Community</w:t>
            </w:r>
          </w:p>
          <w:p w:rsidR="00C34874" w:rsidRDefault="00323542" w:rsidP="00C34874">
            <w:r>
              <w:t>Protocol Community</w:t>
            </w:r>
          </w:p>
        </w:tc>
      </w:tr>
      <w:tr w:rsidR="00C34874" w:rsidTr="00FD27D3">
        <w:tc>
          <w:tcPr>
            <w:tcW w:w="14035" w:type="dxa"/>
            <w:gridSpan w:val="3"/>
          </w:tcPr>
          <w:p w:rsidR="00C34874" w:rsidRDefault="00C34874" w:rsidP="00C34874">
            <w:pPr>
              <w:autoSpaceDE w:val="0"/>
              <w:autoSpaceDN w:val="0"/>
              <w:adjustRightInd w:val="0"/>
            </w:pPr>
            <w:r w:rsidRPr="0074647F">
              <w:rPr>
                <w:b/>
              </w:rPr>
              <w:t>1295:</w:t>
            </w:r>
            <w:r>
              <w:t xml:space="preserve"> this review group will be co-chaired by someone designated by the GNSO and someone designated by the </w:t>
            </w:r>
            <w:proofErr w:type="spellStart"/>
            <w:r>
              <w:t>ccNSO</w:t>
            </w:r>
            <w:proofErr w:type="spellEnd"/>
            <w:r>
              <w:t>.</w:t>
            </w:r>
          </w:p>
          <w:p w:rsidR="00C34874" w:rsidRDefault="00C34874" w:rsidP="00C34874"/>
        </w:tc>
        <w:tc>
          <w:tcPr>
            <w:tcW w:w="4680" w:type="dxa"/>
          </w:tcPr>
          <w:p w:rsidR="00C34874" w:rsidRDefault="00C34874" w:rsidP="00C34874">
            <w:proofErr w:type="spellStart"/>
            <w:r>
              <w:t>ccNSO</w:t>
            </w:r>
            <w:proofErr w:type="spellEnd"/>
          </w:p>
          <w:p w:rsidR="00C34874" w:rsidRDefault="00C34874" w:rsidP="00C34874">
            <w:r>
              <w:t>GNSO</w:t>
            </w:r>
          </w:p>
        </w:tc>
      </w:tr>
    </w:tbl>
    <w:p w:rsidR="00C34874" w:rsidRDefault="00C34874">
      <w:r>
        <w:br w:type="page"/>
      </w:r>
    </w:p>
    <w:tbl>
      <w:tblPr>
        <w:tblStyle w:val="TableGrid"/>
        <w:tblW w:w="18625" w:type="dxa"/>
        <w:tblLook w:val="04A0" w:firstRow="1" w:lastRow="0" w:firstColumn="1" w:lastColumn="0" w:noHBand="0" w:noVBand="1"/>
      </w:tblPr>
      <w:tblGrid>
        <w:gridCol w:w="4656"/>
        <w:gridCol w:w="4656"/>
        <w:gridCol w:w="4656"/>
        <w:gridCol w:w="4657"/>
      </w:tblGrid>
      <w:tr w:rsidR="00C34874" w:rsidRPr="0063390E" w:rsidTr="00FD27D3">
        <w:tc>
          <w:tcPr>
            <w:tcW w:w="18625" w:type="dxa"/>
            <w:gridSpan w:val="4"/>
            <w:shd w:val="clear" w:color="auto" w:fill="1F3864" w:themeFill="accent5" w:themeFillShade="80"/>
          </w:tcPr>
          <w:p w:rsidR="00C34874" w:rsidRPr="0063390E" w:rsidRDefault="00C34874" w:rsidP="00165EB7">
            <w:pPr>
              <w:rPr>
                <w:b/>
                <w:sz w:val="32"/>
              </w:rPr>
            </w:pPr>
            <w:r w:rsidRPr="0063390E">
              <w:rPr>
                <w:b/>
                <w:sz w:val="32"/>
              </w:rPr>
              <w:lastRenderedPageBreak/>
              <w:t>Special IANA Function Review Team (Special IFRT)</w:t>
            </w:r>
          </w:p>
        </w:tc>
      </w:tr>
      <w:tr w:rsidR="00C34874" w:rsidTr="00FD27D3">
        <w:tc>
          <w:tcPr>
            <w:tcW w:w="4656" w:type="dxa"/>
            <w:shd w:val="clear" w:color="auto" w:fill="D9E2F3" w:themeFill="accent5" w:themeFillTint="33"/>
            <w:vAlign w:val="center"/>
          </w:tcPr>
          <w:p w:rsidR="00C34874" w:rsidRPr="0074647F" w:rsidRDefault="00C34874" w:rsidP="00165EB7">
            <w:pPr>
              <w:jc w:val="center"/>
              <w:rPr>
                <w:b/>
              </w:rPr>
            </w:pPr>
            <w:r w:rsidRPr="0074647F">
              <w:rPr>
                <w:b/>
              </w:rPr>
              <w:t>Description</w:t>
            </w:r>
          </w:p>
        </w:tc>
        <w:tc>
          <w:tcPr>
            <w:tcW w:w="4656" w:type="dxa"/>
            <w:shd w:val="clear" w:color="auto" w:fill="D9E2F3" w:themeFill="accent5" w:themeFillTint="33"/>
            <w:vAlign w:val="center"/>
          </w:tcPr>
          <w:p w:rsidR="00C34874" w:rsidRPr="0074647F" w:rsidRDefault="00C34874" w:rsidP="00165EB7">
            <w:pPr>
              <w:jc w:val="center"/>
              <w:rPr>
                <w:b/>
              </w:rPr>
            </w:pPr>
            <w:r w:rsidRPr="0074647F">
              <w:rPr>
                <w:b/>
              </w:rPr>
              <w:t>Occurrence</w:t>
            </w:r>
          </w:p>
        </w:tc>
        <w:tc>
          <w:tcPr>
            <w:tcW w:w="4656" w:type="dxa"/>
            <w:shd w:val="clear" w:color="auto" w:fill="D9E2F3" w:themeFill="accent5" w:themeFillTint="33"/>
            <w:vAlign w:val="center"/>
          </w:tcPr>
          <w:p w:rsidR="00C34874" w:rsidRPr="0074647F" w:rsidRDefault="00C34874" w:rsidP="00165EB7">
            <w:pPr>
              <w:jc w:val="center"/>
              <w:rPr>
                <w:b/>
              </w:rPr>
            </w:pPr>
            <w:r w:rsidRPr="0074647F">
              <w:rPr>
                <w:b/>
              </w:rPr>
              <w:t>Classification</w:t>
            </w:r>
          </w:p>
        </w:tc>
        <w:tc>
          <w:tcPr>
            <w:tcW w:w="4657" w:type="dxa"/>
            <w:shd w:val="clear" w:color="auto" w:fill="D9E2F3" w:themeFill="accent5" w:themeFillTint="33"/>
            <w:vAlign w:val="center"/>
          </w:tcPr>
          <w:p w:rsidR="00C34874" w:rsidRPr="0074647F" w:rsidRDefault="00C34874" w:rsidP="00165EB7">
            <w:pPr>
              <w:jc w:val="center"/>
              <w:rPr>
                <w:b/>
              </w:rPr>
            </w:pPr>
            <w:r w:rsidRPr="0074647F">
              <w:rPr>
                <w:b/>
              </w:rPr>
              <w:t>Composition</w:t>
            </w:r>
          </w:p>
        </w:tc>
      </w:tr>
      <w:tr w:rsidR="00C34874" w:rsidTr="00FD27D3">
        <w:tc>
          <w:tcPr>
            <w:tcW w:w="4656" w:type="dxa"/>
          </w:tcPr>
          <w:p w:rsidR="00C34874" w:rsidRDefault="00C34874" w:rsidP="00C34874">
            <w:r>
              <w:t xml:space="preserve">To review the issues identified by CSC (only </w:t>
            </w:r>
            <w:proofErr w:type="spellStart"/>
            <w:r>
              <w:t>ccNSO</w:t>
            </w:r>
            <w:proofErr w:type="spellEnd"/>
            <w:r>
              <w:t xml:space="preserve"> and GNSO can initiate Special IFR)</w:t>
            </w:r>
          </w:p>
        </w:tc>
        <w:tc>
          <w:tcPr>
            <w:tcW w:w="4656" w:type="dxa"/>
          </w:tcPr>
          <w:p w:rsidR="00C34874" w:rsidRDefault="00C34874" w:rsidP="00C34874">
            <w:r>
              <w:t>As needed</w:t>
            </w:r>
          </w:p>
        </w:tc>
        <w:tc>
          <w:tcPr>
            <w:tcW w:w="4656" w:type="dxa"/>
          </w:tcPr>
          <w:p w:rsidR="00C34874" w:rsidRDefault="00C34874" w:rsidP="00C34874">
            <w:r>
              <w:t>Cross Community Working Group</w:t>
            </w:r>
          </w:p>
        </w:tc>
        <w:tc>
          <w:tcPr>
            <w:tcW w:w="4657" w:type="dxa"/>
          </w:tcPr>
          <w:p w:rsidR="00C34874" w:rsidRDefault="00C34874" w:rsidP="00C34874">
            <w:pPr>
              <w:pStyle w:val="ListParagraph"/>
              <w:numPr>
                <w:ilvl w:val="0"/>
                <w:numId w:val="2"/>
              </w:numPr>
              <w:ind w:left="252" w:hanging="180"/>
            </w:pPr>
            <w:r>
              <w:t xml:space="preserve">2 </w:t>
            </w:r>
            <w:proofErr w:type="spellStart"/>
            <w:r>
              <w:t>ccNSO</w:t>
            </w:r>
            <w:proofErr w:type="spellEnd"/>
          </w:p>
          <w:p w:rsidR="00C34874" w:rsidRDefault="00C34874" w:rsidP="00C34874">
            <w:pPr>
              <w:pStyle w:val="ListParagraph"/>
              <w:numPr>
                <w:ilvl w:val="0"/>
                <w:numId w:val="2"/>
              </w:numPr>
              <w:ind w:left="252" w:hanging="180"/>
            </w:pPr>
            <w:r>
              <w:t xml:space="preserve">1 </w:t>
            </w:r>
            <w:proofErr w:type="spellStart"/>
            <w:r>
              <w:t>ccTLD</w:t>
            </w:r>
            <w:proofErr w:type="spellEnd"/>
            <w:r>
              <w:t xml:space="preserve"> (non-</w:t>
            </w:r>
            <w:proofErr w:type="spellStart"/>
            <w:r>
              <w:t>ccNSO</w:t>
            </w:r>
            <w:proofErr w:type="spellEnd"/>
            <w:r>
              <w:t>)</w:t>
            </w:r>
          </w:p>
          <w:p w:rsidR="00C34874" w:rsidRDefault="00C34874" w:rsidP="00C34874">
            <w:pPr>
              <w:pStyle w:val="ListParagraph"/>
              <w:numPr>
                <w:ilvl w:val="0"/>
                <w:numId w:val="2"/>
              </w:numPr>
              <w:ind w:left="252" w:hanging="180"/>
            </w:pPr>
            <w:r>
              <w:t xml:space="preserve">2 </w:t>
            </w:r>
            <w:proofErr w:type="spellStart"/>
            <w:r>
              <w:t>RySG</w:t>
            </w:r>
            <w:proofErr w:type="spellEnd"/>
          </w:p>
          <w:p w:rsidR="00C34874" w:rsidRDefault="00C34874" w:rsidP="00C34874">
            <w:pPr>
              <w:pStyle w:val="ListParagraph"/>
              <w:numPr>
                <w:ilvl w:val="0"/>
                <w:numId w:val="2"/>
              </w:numPr>
              <w:ind w:left="252" w:hanging="180"/>
            </w:pPr>
            <w:r>
              <w:t xml:space="preserve">1 </w:t>
            </w:r>
            <w:proofErr w:type="spellStart"/>
            <w:r>
              <w:t>RsSG</w:t>
            </w:r>
            <w:proofErr w:type="spellEnd"/>
          </w:p>
          <w:p w:rsidR="00C34874" w:rsidRDefault="00C34874" w:rsidP="00C34874">
            <w:pPr>
              <w:pStyle w:val="ListParagraph"/>
              <w:numPr>
                <w:ilvl w:val="0"/>
                <w:numId w:val="2"/>
              </w:numPr>
              <w:ind w:left="252" w:hanging="180"/>
            </w:pPr>
            <w:r>
              <w:t>1 CSG</w:t>
            </w:r>
          </w:p>
          <w:p w:rsidR="00C34874" w:rsidRDefault="00C34874" w:rsidP="00C34874">
            <w:pPr>
              <w:pStyle w:val="ListParagraph"/>
              <w:numPr>
                <w:ilvl w:val="0"/>
                <w:numId w:val="2"/>
              </w:numPr>
              <w:ind w:left="252" w:hanging="180"/>
            </w:pPr>
            <w:r>
              <w:t>1NCSG</w:t>
            </w:r>
          </w:p>
          <w:p w:rsidR="00C34874" w:rsidRDefault="00C34874" w:rsidP="00C34874">
            <w:pPr>
              <w:pStyle w:val="ListParagraph"/>
              <w:numPr>
                <w:ilvl w:val="0"/>
                <w:numId w:val="2"/>
              </w:numPr>
              <w:ind w:left="252" w:hanging="180"/>
            </w:pPr>
            <w:r>
              <w:t>1 GAC1 SSAC</w:t>
            </w:r>
          </w:p>
          <w:p w:rsidR="00C34874" w:rsidRDefault="00C34874" w:rsidP="00C34874">
            <w:pPr>
              <w:pStyle w:val="ListParagraph"/>
              <w:numPr>
                <w:ilvl w:val="0"/>
                <w:numId w:val="2"/>
              </w:numPr>
              <w:ind w:left="252" w:hanging="180"/>
            </w:pPr>
            <w:r>
              <w:t>1 RSSAC</w:t>
            </w:r>
          </w:p>
          <w:p w:rsidR="00C34874" w:rsidRDefault="00C34874" w:rsidP="00C34874">
            <w:pPr>
              <w:pStyle w:val="ListParagraph"/>
              <w:numPr>
                <w:ilvl w:val="0"/>
                <w:numId w:val="2"/>
              </w:numPr>
              <w:ind w:left="252" w:hanging="180"/>
            </w:pPr>
            <w:r>
              <w:t>1 ALAC</w:t>
            </w:r>
          </w:p>
          <w:p w:rsidR="00C34874" w:rsidRDefault="00C34874" w:rsidP="00C34874">
            <w:pPr>
              <w:pStyle w:val="ListParagraph"/>
              <w:numPr>
                <w:ilvl w:val="0"/>
                <w:numId w:val="2"/>
              </w:numPr>
              <w:ind w:left="252" w:hanging="180"/>
            </w:pPr>
            <w:r>
              <w:t>1 CSC</w:t>
            </w:r>
          </w:p>
          <w:p w:rsidR="00C34874" w:rsidRDefault="00C34874" w:rsidP="00C34874"/>
          <w:p w:rsidR="00C34874" w:rsidRDefault="00C34874" w:rsidP="00C34874">
            <w:r>
              <w:t>Liaison</w:t>
            </w:r>
          </w:p>
          <w:p w:rsidR="00C34874" w:rsidRDefault="00C34874" w:rsidP="00C34874">
            <w:pPr>
              <w:pStyle w:val="ListParagraph"/>
              <w:numPr>
                <w:ilvl w:val="0"/>
                <w:numId w:val="2"/>
              </w:numPr>
              <w:ind w:left="252" w:hanging="180"/>
            </w:pPr>
            <w:r>
              <w:t>1 from Numbers community</w:t>
            </w:r>
          </w:p>
          <w:p w:rsidR="00C34874" w:rsidRDefault="00C34874" w:rsidP="00C34874">
            <w:pPr>
              <w:pStyle w:val="ListParagraph"/>
              <w:numPr>
                <w:ilvl w:val="0"/>
                <w:numId w:val="2"/>
              </w:numPr>
              <w:ind w:left="252" w:hanging="180"/>
            </w:pPr>
            <w:r>
              <w:t>1 from Protocol community</w:t>
            </w:r>
          </w:p>
        </w:tc>
      </w:tr>
      <w:tr w:rsidR="00C34874" w:rsidTr="00FD27D3">
        <w:tc>
          <w:tcPr>
            <w:tcW w:w="13968" w:type="dxa"/>
            <w:gridSpan w:val="3"/>
            <w:shd w:val="clear" w:color="auto" w:fill="D9E2F3" w:themeFill="accent5" w:themeFillTint="33"/>
            <w:vAlign w:val="center"/>
          </w:tcPr>
          <w:p w:rsidR="00C34874" w:rsidRPr="0074647F" w:rsidRDefault="00C34874" w:rsidP="00165EB7">
            <w:pPr>
              <w:jc w:val="center"/>
              <w:rPr>
                <w:b/>
              </w:rPr>
            </w:pPr>
            <w:r w:rsidRPr="0074647F">
              <w:rPr>
                <w:b/>
              </w:rPr>
              <w:t>CWG</w:t>
            </w:r>
            <w:r>
              <w:rPr>
                <w:b/>
              </w:rPr>
              <w:t xml:space="preserve"> Proposals Reference</w:t>
            </w:r>
          </w:p>
        </w:tc>
        <w:tc>
          <w:tcPr>
            <w:tcW w:w="4657" w:type="dxa"/>
            <w:shd w:val="clear" w:color="auto" w:fill="D9E2F3" w:themeFill="accent5" w:themeFillTint="33"/>
            <w:vAlign w:val="center"/>
          </w:tcPr>
          <w:p w:rsidR="00C34874" w:rsidRPr="0074647F" w:rsidRDefault="00C34874" w:rsidP="00165EB7">
            <w:pPr>
              <w:jc w:val="center"/>
              <w:rPr>
                <w:b/>
              </w:rPr>
            </w:pPr>
            <w:r w:rsidRPr="0074647F">
              <w:rPr>
                <w:b/>
              </w:rPr>
              <w:t>Affected Parties</w:t>
            </w:r>
          </w:p>
        </w:tc>
      </w:tr>
      <w:tr w:rsidR="00C34874" w:rsidTr="00FD27D3">
        <w:tc>
          <w:tcPr>
            <w:tcW w:w="13968" w:type="dxa"/>
            <w:gridSpan w:val="3"/>
          </w:tcPr>
          <w:p w:rsidR="00C34874" w:rsidRDefault="00C34874" w:rsidP="00C34874">
            <w:r w:rsidRPr="00C34874">
              <w:rPr>
                <w:b/>
              </w:rPr>
              <w:t>1125:</w:t>
            </w:r>
            <w:r>
              <w:t xml:space="preserve"> Following the exhaustion of … escalation mechanisms, the </w:t>
            </w:r>
            <w:proofErr w:type="spellStart"/>
            <w:r>
              <w:t>ccNSO</w:t>
            </w:r>
            <w:proofErr w:type="spellEnd"/>
            <w:r>
              <w:t xml:space="preserve"> and GNSO will be responsible for checking and reviewing the outcome of the CSC process … and the IANA Problem Resolution Process … and for determining whether or not a Special IFR is necessary. After consideration, which may include a public comment period and must include meaningful consultation with other SO/ACs, the Special IFR could be triggered. </w:t>
            </w:r>
            <w:r w:rsidRPr="00BF406D">
              <w:t>In order to trigger a Special IFR, it would</w:t>
            </w:r>
            <w:r>
              <w:t xml:space="preserve"> require a vote of both of the </w:t>
            </w:r>
            <w:proofErr w:type="spellStart"/>
            <w:r>
              <w:t>ccNSO</w:t>
            </w:r>
            <w:proofErr w:type="spellEnd"/>
            <w:r>
              <w:t xml:space="preserve"> and GNSO Councils (each by a supermajority vote according to their normal procedures for determining supermajority). The Special IFR will follow the same </w:t>
            </w:r>
            <w:proofErr w:type="spellStart"/>
            <w:r>
              <w:t>multistakeholder</w:t>
            </w:r>
            <w:proofErr w:type="spellEnd"/>
            <w:r>
              <w:t xml:space="preserve"> cross community composition and process structure as the periodic IANA Function Review.</w:t>
            </w:r>
          </w:p>
          <w:p w:rsidR="00C34874" w:rsidRDefault="00C34874" w:rsidP="00C34874"/>
        </w:tc>
        <w:tc>
          <w:tcPr>
            <w:tcW w:w="4657" w:type="dxa"/>
          </w:tcPr>
          <w:p w:rsidR="00C34874" w:rsidRDefault="00C34874" w:rsidP="00C34874">
            <w:proofErr w:type="spellStart"/>
            <w:r>
              <w:t>ccNSO</w:t>
            </w:r>
            <w:proofErr w:type="spellEnd"/>
          </w:p>
          <w:p w:rsidR="00C34874" w:rsidRDefault="00C34874" w:rsidP="00C34874">
            <w:proofErr w:type="spellStart"/>
            <w:r>
              <w:t>ccTLD</w:t>
            </w:r>
            <w:proofErr w:type="spellEnd"/>
          </w:p>
          <w:p w:rsidR="00C34874" w:rsidRDefault="00C34874" w:rsidP="00C34874">
            <w:proofErr w:type="spellStart"/>
            <w:r>
              <w:t>RySG</w:t>
            </w:r>
            <w:proofErr w:type="spellEnd"/>
          </w:p>
          <w:p w:rsidR="00C34874" w:rsidRDefault="00C34874" w:rsidP="00C34874">
            <w:proofErr w:type="spellStart"/>
            <w:r>
              <w:t>RsSG</w:t>
            </w:r>
            <w:proofErr w:type="spellEnd"/>
          </w:p>
          <w:p w:rsidR="00C34874" w:rsidRDefault="00C34874" w:rsidP="00C34874">
            <w:r>
              <w:t>CSG</w:t>
            </w:r>
          </w:p>
          <w:p w:rsidR="00C34874" w:rsidRDefault="00C34874" w:rsidP="00C34874">
            <w:r>
              <w:t>NCSG</w:t>
            </w:r>
          </w:p>
          <w:p w:rsidR="00C34874" w:rsidRDefault="00C34874" w:rsidP="00C34874">
            <w:r>
              <w:t>GAC</w:t>
            </w:r>
          </w:p>
          <w:p w:rsidR="00C34874" w:rsidRDefault="00C34874" w:rsidP="00C34874">
            <w:r>
              <w:t>SSAC</w:t>
            </w:r>
          </w:p>
          <w:p w:rsidR="00C34874" w:rsidRDefault="00C34874" w:rsidP="00C34874">
            <w:r>
              <w:t>RSSAC</w:t>
            </w:r>
          </w:p>
          <w:p w:rsidR="00C34874" w:rsidRDefault="00C34874" w:rsidP="00C34874">
            <w:r>
              <w:t>ALAC</w:t>
            </w:r>
          </w:p>
          <w:p w:rsidR="00C34874" w:rsidRDefault="00C34874" w:rsidP="00C34874">
            <w:r>
              <w:t>CSC</w:t>
            </w:r>
          </w:p>
        </w:tc>
      </w:tr>
      <w:tr w:rsidR="00C34874" w:rsidTr="00FD27D3">
        <w:tc>
          <w:tcPr>
            <w:tcW w:w="13968" w:type="dxa"/>
            <w:gridSpan w:val="3"/>
          </w:tcPr>
          <w:p w:rsidR="00C34874" w:rsidRDefault="00C34874" w:rsidP="00C34874">
            <w:r w:rsidRPr="00323542">
              <w:rPr>
                <w:b/>
              </w:rPr>
              <w:t>1127:</w:t>
            </w:r>
            <w:r>
              <w:t xml:space="preserve"> If the IFR determines that a separation process is necessary, it will recommend the creation of the Separation Cross-Community Working Group (SCWG). This recommendation will need to be approved by both of the </w:t>
            </w:r>
            <w:proofErr w:type="spellStart"/>
            <w:r>
              <w:t>ccNSO</w:t>
            </w:r>
            <w:proofErr w:type="spellEnd"/>
            <w:r>
              <w:t xml:space="preserve"> and GNSO Councils (each by a supermajority vote, according to their normal procedures for determining supermajority), and will need to be approved by the ICANN Board after a public comment period, as well as a community mechanism derived from the CCWG-Accountability process. A determination by the ICANN Board to not approve an SCWG that had been supported by a supermajority of the </w:t>
            </w:r>
            <w:proofErr w:type="spellStart"/>
            <w:r>
              <w:t>ccNSO</w:t>
            </w:r>
            <w:proofErr w:type="spellEnd"/>
            <w:r>
              <w:t xml:space="preserve"> and GNSO Councils will need to follow the same supermajority thresholds and consultation procedures as ICANN Board rejection (by a supermajority vote) of a PDP recommendation that is supported by a GNSO supermajority.</w:t>
            </w:r>
          </w:p>
          <w:p w:rsidR="00C34874" w:rsidRDefault="00C34874" w:rsidP="00C34874"/>
        </w:tc>
        <w:tc>
          <w:tcPr>
            <w:tcW w:w="4657" w:type="dxa"/>
          </w:tcPr>
          <w:p w:rsidR="00C34874" w:rsidRDefault="00C34874" w:rsidP="00C34874">
            <w:proofErr w:type="spellStart"/>
            <w:r>
              <w:t>ccNSO</w:t>
            </w:r>
            <w:proofErr w:type="spellEnd"/>
          </w:p>
          <w:p w:rsidR="00C34874" w:rsidRDefault="00C34874" w:rsidP="00C34874">
            <w:r>
              <w:t>GNSO</w:t>
            </w:r>
          </w:p>
          <w:p w:rsidR="00C34874" w:rsidRDefault="00C34874" w:rsidP="00C34874"/>
        </w:tc>
      </w:tr>
    </w:tbl>
    <w:p w:rsidR="00323542" w:rsidRDefault="00323542">
      <w:r>
        <w:br w:type="page"/>
      </w:r>
    </w:p>
    <w:tbl>
      <w:tblPr>
        <w:tblStyle w:val="TableGrid"/>
        <w:tblW w:w="18625" w:type="dxa"/>
        <w:tblLook w:val="04A0" w:firstRow="1" w:lastRow="0" w:firstColumn="1" w:lastColumn="0" w:noHBand="0" w:noVBand="1"/>
      </w:tblPr>
      <w:tblGrid>
        <w:gridCol w:w="4656"/>
        <w:gridCol w:w="4656"/>
        <w:gridCol w:w="4656"/>
        <w:gridCol w:w="4657"/>
      </w:tblGrid>
      <w:tr w:rsidR="00323542" w:rsidRPr="0063390E" w:rsidTr="00FD27D3">
        <w:tc>
          <w:tcPr>
            <w:tcW w:w="18625" w:type="dxa"/>
            <w:gridSpan w:val="4"/>
            <w:shd w:val="clear" w:color="auto" w:fill="1F3864" w:themeFill="accent5" w:themeFillShade="80"/>
          </w:tcPr>
          <w:p w:rsidR="00323542" w:rsidRPr="0063390E" w:rsidRDefault="00323542" w:rsidP="00165EB7">
            <w:pPr>
              <w:rPr>
                <w:b/>
                <w:sz w:val="32"/>
              </w:rPr>
            </w:pPr>
            <w:r w:rsidRPr="0063390E">
              <w:rPr>
                <w:b/>
                <w:sz w:val="32"/>
              </w:rPr>
              <w:lastRenderedPageBreak/>
              <w:t>Customer Standing Committee (CSC)</w:t>
            </w:r>
          </w:p>
        </w:tc>
      </w:tr>
      <w:tr w:rsidR="00323542" w:rsidTr="00FD27D3">
        <w:tc>
          <w:tcPr>
            <w:tcW w:w="4656" w:type="dxa"/>
            <w:shd w:val="clear" w:color="auto" w:fill="D9E2F3" w:themeFill="accent5" w:themeFillTint="33"/>
            <w:vAlign w:val="center"/>
          </w:tcPr>
          <w:p w:rsidR="00323542" w:rsidRPr="0074647F" w:rsidRDefault="00323542" w:rsidP="00165EB7">
            <w:pPr>
              <w:jc w:val="center"/>
              <w:rPr>
                <w:b/>
              </w:rPr>
            </w:pPr>
            <w:r w:rsidRPr="0074647F">
              <w:rPr>
                <w:b/>
              </w:rPr>
              <w:t>Description</w:t>
            </w:r>
          </w:p>
        </w:tc>
        <w:tc>
          <w:tcPr>
            <w:tcW w:w="4656" w:type="dxa"/>
            <w:shd w:val="clear" w:color="auto" w:fill="D9E2F3" w:themeFill="accent5" w:themeFillTint="33"/>
            <w:vAlign w:val="center"/>
          </w:tcPr>
          <w:p w:rsidR="00323542" w:rsidRPr="0074647F" w:rsidRDefault="00323542" w:rsidP="00165EB7">
            <w:pPr>
              <w:jc w:val="center"/>
              <w:rPr>
                <w:b/>
              </w:rPr>
            </w:pPr>
            <w:r w:rsidRPr="0074647F">
              <w:rPr>
                <w:b/>
              </w:rPr>
              <w:t>Occurrence</w:t>
            </w:r>
          </w:p>
        </w:tc>
        <w:tc>
          <w:tcPr>
            <w:tcW w:w="4656" w:type="dxa"/>
            <w:shd w:val="clear" w:color="auto" w:fill="D9E2F3" w:themeFill="accent5" w:themeFillTint="33"/>
            <w:vAlign w:val="center"/>
          </w:tcPr>
          <w:p w:rsidR="00323542" w:rsidRPr="0074647F" w:rsidRDefault="00323542" w:rsidP="00165EB7">
            <w:pPr>
              <w:jc w:val="center"/>
              <w:rPr>
                <w:b/>
              </w:rPr>
            </w:pPr>
            <w:r w:rsidRPr="0074647F">
              <w:rPr>
                <w:b/>
              </w:rPr>
              <w:t>Classification</w:t>
            </w:r>
          </w:p>
        </w:tc>
        <w:tc>
          <w:tcPr>
            <w:tcW w:w="4657" w:type="dxa"/>
            <w:shd w:val="clear" w:color="auto" w:fill="D9E2F3" w:themeFill="accent5" w:themeFillTint="33"/>
            <w:vAlign w:val="center"/>
          </w:tcPr>
          <w:p w:rsidR="00323542" w:rsidRPr="0074647F" w:rsidRDefault="00323542" w:rsidP="00165EB7">
            <w:pPr>
              <w:jc w:val="center"/>
              <w:rPr>
                <w:b/>
              </w:rPr>
            </w:pPr>
            <w:r w:rsidRPr="0074647F">
              <w:rPr>
                <w:b/>
              </w:rPr>
              <w:t>Composition</w:t>
            </w:r>
          </w:p>
        </w:tc>
      </w:tr>
      <w:tr w:rsidR="00323542" w:rsidTr="00FD27D3">
        <w:tc>
          <w:tcPr>
            <w:tcW w:w="4656" w:type="dxa"/>
          </w:tcPr>
          <w:p w:rsidR="00323542" w:rsidRDefault="00323542" w:rsidP="00323542">
            <w:r>
              <w:t>To monitor the performance of the IANA naming function</w:t>
            </w:r>
          </w:p>
        </w:tc>
        <w:tc>
          <w:tcPr>
            <w:tcW w:w="4656" w:type="dxa"/>
          </w:tcPr>
          <w:p w:rsidR="00323542" w:rsidRDefault="00323542" w:rsidP="00323542">
            <w:r>
              <w:t>On-Going</w:t>
            </w:r>
          </w:p>
        </w:tc>
        <w:tc>
          <w:tcPr>
            <w:tcW w:w="4656" w:type="dxa"/>
          </w:tcPr>
          <w:p w:rsidR="00323542" w:rsidRDefault="00323542" w:rsidP="00323542">
            <w:r>
              <w:t>Standing Committee</w:t>
            </w:r>
          </w:p>
        </w:tc>
        <w:tc>
          <w:tcPr>
            <w:tcW w:w="4657" w:type="dxa"/>
          </w:tcPr>
          <w:p w:rsidR="00323542" w:rsidRDefault="00323542" w:rsidP="00323542">
            <w:pPr>
              <w:ind w:left="252" w:hanging="180"/>
            </w:pPr>
            <w:r>
              <w:t>Members:</w:t>
            </w:r>
          </w:p>
          <w:p w:rsidR="00323542" w:rsidRDefault="00323542" w:rsidP="00323542">
            <w:pPr>
              <w:pStyle w:val="ListParagraph"/>
              <w:numPr>
                <w:ilvl w:val="0"/>
                <w:numId w:val="1"/>
              </w:numPr>
              <w:ind w:left="252" w:hanging="180"/>
            </w:pPr>
            <w:r>
              <w:t xml:space="preserve">2 </w:t>
            </w:r>
            <w:proofErr w:type="spellStart"/>
            <w:r>
              <w:t>gTLD</w:t>
            </w:r>
            <w:proofErr w:type="spellEnd"/>
            <w:r>
              <w:t xml:space="preserve"> ROs</w:t>
            </w:r>
          </w:p>
          <w:p w:rsidR="00323542" w:rsidRDefault="00323542" w:rsidP="00323542">
            <w:pPr>
              <w:pStyle w:val="ListParagraph"/>
              <w:numPr>
                <w:ilvl w:val="0"/>
                <w:numId w:val="1"/>
              </w:numPr>
              <w:ind w:left="252" w:hanging="180"/>
            </w:pPr>
            <w:r>
              <w:t xml:space="preserve">2 </w:t>
            </w:r>
            <w:proofErr w:type="spellStart"/>
            <w:r>
              <w:t>ccNSO</w:t>
            </w:r>
            <w:proofErr w:type="spellEnd"/>
            <w:r>
              <w:t xml:space="preserve"> ROs</w:t>
            </w:r>
          </w:p>
          <w:p w:rsidR="00323542" w:rsidRDefault="00323542" w:rsidP="00323542">
            <w:pPr>
              <w:pStyle w:val="ListParagraph"/>
              <w:numPr>
                <w:ilvl w:val="0"/>
                <w:numId w:val="1"/>
              </w:numPr>
              <w:ind w:left="252" w:hanging="180"/>
            </w:pPr>
            <w:r>
              <w:t>1 TLD representative not considered cc/</w:t>
            </w:r>
            <w:proofErr w:type="spellStart"/>
            <w:r>
              <w:t>gTLD</w:t>
            </w:r>
            <w:proofErr w:type="spellEnd"/>
            <w:r>
              <w:t xml:space="preserve"> (not mandatory member)</w:t>
            </w:r>
          </w:p>
          <w:p w:rsidR="00323542" w:rsidRDefault="00323542" w:rsidP="00323542">
            <w:pPr>
              <w:pStyle w:val="ListParagraph"/>
              <w:numPr>
                <w:ilvl w:val="0"/>
                <w:numId w:val="1"/>
              </w:numPr>
              <w:ind w:left="252" w:hanging="180"/>
            </w:pPr>
            <w:r>
              <w:t>1 liaison from PTI</w:t>
            </w:r>
          </w:p>
          <w:p w:rsidR="00323542" w:rsidRDefault="00323542" w:rsidP="00323542">
            <w:pPr>
              <w:ind w:left="252" w:hanging="180"/>
            </w:pPr>
            <w:r>
              <w:t>1 Liaison each from:</w:t>
            </w:r>
          </w:p>
          <w:p w:rsidR="00323542" w:rsidRDefault="00323542" w:rsidP="00323542">
            <w:pPr>
              <w:pStyle w:val="ListParagraph"/>
              <w:numPr>
                <w:ilvl w:val="0"/>
                <w:numId w:val="1"/>
              </w:numPr>
              <w:ind w:left="252" w:hanging="180"/>
            </w:pPr>
            <w:r>
              <w:t>GNSO (non-registry)</w:t>
            </w:r>
          </w:p>
          <w:p w:rsidR="00323542" w:rsidRDefault="00323542" w:rsidP="00323542">
            <w:pPr>
              <w:pStyle w:val="ListParagraph"/>
              <w:numPr>
                <w:ilvl w:val="0"/>
                <w:numId w:val="1"/>
              </w:numPr>
              <w:ind w:left="252" w:hanging="180"/>
            </w:pPr>
            <w:r>
              <w:t>ALAC</w:t>
            </w:r>
          </w:p>
          <w:p w:rsidR="00323542" w:rsidRDefault="00323542" w:rsidP="00323542">
            <w:pPr>
              <w:pStyle w:val="ListParagraph"/>
              <w:numPr>
                <w:ilvl w:val="0"/>
                <w:numId w:val="1"/>
              </w:numPr>
              <w:ind w:left="252" w:hanging="180"/>
            </w:pPr>
            <w:r>
              <w:t>NRO (or ASO)</w:t>
            </w:r>
          </w:p>
          <w:p w:rsidR="00323542" w:rsidRDefault="00323542" w:rsidP="00323542">
            <w:pPr>
              <w:pStyle w:val="ListParagraph"/>
              <w:numPr>
                <w:ilvl w:val="0"/>
                <w:numId w:val="1"/>
              </w:numPr>
              <w:ind w:left="252" w:hanging="180"/>
            </w:pPr>
            <w:r>
              <w:t>GAC</w:t>
            </w:r>
          </w:p>
          <w:p w:rsidR="00323542" w:rsidRDefault="00323542" w:rsidP="00323542">
            <w:pPr>
              <w:pStyle w:val="ListParagraph"/>
              <w:numPr>
                <w:ilvl w:val="0"/>
                <w:numId w:val="1"/>
              </w:numPr>
              <w:ind w:left="252" w:hanging="180"/>
            </w:pPr>
            <w:r>
              <w:t>RSSAC</w:t>
            </w:r>
          </w:p>
          <w:p w:rsidR="00323542" w:rsidRDefault="00323542" w:rsidP="00323542">
            <w:pPr>
              <w:pStyle w:val="ListParagraph"/>
              <w:numPr>
                <w:ilvl w:val="0"/>
                <w:numId w:val="1"/>
              </w:numPr>
              <w:ind w:left="252" w:hanging="180"/>
            </w:pPr>
            <w:r>
              <w:t>SSAC</w:t>
            </w:r>
          </w:p>
        </w:tc>
      </w:tr>
      <w:tr w:rsidR="00323542" w:rsidTr="00FD27D3">
        <w:tc>
          <w:tcPr>
            <w:tcW w:w="13968" w:type="dxa"/>
            <w:gridSpan w:val="3"/>
            <w:shd w:val="clear" w:color="auto" w:fill="D9E2F3" w:themeFill="accent5" w:themeFillTint="33"/>
            <w:vAlign w:val="center"/>
          </w:tcPr>
          <w:p w:rsidR="00323542" w:rsidRPr="0074647F" w:rsidRDefault="00323542" w:rsidP="00323542">
            <w:pPr>
              <w:jc w:val="center"/>
              <w:rPr>
                <w:b/>
              </w:rPr>
            </w:pPr>
            <w:r w:rsidRPr="0074647F">
              <w:rPr>
                <w:b/>
              </w:rPr>
              <w:t>CWG</w:t>
            </w:r>
            <w:r>
              <w:rPr>
                <w:b/>
              </w:rPr>
              <w:t xml:space="preserve"> Proposals Reference</w:t>
            </w:r>
          </w:p>
        </w:tc>
        <w:tc>
          <w:tcPr>
            <w:tcW w:w="4657" w:type="dxa"/>
            <w:shd w:val="clear" w:color="auto" w:fill="D9E2F3" w:themeFill="accent5" w:themeFillTint="33"/>
            <w:vAlign w:val="center"/>
          </w:tcPr>
          <w:p w:rsidR="00323542" w:rsidRPr="0074647F" w:rsidRDefault="00323542" w:rsidP="00323542">
            <w:pPr>
              <w:jc w:val="center"/>
              <w:rPr>
                <w:b/>
              </w:rPr>
            </w:pPr>
            <w:r w:rsidRPr="0074647F">
              <w:rPr>
                <w:b/>
              </w:rPr>
              <w:t>Affected Parties</w:t>
            </w:r>
          </w:p>
        </w:tc>
      </w:tr>
      <w:tr w:rsidR="00323542" w:rsidTr="00FD27D3">
        <w:tc>
          <w:tcPr>
            <w:tcW w:w="13968" w:type="dxa"/>
            <w:gridSpan w:val="3"/>
          </w:tcPr>
          <w:p w:rsidR="00323542" w:rsidRDefault="00323542" w:rsidP="00323542">
            <w:r w:rsidRPr="00323542">
              <w:rPr>
                <w:b/>
              </w:rPr>
              <w:t xml:space="preserve">1131: </w:t>
            </w:r>
            <w:r>
              <w:t xml:space="preserve">The CSC is not mandated to initiate a change in the IANA Functions Operator via a Special IANA Function Review, but could escalate to the </w:t>
            </w:r>
            <w:proofErr w:type="spellStart"/>
            <w:r>
              <w:t>ccNSO</w:t>
            </w:r>
            <w:proofErr w:type="spellEnd"/>
            <w:r>
              <w:t xml:space="preserve"> and GNSO Councils or either body in the specific case where the issue in question applies only to </w:t>
            </w:r>
            <w:proofErr w:type="spellStart"/>
            <w:r>
              <w:t>ccTLDs</w:t>
            </w:r>
            <w:proofErr w:type="spellEnd"/>
            <w:r>
              <w:t xml:space="preserve"> or </w:t>
            </w:r>
            <w:proofErr w:type="spellStart"/>
            <w:r>
              <w:t>gTLDs</w:t>
            </w:r>
            <w:proofErr w:type="spellEnd"/>
            <w:r>
              <w:t xml:space="preserve"> respectively, which might then decide to take further action using agreed consultation and escalation processes.</w:t>
            </w:r>
          </w:p>
          <w:p w:rsidR="00323542" w:rsidRDefault="00323542" w:rsidP="00323542"/>
          <w:p w:rsidR="00323542" w:rsidRDefault="00323542" w:rsidP="00323542">
            <w:r w:rsidRPr="00323542">
              <w:rPr>
                <w:b/>
              </w:rPr>
              <w:t>1336:</w:t>
            </w:r>
            <w:r>
              <w:t xml:space="preserve"> </w:t>
            </w:r>
            <w:r>
              <w:t xml:space="preserve">A representative for a TLD registry operator not associated with a </w:t>
            </w:r>
            <w:proofErr w:type="spellStart"/>
            <w:r>
              <w:t>ccTLD</w:t>
            </w:r>
            <w:proofErr w:type="spellEnd"/>
            <w:r>
              <w:t xml:space="preserve"> or </w:t>
            </w:r>
            <w:proofErr w:type="spellStart"/>
            <w:r>
              <w:t>gTLD</w:t>
            </w:r>
            <w:proofErr w:type="spellEnd"/>
            <w:r>
              <w:t xml:space="preserve"> registry,</w:t>
            </w:r>
            <w:r>
              <w:t xml:space="preserve"> </w:t>
            </w:r>
            <w:r>
              <w:t xml:space="preserve">will be required to submit an Expression of Interest to either the </w:t>
            </w:r>
            <w:proofErr w:type="spellStart"/>
            <w:r>
              <w:t>ccNSO</w:t>
            </w:r>
            <w:proofErr w:type="spellEnd"/>
            <w:r>
              <w:t xml:space="preserve"> and GNSO Council.</w:t>
            </w:r>
            <w:r>
              <w:t xml:space="preserve"> </w:t>
            </w:r>
            <w:r>
              <w:t>The Expression of Interest must include a letter of support from the registry operator. This</w:t>
            </w:r>
            <w:r>
              <w:t xml:space="preserve"> </w:t>
            </w:r>
            <w:r>
              <w:t>provision is intended to ensure orderly formal arrangements, and is not intended to imply</w:t>
            </w:r>
            <w:r>
              <w:t xml:space="preserve"> </w:t>
            </w:r>
            <w:r>
              <w:t xml:space="preserve">those other registries are subordinate to either the </w:t>
            </w:r>
            <w:proofErr w:type="spellStart"/>
            <w:r>
              <w:t>ccNSO</w:t>
            </w:r>
            <w:proofErr w:type="spellEnd"/>
            <w:r>
              <w:t xml:space="preserve"> or the GNSO.</w:t>
            </w:r>
          </w:p>
          <w:p w:rsidR="00A074B5" w:rsidRDefault="00A074B5" w:rsidP="00323542"/>
          <w:p w:rsidR="00A074B5" w:rsidRDefault="00A074B5" w:rsidP="00A074B5">
            <w:r w:rsidRPr="00A074B5">
              <w:rPr>
                <w:b/>
              </w:rPr>
              <w:t>1337:</w:t>
            </w:r>
            <w:r>
              <w:t xml:space="preserve"> </w:t>
            </w:r>
            <w:r>
              <w:t xml:space="preserve">The full membership of the CSC must be approved by the </w:t>
            </w:r>
            <w:proofErr w:type="spellStart"/>
            <w:r>
              <w:t>ccNSO</w:t>
            </w:r>
            <w:proofErr w:type="spellEnd"/>
            <w:r>
              <w:t xml:space="preserve"> and the GNSO. While it</w:t>
            </w:r>
            <w:r>
              <w:t xml:space="preserve"> </w:t>
            </w:r>
            <w:r>
              <w:t xml:space="preserve">will not be the role of the </w:t>
            </w:r>
            <w:proofErr w:type="spellStart"/>
            <w:r>
              <w:t>ccNSO</w:t>
            </w:r>
            <w:proofErr w:type="spellEnd"/>
            <w:r>
              <w:t xml:space="preserve"> and GNSO to question the validity of any recommended</w:t>
            </w:r>
            <w:r>
              <w:t xml:space="preserve"> </w:t>
            </w:r>
            <w:r>
              <w:t>appointments to the CSC they will take into account the overall composition of the proposed</w:t>
            </w:r>
            <w:r>
              <w:t xml:space="preserve"> </w:t>
            </w:r>
            <w:r>
              <w:t>CSC in terms of geographic diversity and skill sets.</w:t>
            </w:r>
          </w:p>
          <w:p w:rsidR="00A074B5" w:rsidRDefault="00A074B5" w:rsidP="00A074B5"/>
        </w:tc>
        <w:tc>
          <w:tcPr>
            <w:tcW w:w="4657" w:type="dxa"/>
          </w:tcPr>
          <w:p w:rsidR="00323542" w:rsidRDefault="00323542" w:rsidP="00323542">
            <w:proofErr w:type="spellStart"/>
            <w:r>
              <w:t>ccNSO</w:t>
            </w:r>
            <w:proofErr w:type="spellEnd"/>
          </w:p>
          <w:p w:rsidR="00323542" w:rsidRDefault="00323542" w:rsidP="00323542">
            <w:r>
              <w:t>GNSO</w:t>
            </w:r>
          </w:p>
        </w:tc>
      </w:tr>
      <w:tr w:rsidR="00323542" w:rsidTr="00FD27D3">
        <w:tc>
          <w:tcPr>
            <w:tcW w:w="13968" w:type="dxa"/>
            <w:gridSpan w:val="3"/>
          </w:tcPr>
          <w:p w:rsidR="00323542" w:rsidRDefault="00323542" w:rsidP="00323542">
            <w:r>
              <w:rPr>
                <w:b/>
              </w:rPr>
              <w:t xml:space="preserve">1336: </w:t>
            </w:r>
            <w:r w:rsidRPr="00323542">
              <w:t xml:space="preserve">While the </w:t>
            </w:r>
            <w:proofErr w:type="spellStart"/>
            <w:r w:rsidRPr="00323542">
              <w:t>ccTLD</w:t>
            </w:r>
            <w:proofErr w:type="spellEnd"/>
            <w:r w:rsidRPr="00323542">
              <w:t xml:space="preserve"> and </w:t>
            </w:r>
            <w:proofErr w:type="spellStart"/>
            <w:r w:rsidRPr="00323542">
              <w:t>gTLD</w:t>
            </w:r>
            <w:proofErr w:type="spellEnd"/>
            <w:r w:rsidRPr="00323542">
              <w:t xml:space="preserve"> members will be appointed by the </w:t>
            </w:r>
            <w:proofErr w:type="spellStart"/>
            <w:r w:rsidRPr="00323542">
              <w:t>ccNSO</w:t>
            </w:r>
            <w:proofErr w:type="spellEnd"/>
            <w:r w:rsidRPr="00323542">
              <w:t xml:space="preserve"> and </w:t>
            </w:r>
            <w:proofErr w:type="spellStart"/>
            <w:r w:rsidRPr="00323542">
              <w:t>RySG</w:t>
            </w:r>
            <w:proofErr w:type="spellEnd"/>
            <w:r>
              <w:t xml:space="preserve"> </w:t>
            </w:r>
            <w:r w:rsidRPr="00323542">
              <w:t xml:space="preserve">respectively and liaisons by their applicable groups, </w:t>
            </w:r>
            <w:proofErr w:type="spellStart"/>
            <w:r w:rsidRPr="00323542">
              <w:t>ccTLD</w:t>
            </w:r>
            <w:proofErr w:type="spellEnd"/>
            <w:r w:rsidRPr="00323542">
              <w:t xml:space="preserve"> or </w:t>
            </w:r>
            <w:proofErr w:type="spellStart"/>
            <w:r w:rsidRPr="00323542">
              <w:t>gTLD</w:t>
            </w:r>
            <w:proofErr w:type="spellEnd"/>
            <w:r w:rsidRPr="00323542">
              <w:t xml:space="preserve"> registry operators that</w:t>
            </w:r>
            <w:r>
              <w:t xml:space="preserve"> </w:t>
            </w:r>
            <w:r w:rsidRPr="00323542">
              <w:t>are not members of these groups will be eligible to participate in the CSC as members or</w:t>
            </w:r>
            <w:r>
              <w:t xml:space="preserve"> </w:t>
            </w:r>
            <w:r w:rsidRPr="00323542">
              <w:t xml:space="preserve">liaisons. The </w:t>
            </w:r>
            <w:proofErr w:type="spellStart"/>
            <w:r w:rsidRPr="00323542">
              <w:t>ccNSO</w:t>
            </w:r>
            <w:proofErr w:type="spellEnd"/>
            <w:r w:rsidRPr="00323542">
              <w:t xml:space="preserve"> and </w:t>
            </w:r>
            <w:proofErr w:type="spellStart"/>
            <w:r w:rsidRPr="00323542">
              <w:t>RySG</w:t>
            </w:r>
            <w:proofErr w:type="spellEnd"/>
            <w:r w:rsidRPr="00323542">
              <w:t xml:space="preserve"> should consult prior to finalizing their selections with a view</w:t>
            </w:r>
            <w:r>
              <w:t xml:space="preserve"> </w:t>
            </w:r>
            <w:r w:rsidRPr="00323542">
              <w:t>to providing a slate of members and liaisons that has, to the extent possible, diversity in</w:t>
            </w:r>
            <w:r>
              <w:t xml:space="preserve"> </w:t>
            </w:r>
            <w:r w:rsidRPr="00323542">
              <w:t>terms of geography and skill set.</w:t>
            </w:r>
          </w:p>
          <w:p w:rsidR="00A074B5" w:rsidRPr="00D10651" w:rsidRDefault="00A074B5" w:rsidP="00323542">
            <w:pPr>
              <w:rPr>
                <w:b/>
              </w:rPr>
            </w:pPr>
          </w:p>
          <w:p w:rsidR="00A074B5" w:rsidRDefault="00A074B5" w:rsidP="00A074B5">
            <w:r w:rsidRPr="00D10651">
              <w:rPr>
                <w:b/>
              </w:rPr>
              <w:t>1348:</w:t>
            </w:r>
            <w:r>
              <w:t xml:space="preserve"> </w:t>
            </w:r>
            <w:r>
              <w:t>The CSC will provide regular updates, no less than three per year, to the direct customers of</w:t>
            </w:r>
            <w:r>
              <w:t xml:space="preserve"> </w:t>
            </w:r>
            <w:r>
              <w:t xml:space="preserve">the IANA naming function. These updates may be provided to the </w:t>
            </w:r>
            <w:proofErr w:type="spellStart"/>
            <w:r>
              <w:t>RySG</w:t>
            </w:r>
            <w:proofErr w:type="spellEnd"/>
            <w:r>
              <w:t xml:space="preserve"> and the </w:t>
            </w:r>
            <w:proofErr w:type="spellStart"/>
            <w:r>
              <w:t>ccNSO</w:t>
            </w:r>
            <w:proofErr w:type="spellEnd"/>
            <w:r>
              <w:t xml:space="preserve"> </w:t>
            </w:r>
            <w:r>
              <w:t>during ICANN meetings.</w:t>
            </w:r>
          </w:p>
          <w:p w:rsidR="00D10651" w:rsidRPr="00323542" w:rsidRDefault="00D10651" w:rsidP="00A074B5">
            <w:pPr>
              <w:rPr>
                <w:b/>
              </w:rPr>
            </w:pPr>
          </w:p>
        </w:tc>
        <w:tc>
          <w:tcPr>
            <w:tcW w:w="4657" w:type="dxa"/>
          </w:tcPr>
          <w:p w:rsidR="00323542" w:rsidRDefault="00323542" w:rsidP="00323542">
            <w:proofErr w:type="spellStart"/>
            <w:r>
              <w:t>ccNSO</w:t>
            </w:r>
            <w:proofErr w:type="spellEnd"/>
          </w:p>
          <w:p w:rsidR="00323542" w:rsidRDefault="00323542" w:rsidP="00323542">
            <w:proofErr w:type="spellStart"/>
            <w:r>
              <w:t>RySG</w:t>
            </w:r>
            <w:proofErr w:type="spellEnd"/>
          </w:p>
        </w:tc>
      </w:tr>
    </w:tbl>
    <w:p w:rsidR="00323542" w:rsidRDefault="00323542">
      <w:r>
        <w:br w:type="page"/>
      </w:r>
    </w:p>
    <w:tbl>
      <w:tblPr>
        <w:tblStyle w:val="TableGrid"/>
        <w:tblW w:w="18625" w:type="dxa"/>
        <w:tblLook w:val="04A0" w:firstRow="1" w:lastRow="0" w:firstColumn="1" w:lastColumn="0" w:noHBand="0" w:noVBand="1"/>
      </w:tblPr>
      <w:tblGrid>
        <w:gridCol w:w="4656"/>
        <w:gridCol w:w="4656"/>
        <w:gridCol w:w="4633"/>
        <w:gridCol w:w="23"/>
        <w:gridCol w:w="4657"/>
      </w:tblGrid>
      <w:tr w:rsidR="00A074B5" w:rsidRPr="0063390E" w:rsidTr="00FD27D3">
        <w:tc>
          <w:tcPr>
            <w:tcW w:w="18625" w:type="dxa"/>
            <w:gridSpan w:val="5"/>
            <w:shd w:val="clear" w:color="auto" w:fill="1F3864" w:themeFill="accent5" w:themeFillShade="80"/>
          </w:tcPr>
          <w:p w:rsidR="00A074B5" w:rsidRPr="0063390E" w:rsidRDefault="004E7FE8" w:rsidP="00165EB7">
            <w:pPr>
              <w:rPr>
                <w:b/>
                <w:sz w:val="32"/>
              </w:rPr>
            </w:pPr>
            <w:r w:rsidRPr="0063390E">
              <w:rPr>
                <w:b/>
                <w:sz w:val="32"/>
              </w:rPr>
              <w:lastRenderedPageBreak/>
              <w:t>[CSC Charter Review]</w:t>
            </w:r>
          </w:p>
        </w:tc>
      </w:tr>
      <w:tr w:rsidR="00A074B5" w:rsidTr="00FD27D3">
        <w:tc>
          <w:tcPr>
            <w:tcW w:w="4656" w:type="dxa"/>
            <w:shd w:val="clear" w:color="auto" w:fill="D9E2F3" w:themeFill="accent5" w:themeFillTint="33"/>
            <w:vAlign w:val="center"/>
          </w:tcPr>
          <w:p w:rsidR="00A074B5" w:rsidRPr="0074647F" w:rsidRDefault="00A074B5" w:rsidP="00165EB7">
            <w:pPr>
              <w:jc w:val="center"/>
              <w:rPr>
                <w:b/>
              </w:rPr>
            </w:pPr>
            <w:r w:rsidRPr="0074647F">
              <w:rPr>
                <w:b/>
              </w:rPr>
              <w:t>Description</w:t>
            </w:r>
          </w:p>
        </w:tc>
        <w:tc>
          <w:tcPr>
            <w:tcW w:w="4656" w:type="dxa"/>
            <w:shd w:val="clear" w:color="auto" w:fill="D9E2F3" w:themeFill="accent5" w:themeFillTint="33"/>
            <w:vAlign w:val="center"/>
          </w:tcPr>
          <w:p w:rsidR="00A074B5" w:rsidRPr="0074647F" w:rsidRDefault="00A074B5" w:rsidP="00165EB7">
            <w:pPr>
              <w:jc w:val="center"/>
              <w:rPr>
                <w:b/>
              </w:rPr>
            </w:pPr>
            <w:r w:rsidRPr="0074647F">
              <w:rPr>
                <w:b/>
              </w:rPr>
              <w:t>Occurrence</w:t>
            </w:r>
          </w:p>
        </w:tc>
        <w:tc>
          <w:tcPr>
            <w:tcW w:w="4656" w:type="dxa"/>
            <w:gridSpan w:val="2"/>
            <w:shd w:val="clear" w:color="auto" w:fill="D9E2F3" w:themeFill="accent5" w:themeFillTint="33"/>
            <w:vAlign w:val="center"/>
          </w:tcPr>
          <w:p w:rsidR="00A074B5" w:rsidRPr="0074647F" w:rsidRDefault="00A074B5" w:rsidP="00165EB7">
            <w:pPr>
              <w:jc w:val="center"/>
              <w:rPr>
                <w:b/>
              </w:rPr>
            </w:pPr>
            <w:r w:rsidRPr="0074647F">
              <w:rPr>
                <w:b/>
              </w:rPr>
              <w:t>Classification</w:t>
            </w:r>
          </w:p>
        </w:tc>
        <w:tc>
          <w:tcPr>
            <w:tcW w:w="4657" w:type="dxa"/>
            <w:shd w:val="clear" w:color="auto" w:fill="D9E2F3" w:themeFill="accent5" w:themeFillTint="33"/>
            <w:vAlign w:val="center"/>
          </w:tcPr>
          <w:p w:rsidR="00A074B5" w:rsidRPr="0074647F" w:rsidRDefault="00A074B5" w:rsidP="00165EB7">
            <w:pPr>
              <w:jc w:val="center"/>
              <w:rPr>
                <w:b/>
              </w:rPr>
            </w:pPr>
            <w:r w:rsidRPr="0074647F">
              <w:rPr>
                <w:b/>
              </w:rPr>
              <w:t>Composition</w:t>
            </w:r>
          </w:p>
        </w:tc>
      </w:tr>
      <w:tr w:rsidR="004E7FE8" w:rsidTr="00FD27D3">
        <w:tc>
          <w:tcPr>
            <w:tcW w:w="4656" w:type="dxa"/>
          </w:tcPr>
          <w:p w:rsidR="004E7FE8" w:rsidRDefault="004E7FE8" w:rsidP="004E7FE8">
            <w:r>
              <w:t xml:space="preserve">To review CSC Charter </w:t>
            </w:r>
          </w:p>
        </w:tc>
        <w:tc>
          <w:tcPr>
            <w:tcW w:w="4656" w:type="dxa"/>
          </w:tcPr>
          <w:p w:rsidR="004E7FE8" w:rsidRDefault="004E7FE8" w:rsidP="004E7FE8">
            <w:r>
              <w:t>As needed</w:t>
            </w:r>
          </w:p>
          <w:p w:rsidR="004E7FE8" w:rsidRDefault="004E7FE8" w:rsidP="004E7FE8">
            <w:r>
              <w:t>(1 year after the first CSC meeting, then as requested thereafter)</w:t>
            </w:r>
          </w:p>
        </w:tc>
        <w:tc>
          <w:tcPr>
            <w:tcW w:w="4656" w:type="dxa"/>
            <w:gridSpan w:val="2"/>
          </w:tcPr>
          <w:p w:rsidR="004E7FE8" w:rsidRDefault="004E7FE8" w:rsidP="004E7FE8">
            <w:r>
              <w:t>Cross Community Working Group</w:t>
            </w:r>
          </w:p>
        </w:tc>
        <w:tc>
          <w:tcPr>
            <w:tcW w:w="4657" w:type="dxa"/>
          </w:tcPr>
          <w:p w:rsidR="004E7FE8" w:rsidRDefault="004E7FE8" w:rsidP="004E7FE8">
            <w:r>
              <w:t xml:space="preserve">Representatives from the </w:t>
            </w:r>
            <w:proofErr w:type="spellStart"/>
            <w:r>
              <w:t>ccNSO</w:t>
            </w:r>
            <w:proofErr w:type="spellEnd"/>
            <w:r>
              <w:t xml:space="preserve"> and the </w:t>
            </w:r>
            <w:proofErr w:type="spellStart"/>
            <w:r>
              <w:t>RySG</w:t>
            </w:r>
            <w:proofErr w:type="spellEnd"/>
          </w:p>
        </w:tc>
      </w:tr>
      <w:tr w:rsidR="004E7FE8" w:rsidTr="00FD27D3">
        <w:tc>
          <w:tcPr>
            <w:tcW w:w="13945" w:type="dxa"/>
            <w:gridSpan w:val="3"/>
            <w:shd w:val="clear" w:color="auto" w:fill="D9E2F3" w:themeFill="accent5" w:themeFillTint="33"/>
            <w:vAlign w:val="center"/>
          </w:tcPr>
          <w:p w:rsidR="004E7FE8" w:rsidRPr="0074647F" w:rsidRDefault="004E7FE8" w:rsidP="004E7FE8">
            <w:pPr>
              <w:jc w:val="center"/>
              <w:rPr>
                <w:b/>
              </w:rPr>
            </w:pPr>
            <w:r w:rsidRPr="0074647F">
              <w:rPr>
                <w:b/>
              </w:rPr>
              <w:t>CWG</w:t>
            </w:r>
            <w:r>
              <w:rPr>
                <w:b/>
              </w:rPr>
              <w:t xml:space="preserve"> Proposals Reference</w:t>
            </w:r>
          </w:p>
        </w:tc>
        <w:tc>
          <w:tcPr>
            <w:tcW w:w="4680" w:type="dxa"/>
            <w:gridSpan w:val="2"/>
            <w:shd w:val="clear" w:color="auto" w:fill="D9E2F3" w:themeFill="accent5" w:themeFillTint="33"/>
            <w:vAlign w:val="center"/>
          </w:tcPr>
          <w:p w:rsidR="004E7FE8" w:rsidRPr="0074647F" w:rsidRDefault="004E7FE8" w:rsidP="004E7FE8">
            <w:pPr>
              <w:jc w:val="center"/>
              <w:rPr>
                <w:b/>
              </w:rPr>
            </w:pPr>
            <w:r w:rsidRPr="0074647F">
              <w:rPr>
                <w:b/>
              </w:rPr>
              <w:t>Affected Parties</w:t>
            </w:r>
          </w:p>
        </w:tc>
      </w:tr>
      <w:tr w:rsidR="004E7FE8" w:rsidTr="00FD27D3">
        <w:tc>
          <w:tcPr>
            <w:tcW w:w="13945" w:type="dxa"/>
            <w:gridSpan w:val="3"/>
          </w:tcPr>
          <w:p w:rsidR="004E7FE8" w:rsidRDefault="004E7FE8" w:rsidP="004E7FE8">
            <w:r w:rsidRPr="004E7FE8">
              <w:rPr>
                <w:b/>
              </w:rPr>
              <w:t>1357:</w:t>
            </w:r>
            <w:r>
              <w:t xml:space="preserve"> </w:t>
            </w:r>
            <w:r>
              <w:t xml:space="preserve">The Charter will initially be reviewed by a committee of representatives from the </w:t>
            </w:r>
            <w:proofErr w:type="spellStart"/>
            <w:r>
              <w:t>ccNSO</w:t>
            </w:r>
            <w:proofErr w:type="spellEnd"/>
            <w:r>
              <w:t xml:space="preserve"> and</w:t>
            </w:r>
            <w:r>
              <w:t xml:space="preserve"> </w:t>
            </w:r>
            <w:r>
              <w:t xml:space="preserve">the </w:t>
            </w:r>
            <w:proofErr w:type="spellStart"/>
            <w:r>
              <w:t>RySG</w:t>
            </w:r>
            <w:proofErr w:type="spellEnd"/>
            <w:r>
              <w:t xml:space="preserve"> one year after the first meeting of the CSC. The review is to include the</w:t>
            </w:r>
            <w:r>
              <w:t xml:space="preserve"> </w:t>
            </w:r>
            <w:r>
              <w:t>opportunity for input from other ICANN stakeholders, via a Public Comment process. Any</w:t>
            </w:r>
            <w:r>
              <w:t xml:space="preserve"> </w:t>
            </w:r>
            <w:r>
              <w:t xml:space="preserve">recommended changes are to be ratified by the </w:t>
            </w:r>
            <w:proofErr w:type="spellStart"/>
            <w:r>
              <w:t>ccNSO</w:t>
            </w:r>
            <w:proofErr w:type="spellEnd"/>
            <w:r>
              <w:t xml:space="preserve"> and the GNSO.</w:t>
            </w:r>
          </w:p>
          <w:p w:rsidR="00D10651" w:rsidRDefault="00D10651" w:rsidP="004E7FE8"/>
        </w:tc>
        <w:tc>
          <w:tcPr>
            <w:tcW w:w="4680" w:type="dxa"/>
            <w:gridSpan w:val="2"/>
          </w:tcPr>
          <w:p w:rsidR="004E7FE8" w:rsidRDefault="004E7FE8" w:rsidP="004E7FE8">
            <w:proofErr w:type="spellStart"/>
            <w:r>
              <w:t>ccNSO</w:t>
            </w:r>
            <w:proofErr w:type="spellEnd"/>
          </w:p>
          <w:p w:rsidR="004E7FE8" w:rsidRDefault="004E7FE8" w:rsidP="004E7FE8">
            <w:proofErr w:type="spellStart"/>
            <w:r>
              <w:t>RySG</w:t>
            </w:r>
            <w:proofErr w:type="spellEnd"/>
          </w:p>
          <w:p w:rsidR="004E7FE8" w:rsidRDefault="004E7FE8" w:rsidP="004E7FE8">
            <w:r>
              <w:t>GNSO</w:t>
            </w:r>
          </w:p>
        </w:tc>
      </w:tr>
      <w:tr w:rsidR="004E7FE8" w:rsidTr="00FD27D3">
        <w:tc>
          <w:tcPr>
            <w:tcW w:w="13945" w:type="dxa"/>
            <w:gridSpan w:val="3"/>
          </w:tcPr>
          <w:p w:rsidR="004E7FE8" w:rsidRDefault="004E7FE8" w:rsidP="004E7FE8">
            <w:r w:rsidRPr="00D10651">
              <w:rPr>
                <w:b/>
              </w:rPr>
              <w:t>1358:</w:t>
            </w:r>
            <w:r>
              <w:t xml:space="preserve"> </w:t>
            </w:r>
            <w:r>
              <w:t xml:space="preserve">Thereafter, the Charter will be reviewed at the request of the CSC, </w:t>
            </w:r>
            <w:proofErr w:type="spellStart"/>
            <w:r>
              <w:t>ccNSO</w:t>
            </w:r>
            <w:proofErr w:type="spellEnd"/>
            <w:r>
              <w:t xml:space="preserve"> or GNSO and</w:t>
            </w:r>
            <w:r>
              <w:t xml:space="preserve"> </w:t>
            </w:r>
            <w:r>
              <w:t>may also be reviewed in connection with the IANA Function Review.</w:t>
            </w:r>
          </w:p>
          <w:p w:rsidR="00D10651" w:rsidRDefault="00D10651" w:rsidP="004E7FE8"/>
        </w:tc>
        <w:tc>
          <w:tcPr>
            <w:tcW w:w="4680" w:type="dxa"/>
            <w:gridSpan w:val="2"/>
          </w:tcPr>
          <w:p w:rsidR="004E7FE8" w:rsidRDefault="004E7FE8" w:rsidP="004E7FE8">
            <w:proofErr w:type="spellStart"/>
            <w:r>
              <w:t>ccNSO</w:t>
            </w:r>
            <w:proofErr w:type="spellEnd"/>
          </w:p>
          <w:p w:rsidR="004E7FE8" w:rsidRDefault="004E7FE8" w:rsidP="004E7FE8">
            <w:r>
              <w:t>GNSO</w:t>
            </w:r>
          </w:p>
        </w:tc>
      </w:tr>
    </w:tbl>
    <w:p w:rsidR="004E7FE8" w:rsidRDefault="004E7FE8"/>
    <w:tbl>
      <w:tblPr>
        <w:tblStyle w:val="TableGrid"/>
        <w:tblW w:w="18625" w:type="dxa"/>
        <w:tblLook w:val="04A0" w:firstRow="1" w:lastRow="0" w:firstColumn="1" w:lastColumn="0" w:noHBand="0" w:noVBand="1"/>
      </w:tblPr>
      <w:tblGrid>
        <w:gridCol w:w="4656"/>
        <w:gridCol w:w="4656"/>
        <w:gridCol w:w="4633"/>
        <w:gridCol w:w="23"/>
        <w:gridCol w:w="4657"/>
      </w:tblGrid>
      <w:tr w:rsidR="004E7FE8" w:rsidRPr="0063390E" w:rsidTr="00FD27D3">
        <w:tc>
          <w:tcPr>
            <w:tcW w:w="18625" w:type="dxa"/>
            <w:gridSpan w:val="5"/>
            <w:shd w:val="clear" w:color="auto" w:fill="1F3864" w:themeFill="accent5" w:themeFillShade="80"/>
          </w:tcPr>
          <w:p w:rsidR="004E7FE8" w:rsidRPr="0063390E" w:rsidRDefault="004E7FE8" w:rsidP="00165EB7">
            <w:pPr>
              <w:rPr>
                <w:b/>
                <w:sz w:val="32"/>
              </w:rPr>
            </w:pPr>
            <w:r w:rsidRPr="0063390E">
              <w:rPr>
                <w:b/>
                <w:sz w:val="32"/>
              </w:rPr>
              <w:t>[CSC Review]</w:t>
            </w:r>
          </w:p>
        </w:tc>
      </w:tr>
      <w:tr w:rsidR="004E7FE8" w:rsidTr="00FD27D3">
        <w:tc>
          <w:tcPr>
            <w:tcW w:w="4656" w:type="dxa"/>
            <w:shd w:val="clear" w:color="auto" w:fill="D9E2F3" w:themeFill="accent5" w:themeFillTint="33"/>
            <w:vAlign w:val="center"/>
          </w:tcPr>
          <w:p w:rsidR="004E7FE8" w:rsidRPr="0074647F" w:rsidRDefault="004E7FE8" w:rsidP="00165EB7">
            <w:pPr>
              <w:jc w:val="center"/>
              <w:rPr>
                <w:b/>
              </w:rPr>
            </w:pPr>
            <w:r w:rsidRPr="0074647F">
              <w:rPr>
                <w:b/>
              </w:rPr>
              <w:t>Description</w:t>
            </w:r>
          </w:p>
        </w:tc>
        <w:tc>
          <w:tcPr>
            <w:tcW w:w="4656" w:type="dxa"/>
            <w:shd w:val="clear" w:color="auto" w:fill="D9E2F3" w:themeFill="accent5" w:themeFillTint="33"/>
            <w:vAlign w:val="center"/>
          </w:tcPr>
          <w:p w:rsidR="004E7FE8" w:rsidRPr="0074647F" w:rsidRDefault="004E7FE8" w:rsidP="00165EB7">
            <w:pPr>
              <w:jc w:val="center"/>
              <w:rPr>
                <w:b/>
              </w:rPr>
            </w:pPr>
            <w:r w:rsidRPr="0074647F">
              <w:rPr>
                <w:b/>
              </w:rPr>
              <w:t>Occurrence</w:t>
            </w:r>
          </w:p>
        </w:tc>
        <w:tc>
          <w:tcPr>
            <w:tcW w:w="4656" w:type="dxa"/>
            <w:gridSpan w:val="2"/>
            <w:shd w:val="clear" w:color="auto" w:fill="D9E2F3" w:themeFill="accent5" w:themeFillTint="33"/>
            <w:vAlign w:val="center"/>
          </w:tcPr>
          <w:p w:rsidR="004E7FE8" w:rsidRPr="0074647F" w:rsidRDefault="004E7FE8" w:rsidP="00165EB7">
            <w:pPr>
              <w:jc w:val="center"/>
              <w:rPr>
                <w:b/>
              </w:rPr>
            </w:pPr>
            <w:r w:rsidRPr="0074647F">
              <w:rPr>
                <w:b/>
              </w:rPr>
              <w:t>Classification</w:t>
            </w:r>
          </w:p>
        </w:tc>
        <w:tc>
          <w:tcPr>
            <w:tcW w:w="4657" w:type="dxa"/>
            <w:shd w:val="clear" w:color="auto" w:fill="D9E2F3" w:themeFill="accent5" w:themeFillTint="33"/>
            <w:vAlign w:val="center"/>
          </w:tcPr>
          <w:p w:rsidR="004E7FE8" w:rsidRPr="0074647F" w:rsidRDefault="004E7FE8" w:rsidP="00165EB7">
            <w:pPr>
              <w:jc w:val="center"/>
              <w:rPr>
                <w:b/>
              </w:rPr>
            </w:pPr>
            <w:r w:rsidRPr="0074647F">
              <w:rPr>
                <w:b/>
              </w:rPr>
              <w:t>Composition</w:t>
            </w:r>
          </w:p>
        </w:tc>
      </w:tr>
      <w:tr w:rsidR="004E7FE8" w:rsidTr="00FD27D3">
        <w:tc>
          <w:tcPr>
            <w:tcW w:w="4656" w:type="dxa"/>
          </w:tcPr>
          <w:p w:rsidR="004E7FE8" w:rsidRDefault="004E7FE8" w:rsidP="004E7FE8">
            <w:r>
              <w:t>To review the effectiveness of CSC</w:t>
            </w:r>
          </w:p>
        </w:tc>
        <w:tc>
          <w:tcPr>
            <w:tcW w:w="4656" w:type="dxa"/>
          </w:tcPr>
          <w:p w:rsidR="004E7FE8" w:rsidRDefault="004E7FE8" w:rsidP="004E7FE8">
            <w:r>
              <w:t>Periodic</w:t>
            </w:r>
          </w:p>
          <w:p w:rsidR="004E7FE8" w:rsidRDefault="004E7FE8" w:rsidP="004E7FE8">
            <w:r>
              <w:t>(2 years after the first CSC meeting, then every 3 years thereafter)</w:t>
            </w:r>
          </w:p>
        </w:tc>
        <w:tc>
          <w:tcPr>
            <w:tcW w:w="4656" w:type="dxa"/>
            <w:gridSpan w:val="2"/>
          </w:tcPr>
          <w:p w:rsidR="004E7FE8" w:rsidRDefault="004E7FE8" w:rsidP="004E7FE8">
            <w:r>
              <w:t>Cross Community Working Group</w:t>
            </w:r>
          </w:p>
        </w:tc>
        <w:tc>
          <w:tcPr>
            <w:tcW w:w="4657" w:type="dxa"/>
          </w:tcPr>
          <w:p w:rsidR="004E7FE8" w:rsidRDefault="004E7FE8" w:rsidP="004E7FE8">
            <w:pPr>
              <w:ind w:left="252" w:hanging="180"/>
            </w:pPr>
            <w:r>
              <w:t>n/a</w:t>
            </w:r>
          </w:p>
          <w:p w:rsidR="004E7FE8" w:rsidRDefault="004E7FE8" w:rsidP="004E7FE8">
            <w:pPr>
              <w:ind w:left="252" w:hanging="180"/>
            </w:pPr>
            <w:r>
              <w:t>(</w:t>
            </w:r>
            <w:proofErr w:type="spellStart"/>
            <w:r>
              <w:t>ccNSO</w:t>
            </w:r>
            <w:proofErr w:type="spellEnd"/>
            <w:r>
              <w:t xml:space="preserve"> and GNSO to determine)</w:t>
            </w:r>
          </w:p>
        </w:tc>
      </w:tr>
      <w:tr w:rsidR="004E7FE8" w:rsidTr="00FD27D3">
        <w:tc>
          <w:tcPr>
            <w:tcW w:w="13945" w:type="dxa"/>
            <w:gridSpan w:val="3"/>
            <w:shd w:val="clear" w:color="auto" w:fill="D9E2F3" w:themeFill="accent5" w:themeFillTint="33"/>
            <w:vAlign w:val="center"/>
          </w:tcPr>
          <w:p w:rsidR="004E7FE8" w:rsidRPr="0074647F" w:rsidRDefault="004E7FE8" w:rsidP="00165EB7">
            <w:pPr>
              <w:jc w:val="center"/>
              <w:rPr>
                <w:b/>
              </w:rPr>
            </w:pPr>
            <w:r w:rsidRPr="0074647F">
              <w:rPr>
                <w:b/>
              </w:rPr>
              <w:t>CWG</w:t>
            </w:r>
            <w:r>
              <w:rPr>
                <w:b/>
              </w:rPr>
              <w:t xml:space="preserve"> Proposals Reference</w:t>
            </w:r>
          </w:p>
        </w:tc>
        <w:tc>
          <w:tcPr>
            <w:tcW w:w="4680" w:type="dxa"/>
            <w:gridSpan w:val="2"/>
            <w:shd w:val="clear" w:color="auto" w:fill="D9E2F3" w:themeFill="accent5" w:themeFillTint="33"/>
            <w:vAlign w:val="center"/>
          </w:tcPr>
          <w:p w:rsidR="004E7FE8" w:rsidRPr="0074647F" w:rsidRDefault="004E7FE8" w:rsidP="00165EB7">
            <w:pPr>
              <w:jc w:val="center"/>
              <w:rPr>
                <w:b/>
              </w:rPr>
            </w:pPr>
            <w:r w:rsidRPr="0074647F">
              <w:rPr>
                <w:b/>
              </w:rPr>
              <w:t>Affected Parties</w:t>
            </w:r>
          </w:p>
        </w:tc>
      </w:tr>
      <w:tr w:rsidR="004E7FE8" w:rsidTr="00FD27D3">
        <w:tc>
          <w:tcPr>
            <w:tcW w:w="13945" w:type="dxa"/>
            <w:gridSpan w:val="3"/>
          </w:tcPr>
          <w:p w:rsidR="004E7FE8" w:rsidRDefault="004E7FE8" w:rsidP="004E7FE8">
            <w:r>
              <w:rPr>
                <w:b/>
              </w:rPr>
              <w:t>1359</w:t>
            </w:r>
            <w:r w:rsidRPr="004E7FE8">
              <w:rPr>
                <w:b/>
              </w:rPr>
              <w:t>:</w:t>
            </w:r>
            <w:r>
              <w:t xml:space="preserve"> The effectiveness of the CSC will initially be reviewed two years after the first meeting of the</w:t>
            </w:r>
            <w:r>
              <w:t xml:space="preserve"> </w:t>
            </w:r>
            <w:r>
              <w:t>CSC; and then every three years thereafter. The method of review will be determined by the</w:t>
            </w:r>
            <w:r>
              <w:t xml:space="preserve"> </w:t>
            </w:r>
            <w:proofErr w:type="spellStart"/>
            <w:r>
              <w:t>ccNSO</w:t>
            </w:r>
            <w:proofErr w:type="spellEnd"/>
            <w:r>
              <w:t xml:space="preserve"> and GNSO.</w:t>
            </w:r>
          </w:p>
          <w:p w:rsidR="00D10651" w:rsidRDefault="00D10651" w:rsidP="004E7FE8"/>
        </w:tc>
        <w:tc>
          <w:tcPr>
            <w:tcW w:w="4680" w:type="dxa"/>
            <w:gridSpan w:val="2"/>
          </w:tcPr>
          <w:p w:rsidR="004E7FE8" w:rsidRDefault="004E7FE8" w:rsidP="00165EB7">
            <w:proofErr w:type="spellStart"/>
            <w:r>
              <w:t>ccNSO</w:t>
            </w:r>
            <w:proofErr w:type="spellEnd"/>
          </w:p>
          <w:p w:rsidR="004E7FE8" w:rsidRDefault="004E7FE8" w:rsidP="00165EB7">
            <w:r>
              <w:t>GNSO</w:t>
            </w:r>
          </w:p>
        </w:tc>
      </w:tr>
    </w:tbl>
    <w:p w:rsidR="00D10651" w:rsidRDefault="00D10651"/>
    <w:tbl>
      <w:tblPr>
        <w:tblStyle w:val="TableGrid"/>
        <w:tblW w:w="18625" w:type="dxa"/>
        <w:tblLook w:val="04A0" w:firstRow="1" w:lastRow="0" w:firstColumn="1" w:lastColumn="0" w:noHBand="0" w:noVBand="1"/>
      </w:tblPr>
      <w:tblGrid>
        <w:gridCol w:w="4656"/>
        <w:gridCol w:w="4656"/>
        <w:gridCol w:w="4633"/>
        <w:gridCol w:w="23"/>
        <w:gridCol w:w="4657"/>
      </w:tblGrid>
      <w:tr w:rsidR="00D10651" w:rsidRPr="0063390E" w:rsidTr="00FD27D3">
        <w:tc>
          <w:tcPr>
            <w:tcW w:w="18625" w:type="dxa"/>
            <w:gridSpan w:val="5"/>
            <w:shd w:val="clear" w:color="auto" w:fill="1F3864" w:themeFill="accent5" w:themeFillShade="80"/>
          </w:tcPr>
          <w:p w:rsidR="00D10651" w:rsidRPr="0063390E" w:rsidRDefault="00D10651" w:rsidP="00165EB7">
            <w:pPr>
              <w:rPr>
                <w:b/>
                <w:sz w:val="32"/>
              </w:rPr>
            </w:pPr>
            <w:r w:rsidRPr="0063390E">
              <w:rPr>
                <w:b/>
                <w:sz w:val="32"/>
              </w:rPr>
              <w:t>[CSC Service Level Target Review]</w:t>
            </w:r>
          </w:p>
        </w:tc>
      </w:tr>
      <w:tr w:rsidR="00D10651" w:rsidTr="00FD27D3">
        <w:tc>
          <w:tcPr>
            <w:tcW w:w="4656" w:type="dxa"/>
            <w:shd w:val="clear" w:color="auto" w:fill="D9E2F3" w:themeFill="accent5" w:themeFillTint="33"/>
            <w:vAlign w:val="center"/>
          </w:tcPr>
          <w:p w:rsidR="00D10651" w:rsidRPr="0074647F" w:rsidRDefault="00D10651" w:rsidP="00165EB7">
            <w:pPr>
              <w:jc w:val="center"/>
              <w:rPr>
                <w:b/>
              </w:rPr>
            </w:pPr>
            <w:r w:rsidRPr="0074647F">
              <w:rPr>
                <w:b/>
              </w:rPr>
              <w:t>Description</w:t>
            </w:r>
          </w:p>
        </w:tc>
        <w:tc>
          <w:tcPr>
            <w:tcW w:w="4656" w:type="dxa"/>
            <w:shd w:val="clear" w:color="auto" w:fill="D9E2F3" w:themeFill="accent5" w:themeFillTint="33"/>
            <w:vAlign w:val="center"/>
          </w:tcPr>
          <w:p w:rsidR="00D10651" w:rsidRPr="0074647F" w:rsidRDefault="00D10651" w:rsidP="00165EB7">
            <w:pPr>
              <w:jc w:val="center"/>
              <w:rPr>
                <w:b/>
              </w:rPr>
            </w:pPr>
            <w:r w:rsidRPr="0074647F">
              <w:rPr>
                <w:b/>
              </w:rPr>
              <w:t>Occurrence</w:t>
            </w:r>
          </w:p>
        </w:tc>
        <w:tc>
          <w:tcPr>
            <w:tcW w:w="4656" w:type="dxa"/>
            <w:gridSpan w:val="2"/>
            <w:shd w:val="clear" w:color="auto" w:fill="D9E2F3" w:themeFill="accent5" w:themeFillTint="33"/>
            <w:vAlign w:val="center"/>
          </w:tcPr>
          <w:p w:rsidR="00D10651" w:rsidRPr="0074647F" w:rsidRDefault="00D10651" w:rsidP="00165EB7">
            <w:pPr>
              <w:jc w:val="center"/>
              <w:rPr>
                <w:b/>
              </w:rPr>
            </w:pPr>
            <w:r w:rsidRPr="0074647F">
              <w:rPr>
                <w:b/>
              </w:rPr>
              <w:t>Classification</w:t>
            </w:r>
          </w:p>
        </w:tc>
        <w:tc>
          <w:tcPr>
            <w:tcW w:w="4657" w:type="dxa"/>
            <w:shd w:val="clear" w:color="auto" w:fill="D9E2F3" w:themeFill="accent5" w:themeFillTint="33"/>
            <w:vAlign w:val="center"/>
          </w:tcPr>
          <w:p w:rsidR="00D10651" w:rsidRPr="0074647F" w:rsidRDefault="00D10651" w:rsidP="00165EB7">
            <w:pPr>
              <w:jc w:val="center"/>
              <w:rPr>
                <w:b/>
              </w:rPr>
            </w:pPr>
            <w:r w:rsidRPr="0074647F">
              <w:rPr>
                <w:b/>
              </w:rPr>
              <w:t>Composition</w:t>
            </w:r>
          </w:p>
        </w:tc>
      </w:tr>
      <w:tr w:rsidR="00D10651" w:rsidTr="00FD27D3">
        <w:tc>
          <w:tcPr>
            <w:tcW w:w="4656" w:type="dxa"/>
          </w:tcPr>
          <w:p w:rsidR="00D10651" w:rsidRDefault="00D10651" w:rsidP="00165EB7">
            <w:r>
              <w:t>To review the requests of review or change to the service level targets</w:t>
            </w:r>
          </w:p>
        </w:tc>
        <w:tc>
          <w:tcPr>
            <w:tcW w:w="4656" w:type="dxa"/>
          </w:tcPr>
          <w:p w:rsidR="00D10651" w:rsidRDefault="00D10651" w:rsidP="00165EB7">
            <w:r>
              <w:t>As needed</w:t>
            </w:r>
          </w:p>
        </w:tc>
        <w:tc>
          <w:tcPr>
            <w:tcW w:w="4656" w:type="dxa"/>
            <w:gridSpan w:val="2"/>
          </w:tcPr>
          <w:p w:rsidR="00D10651" w:rsidRDefault="00D10651" w:rsidP="00165EB7">
            <w:r>
              <w:t>Cross Community Working Group</w:t>
            </w:r>
          </w:p>
        </w:tc>
        <w:tc>
          <w:tcPr>
            <w:tcW w:w="4657" w:type="dxa"/>
          </w:tcPr>
          <w:p w:rsidR="00D10651" w:rsidRDefault="00D10651" w:rsidP="00165EB7">
            <w:pPr>
              <w:ind w:left="252" w:hanging="180"/>
            </w:pPr>
            <w:proofErr w:type="spellStart"/>
            <w:r>
              <w:t>ccNSO</w:t>
            </w:r>
            <w:proofErr w:type="spellEnd"/>
            <w:r>
              <w:t xml:space="preserve"> and GNSO</w:t>
            </w:r>
          </w:p>
        </w:tc>
      </w:tr>
      <w:tr w:rsidR="00D10651" w:rsidTr="00FD27D3">
        <w:tc>
          <w:tcPr>
            <w:tcW w:w="13945" w:type="dxa"/>
            <w:gridSpan w:val="3"/>
            <w:shd w:val="clear" w:color="auto" w:fill="D9E2F3" w:themeFill="accent5" w:themeFillTint="33"/>
            <w:vAlign w:val="center"/>
          </w:tcPr>
          <w:p w:rsidR="00D10651" w:rsidRPr="0074647F" w:rsidRDefault="00D10651" w:rsidP="00165EB7">
            <w:pPr>
              <w:jc w:val="center"/>
              <w:rPr>
                <w:b/>
              </w:rPr>
            </w:pPr>
            <w:r w:rsidRPr="0074647F">
              <w:rPr>
                <w:b/>
              </w:rPr>
              <w:t>CWG</w:t>
            </w:r>
            <w:r>
              <w:rPr>
                <w:b/>
              </w:rPr>
              <w:t xml:space="preserve"> Proposals Reference</w:t>
            </w:r>
          </w:p>
        </w:tc>
        <w:tc>
          <w:tcPr>
            <w:tcW w:w="4680" w:type="dxa"/>
            <w:gridSpan w:val="2"/>
            <w:shd w:val="clear" w:color="auto" w:fill="D9E2F3" w:themeFill="accent5" w:themeFillTint="33"/>
            <w:vAlign w:val="center"/>
          </w:tcPr>
          <w:p w:rsidR="00D10651" w:rsidRPr="0074647F" w:rsidRDefault="00D10651" w:rsidP="00165EB7">
            <w:pPr>
              <w:jc w:val="center"/>
              <w:rPr>
                <w:b/>
              </w:rPr>
            </w:pPr>
            <w:r w:rsidRPr="0074647F">
              <w:rPr>
                <w:b/>
              </w:rPr>
              <w:t>Affected Parties</w:t>
            </w:r>
          </w:p>
        </w:tc>
      </w:tr>
      <w:tr w:rsidR="00D10651" w:rsidTr="00FD27D3">
        <w:tc>
          <w:tcPr>
            <w:tcW w:w="13945" w:type="dxa"/>
            <w:gridSpan w:val="3"/>
          </w:tcPr>
          <w:p w:rsidR="00D10651" w:rsidRDefault="00D10651" w:rsidP="00165EB7">
            <w:r>
              <w:rPr>
                <w:b/>
              </w:rPr>
              <w:t>1360</w:t>
            </w:r>
            <w:r w:rsidRPr="004E7FE8">
              <w:rPr>
                <w:b/>
              </w:rPr>
              <w:t>:</w:t>
            </w:r>
            <w:r>
              <w:t xml:space="preserve"> The CSC or the IANA Functions Operator can request a review or change to service level targets. Any proposed changes to service level targets as a result of the review must be agreed to by the </w:t>
            </w:r>
            <w:proofErr w:type="spellStart"/>
            <w:r>
              <w:t>ccNSO</w:t>
            </w:r>
            <w:proofErr w:type="spellEnd"/>
            <w:r>
              <w:t xml:space="preserve"> and GNSO.</w:t>
            </w:r>
          </w:p>
          <w:p w:rsidR="00480ACF" w:rsidRDefault="00480ACF" w:rsidP="00165EB7"/>
        </w:tc>
        <w:tc>
          <w:tcPr>
            <w:tcW w:w="4680" w:type="dxa"/>
            <w:gridSpan w:val="2"/>
          </w:tcPr>
          <w:p w:rsidR="00D10651" w:rsidRDefault="00D10651" w:rsidP="00165EB7">
            <w:proofErr w:type="spellStart"/>
            <w:r>
              <w:t>ccNSO</w:t>
            </w:r>
            <w:proofErr w:type="spellEnd"/>
          </w:p>
          <w:p w:rsidR="00D10651" w:rsidRDefault="00D10651" w:rsidP="00165EB7">
            <w:r>
              <w:t>GNSO</w:t>
            </w:r>
          </w:p>
        </w:tc>
      </w:tr>
    </w:tbl>
    <w:p w:rsidR="002007DE" w:rsidRDefault="002007DE">
      <w:r>
        <w:br w:type="page"/>
      </w:r>
    </w:p>
    <w:tbl>
      <w:tblPr>
        <w:tblStyle w:val="TableGrid"/>
        <w:tblW w:w="18625" w:type="dxa"/>
        <w:tblLook w:val="04A0" w:firstRow="1" w:lastRow="0" w:firstColumn="1" w:lastColumn="0" w:noHBand="0" w:noVBand="1"/>
      </w:tblPr>
      <w:tblGrid>
        <w:gridCol w:w="4656"/>
        <w:gridCol w:w="4656"/>
        <w:gridCol w:w="4633"/>
        <w:gridCol w:w="23"/>
        <w:gridCol w:w="4657"/>
      </w:tblGrid>
      <w:tr w:rsidR="004E7FE8" w:rsidRPr="0063390E" w:rsidTr="00FD27D3">
        <w:tc>
          <w:tcPr>
            <w:tcW w:w="18625" w:type="dxa"/>
            <w:gridSpan w:val="5"/>
            <w:shd w:val="clear" w:color="auto" w:fill="1F3864" w:themeFill="accent5" w:themeFillShade="80"/>
          </w:tcPr>
          <w:p w:rsidR="004E7FE8" w:rsidRPr="0063390E" w:rsidRDefault="004E7FE8" w:rsidP="00165EB7">
            <w:pPr>
              <w:rPr>
                <w:b/>
                <w:sz w:val="32"/>
              </w:rPr>
            </w:pPr>
            <w:r w:rsidRPr="0063390E">
              <w:rPr>
                <w:b/>
                <w:sz w:val="32"/>
              </w:rPr>
              <w:lastRenderedPageBreak/>
              <w:t>Root Zone Evolution Review Committee (RZERC)</w:t>
            </w:r>
          </w:p>
        </w:tc>
      </w:tr>
      <w:tr w:rsidR="004E7FE8" w:rsidTr="00FD27D3">
        <w:tc>
          <w:tcPr>
            <w:tcW w:w="4656" w:type="dxa"/>
            <w:shd w:val="clear" w:color="auto" w:fill="D9E2F3" w:themeFill="accent5" w:themeFillTint="33"/>
            <w:vAlign w:val="center"/>
          </w:tcPr>
          <w:p w:rsidR="004E7FE8" w:rsidRPr="0074647F" w:rsidRDefault="004E7FE8" w:rsidP="00165EB7">
            <w:pPr>
              <w:jc w:val="center"/>
              <w:rPr>
                <w:b/>
              </w:rPr>
            </w:pPr>
            <w:r w:rsidRPr="0074647F">
              <w:rPr>
                <w:b/>
              </w:rPr>
              <w:t>Description</w:t>
            </w:r>
          </w:p>
        </w:tc>
        <w:tc>
          <w:tcPr>
            <w:tcW w:w="4656" w:type="dxa"/>
            <w:shd w:val="clear" w:color="auto" w:fill="D9E2F3" w:themeFill="accent5" w:themeFillTint="33"/>
            <w:vAlign w:val="center"/>
          </w:tcPr>
          <w:p w:rsidR="004E7FE8" w:rsidRPr="0074647F" w:rsidRDefault="004E7FE8" w:rsidP="00165EB7">
            <w:pPr>
              <w:jc w:val="center"/>
              <w:rPr>
                <w:b/>
              </w:rPr>
            </w:pPr>
            <w:r w:rsidRPr="0074647F">
              <w:rPr>
                <w:b/>
              </w:rPr>
              <w:t>Occurrence</w:t>
            </w:r>
          </w:p>
        </w:tc>
        <w:tc>
          <w:tcPr>
            <w:tcW w:w="4656" w:type="dxa"/>
            <w:gridSpan w:val="2"/>
            <w:shd w:val="clear" w:color="auto" w:fill="D9E2F3" w:themeFill="accent5" w:themeFillTint="33"/>
            <w:vAlign w:val="center"/>
          </w:tcPr>
          <w:p w:rsidR="004E7FE8" w:rsidRPr="0074647F" w:rsidRDefault="004E7FE8" w:rsidP="00165EB7">
            <w:pPr>
              <w:jc w:val="center"/>
              <w:rPr>
                <w:b/>
              </w:rPr>
            </w:pPr>
            <w:r w:rsidRPr="0074647F">
              <w:rPr>
                <w:b/>
              </w:rPr>
              <w:t>Classification</w:t>
            </w:r>
          </w:p>
        </w:tc>
        <w:tc>
          <w:tcPr>
            <w:tcW w:w="4657" w:type="dxa"/>
            <w:shd w:val="clear" w:color="auto" w:fill="D9E2F3" w:themeFill="accent5" w:themeFillTint="33"/>
            <w:vAlign w:val="center"/>
          </w:tcPr>
          <w:p w:rsidR="004E7FE8" w:rsidRPr="0074647F" w:rsidRDefault="004E7FE8" w:rsidP="00165EB7">
            <w:pPr>
              <w:jc w:val="center"/>
              <w:rPr>
                <w:b/>
              </w:rPr>
            </w:pPr>
            <w:r w:rsidRPr="0074647F">
              <w:rPr>
                <w:b/>
              </w:rPr>
              <w:t>Composition</w:t>
            </w:r>
          </w:p>
        </w:tc>
      </w:tr>
      <w:tr w:rsidR="004E7FE8" w:rsidTr="00FD27D3">
        <w:tc>
          <w:tcPr>
            <w:tcW w:w="4656" w:type="dxa"/>
          </w:tcPr>
          <w:p w:rsidR="004E7FE8" w:rsidRDefault="004E7FE8" w:rsidP="004E7FE8">
            <w:r>
              <w:t>To advise the ICANN Board of the architectural and operational changes to the root zone environment</w:t>
            </w:r>
          </w:p>
        </w:tc>
        <w:tc>
          <w:tcPr>
            <w:tcW w:w="4656" w:type="dxa"/>
          </w:tcPr>
          <w:p w:rsidR="004E7FE8" w:rsidRDefault="004E7FE8" w:rsidP="004E7FE8">
            <w:r>
              <w:t>As needed</w:t>
            </w:r>
          </w:p>
        </w:tc>
        <w:tc>
          <w:tcPr>
            <w:tcW w:w="4656" w:type="dxa"/>
            <w:gridSpan w:val="2"/>
          </w:tcPr>
          <w:p w:rsidR="004E7FE8" w:rsidRDefault="004E7FE8" w:rsidP="004E7FE8">
            <w:r>
              <w:t>Standing Committee</w:t>
            </w:r>
          </w:p>
        </w:tc>
        <w:tc>
          <w:tcPr>
            <w:tcW w:w="4657" w:type="dxa"/>
          </w:tcPr>
          <w:p w:rsidR="004E7FE8" w:rsidRDefault="004E7FE8" w:rsidP="004E7FE8">
            <w:pPr>
              <w:pStyle w:val="ListParagraph"/>
              <w:numPr>
                <w:ilvl w:val="0"/>
                <w:numId w:val="1"/>
              </w:numPr>
              <w:ind w:left="252" w:hanging="180"/>
            </w:pPr>
            <w:r>
              <w:t>An ICANN Board member</w:t>
            </w:r>
          </w:p>
          <w:p w:rsidR="004E7FE8" w:rsidRDefault="004E7FE8" w:rsidP="004E7FE8">
            <w:pPr>
              <w:pStyle w:val="ListParagraph"/>
              <w:numPr>
                <w:ilvl w:val="0"/>
                <w:numId w:val="1"/>
              </w:numPr>
              <w:ind w:left="252" w:hanging="180"/>
            </w:pPr>
            <w:r>
              <w:t>A senior IFO administrator or delegate</w:t>
            </w:r>
          </w:p>
          <w:p w:rsidR="004E7FE8" w:rsidRDefault="004E7FE8" w:rsidP="004E7FE8">
            <w:pPr>
              <w:pStyle w:val="ListParagraph"/>
              <w:numPr>
                <w:ilvl w:val="0"/>
                <w:numId w:val="1"/>
              </w:numPr>
              <w:ind w:left="252" w:hanging="180"/>
            </w:pPr>
            <w:r>
              <w:t>A chair or delegate from:</w:t>
            </w:r>
          </w:p>
          <w:p w:rsidR="004E7FE8" w:rsidRDefault="004E7FE8" w:rsidP="004E7FE8">
            <w:pPr>
              <w:pStyle w:val="ListParagraph"/>
              <w:numPr>
                <w:ilvl w:val="1"/>
                <w:numId w:val="1"/>
              </w:numPr>
              <w:ind w:left="522" w:hanging="270"/>
            </w:pPr>
            <w:r>
              <w:t>SSAC</w:t>
            </w:r>
          </w:p>
          <w:p w:rsidR="004E7FE8" w:rsidRDefault="004E7FE8" w:rsidP="004E7FE8">
            <w:pPr>
              <w:pStyle w:val="ListParagraph"/>
              <w:numPr>
                <w:ilvl w:val="1"/>
                <w:numId w:val="1"/>
              </w:numPr>
              <w:ind w:left="522" w:hanging="270"/>
            </w:pPr>
            <w:r>
              <w:t>RSSAC</w:t>
            </w:r>
          </w:p>
          <w:p w:rsidR="004E7FE8" w:rsidRDefault="004E7FE8" w:rsidP="004E7FE8">
            <w:pPr>
              <w:pStyle w:val="ListParagraph"/>
              <w:numPr>
                <w:ilvl w:val="1"/>
                <w:numId w:val="1"/>
              </w:numPr>
              <w:ind w:left="522" w:hanging="270"/>
            </w:pPr>
            <w:r>
              <w:t>ASO</w:t>
            </w:r>
          </w:p>
          <w:p w:rsidR="004E7FE8" w:rsidRDefault="004E7FE8" w:rsidP="004E7FE8">
            <w:pPr>
              <w:pStyle w:val="ListParagraph"/>
              <w:numPr>
                <w:ilvl w:val="1"/>
                <w:numId w:val="1"/>
              </w:numPr>
              <w:ind w:left="522" w:hanging="270"/>
            </w:pPr>
            <w:r>
              <w:t>IETF</w:t>
            </w:r>
          </w:p>
          <w:p w:rsidR="004E7FE8" w:rsidRDefault="004E7FE8" w:rsidP="004E7FE8">
            <w:pPr>
              <w:pStyle w:val="ListParagraph"/>
              <w:numPr>
                <w:ilvl w:val="0"/>
                <w:numId w:val="1"/>
              </w:numPr>
              <w:ind w:left="252" w:hanging="180"/>
            </w:pPr>
            <w:r>
              <w:t>A representative of:</w:t>
            </w:r>
          </w:p>
          <w:p w:rsidR="004E7FE8" w:rsidRDefault="004E7FE8" w:rsidP="004E7FE8">
            <w:pPr>
              <w:pStyle w:val="ListParagraph"/>
              <w:numPr>
                <w:ilvl w:val="1"/>
                <w:numId w:val="1"/>
              </w:numPr>
              <w:ind w:left="522" w:hanging="270"/>
            </w:pPr>
            <w:r>
              <w:t xml:space="preserve">GNSO </w:t>
            </w:r>
            <w:proofErr w:type="spellStart"/>
            <w:r>
              <w:t>RySG</w:t>
            </w:r>
            <w:proofErr w:type="spellEnd"/>
          </w:p>
          <w:p w:rsidR="004E7FE8" w:rsidRDefault="004E7FE8" w:rsidP="004E7FE8">
            <w:pPr>
              <w:pStyle w:val="ListParagraph"/>
              <w:numPr>
                <w:ilvl w:val="1"/>
                <w:numId w:val="1"/>
              </w:numPr>
              <w:ind w:left="522" w:hanging="270"/>
            </w:pPr>
            <w:proofErr w:type="spellStart"/>
            <w:r>
              <w:t>ccNSO</w:t>
            </w:r>
            <w:proofErr w:type="spellEnd"/>
          </w:p>
          <w:p w:rsidR="004E7FE8" w:rsidRDefault="004E7FE8" w:rsidP="004E7FE8">
            <w:pPr>
              <w:pStyle w:val="ListParagraph"/>
              <w:numPr>
                <w:ilvl w:val="1"/>
                <w:numId w:val="1"/>
              </w:numPr>
              <w:ind w:left="522" w:hanging="270"/>
            </w:pPr>
            <w:r>
              <w:t>Root Zone Maintainer</w:t>
            </w:r>
          </w:p>
        </w:tc>
      </w:tr>
      <w:tr w:rsidR="004E7FE8" w:rsidTr="00FD27D3">
        <w:tc>
          <w:tcPr>
            <w:tcW w:w="13945" w:type="dxa"/>
            <w:gridSpan w:val="3"/>
            <w:shd w:val="clear" w:color="auto" w:fill="D9E2F3" w:themeFill="accent5" w:themeFillTint="33"/>
            <w:vAlign w:val="center"/>
          </w:tcPr>
          <w:p w:rsidR="004E7FE8" w:rsidRPr="0074647F" w:rsidRDefault="004E7FE8" w:rsidP="00165EB7">
            <w:pPr>
              <w:jc w:val="center"/>
              <w:rPr>
                <w:b/>
              </w:rPr>
            </w:pPr>
            <w:r w:rsidRPr="0074647F">
              <w:rPr>
                <w:b/>
              </w:rPr>
              <w:t>CWG</w:t>
            </w:r>
            <w:r>
              <w:rPr>
                <w:b/>
              </w:rPr>
              <w:t xml:space="preserve"> Proposals Reference</w:t>
            </w:r>
          </w:p>
        </w:tc>
        <w:tc>
          <w:tcPr>
            <w:tcW w:w="4680" w:type="dxa"/>
            <w:gridSpan w:val="2"/>
            <w:shd w:val="clear" w:color="auto" w:fill="D9E2F3" w:themeFill="accent5" w:themeFillTint="33"/>
            <w:vAlign w:val="center"/>
          </w:tcPr>
          <w:p w:rsidR="004E7FE8" w:rsidRPr="0074647F" w:rsidRDefault="004E7FE8" w:rsidP="00165EB7">
            <w:pPr>
              <w:jc w:val="center"/>
              <w:rPr>
                <w:b/>
              </w:rPr>
            </w:pPr>
            <w:r w:rsidRPr="0074647F">
              <w:rPr>
                <w:b/>
              </w:rPr>
              <w:t>Affected Parties</w:t>
            </w:r>
          </w:p>
        </w:tc>
      </w:tr>
      <w:tr w:rsidR="004E7FE8" w:rsidTr="00FD27D3">
        <w:tc>
          <w:tcPr>
            <w:tcW w:w="13945" w:type="dxa"/>
            <w:gridSpan w:val="3"/>
          </w:tcPr>
          <w:p w:rsidR="004E7FE8" w:rsidRDefault="004E7FE8" w:rsidP="004E7FE8">
            <w:r w:rsidRPr="004E7FE8">
              <w:rPr>
                <w:b/>
              </w:rPr>
              <w:t>1155:</w:t>
            </w:r>
            <w:r>
              <w:t xml:space="preserve"> The Board shall grant approval on the recommendation of a standing committee with a proposed membership of: an ICANN Board member (possibly as Chair), a senior IANA Functions Operator administrator or delegate, and Chairs or delegates of the SSAC, RSSAC, ASO and IETF, a representative of the GNSO </w:t>
            </w:r>
            <w:proofErr w:type="spellStart"/>
            <w:r>
              <w:t>RySG</w:t>
            </w:r>
            <w:proofErr w:type="spellEnd"/>
            <w:r>
              <w:t xml:space="preserve">, a representative of the </w:t>
            </w:r>
            <w:proofErr w:type="spellStart"/>
            <w:r>
              <w:t>ccNSO</w:t>
            </w:r>
            <w:proofErr w:type="spellEnd"/>
            <w:r>
              <w:t xml:space="preserve"> and a representative of the Root Zone Maintainer.</w:t>
            </w:r>
          </w:p>
        </w:tc>
        <w:tc>
          <w:tcPr>
            <w:tcW w:w="4680" w:type="dxa"/>
            <w:gridSpan w:val="2"/>
          </w:tcPr>
          <w:p w:rsidR="004E7FE8" w:rsidRDefault="004E7FE8" w:rsidP="004E7FE8">
            <w:r>
              <w:t>SSAC</w:t>
            </w:r>
          </w:p>
          <w:p w:rsidR="004E7FE8" w:rsidRDefault="004E7FE8" w:rsidP="004E7FE8">
            <w:r>
              <w:t>RSSAC</w:t>
            </w:r>
          </w:p>
          <w:p w:rsidR="004E7FE8" w:rsidRDefault="004E7FE8" w:rsidP="004E7FE8">
            <w:r>
              <w:t>SAO</w:t>
            </w:r>
          </w:p>
          <w:p w:rsidR="004E7FE8" w:rsidRDefault="004E7FE8" w:rsidP="004E7FE8">
            <w:r>
              <w:t>IETF</w:t>
            </w:r>
          </w:p>
          <w:p w:rsidR="004E7FE8" w:rsidRDefault="004E7FE8" w:rsidP="004E7FE8">
            <w:proofErr w:type="spellStart"/>
            <w:r>
              <w:t>RySG</w:t>
            </w:r>
            <w:proofErr w:type="spellEnd"/>
          </w:p>
          <w:p w:rsidR="004E7FE8" w:rsidRDefault="004E7FE8" w:rsidP="004E7FE8">
            <w:proofErr w:type="spellStart"/>
            <w:r>
              <w:t>ccNSO</w:t>
            </w:r>
            <w:proofErr w:type="spellEnd"/>
          </w:p>
          <w:p w:rsidR="004E7FE8" w:rsidRDefault="004E7FE8" w:rsidP="004E7FE8"/>
        </w:tc>
      </w:tr>
    </w:tbl>
    <w:p w:rsidR="00480ACF" w:rsidRDefault="00480ACF" w:rsidP="004B47A2"/>
    <w:p w:rsidR="00480ACF" w:rsidRDefault="00480ACF">
      <w:r>
        <w:br w:type="page"/>
      </w:r>
    </w:p>
    <w:tbl>
      <w:tblPr>
        <w:tblStyle w:val="TableGrid"/>
        <w:tblW w:w="18715" w:type="dxa"/>
        <w:tblLook w:val="04A0" w:firstRow="1" w:lastRow="0" w:firstColumn="1" w:lastColumn="0" w:noHBand="0" w:noVBand="1"/>
      </w:tblPr>
      <w:tblGrid>
        <w:gridCol w:w="4678"/>
        <w:gridCol w:w="4679"/>
        <w:gridCol w:w="4679"/>
        <w:gridCol w:w="4679"/>
      </w:tblGrid>
      <w:tr w:rsidR="00480ACF" w:rsidRPr="0063390E" w:rsidTr="00FD27D3">
        <w:tc>
          <w:tcPr>
            <w:tcW w:w="18715" w:type="dxa"/>
            <w:gridSpan w:val="4"/>
            <w:shd w:val="clear" w:color="auto" w:fill="1F3864" w:themeFill="accent5" w:themeFillShade="80"/>
          </w:tcPr>
          <w:p w:rsidR="00480ACF" w:rsidRPr="0063390E" w:rsidRDefault="0045211E" w:rsidP="00165EB7">
            <w:pPr>
              <w:rPr>
                <w:b/>
                <w:sz w:val="32"/>
              </w:rPr>
            </w:pPr>
            <w:r w:rsidRPr="0063390E">
              <w:rPr>
                <w:b/>
                <w:sz w:val="32"/>
              </w:rPr>
              <w:lastRenderedPageBreak/>
              <w:t>Separation Cross Community Working Group (SCWG)</w:t>
            </w:r>
          </w:p>
        </w:tc>
      </w:tr>
      <w:tr w:rsidR="00480ACF" w:rsidTr="00FD27D3">
        <w:tc>
          <w:tcPr>
            <w:tcW w:w="4678" w:type="dxa"/>
            <w:shd w:val="clear" w:color="auto" w:fill="D9E2F3" w:themeFill="accent5" w:themeFillTint="33"/>
            <w:vAlign w:val="center"/>
          </w:tcPr>
          <w:p w:rsidR="00480ACF" w:rsidRPr="0074647F" w:rsidRDefault="00480ACF" w:rsidP="00165EB7">
            <w:pPr>
              <w:jc w:val="center"/>
              <w:rPr>
                <w:b/>
              </w:rPr>
            </w:pPr>
            <w:r w:rsidRPr="0074647F">
              <w:rPr>
                <w:b/>
              </w:rPr>
              <w:t>Description</w:t>
            </w:r>
          </w:p>
        </w:tc>
        <w:tc>
          <w:tcPr>
            <w:tcW w:w="4679" w:type="dxa"/>
            <w:shd w:val="clear" w:color="auto" w:fill="D9E2F3" w:themeFill="accent5" w:themeFillTint="33"/>
            <w:vAlign w:val="center"/>
          </w:tcPr>
          <w:p w:rsidR="00480ACF" w:rsidRPr="0074647F" w:rsidRDefault="00480ACF" w:rsidP="00165EB7">
            <w:pPr>
              <w:jc w:val="center"/>
              <w:rPr>
                <w:b/>
              </w:rPr>
            </w:pPr>
            <w:r w:rsidRPr="0074647F">
              <w:rPr>
                <w:b/>
              </w:rPr>
              <w:t>Occurrence</w:t>
            </w:r>
          </w:p>
        </w:tc>
        <w:tc>
          <w:tcPr>
            <w:tcW w:w="4679" w:type="dxa"/>
            <w:shd w:val="clear" w:color="auto" w:fill="D9E2F3" w:themeFill="accent5" w:themeFillTint="33"/>
            <w:vAlign w:val="center"/>
          </w:tcPr>
          <w:p w:rsidR="00480ACF" w:rsidRPr="0074647F" w:rsidRDefault="00480ACF" w:rsidP="00165EB7">
            <w:pPr>
              <w:jc w:val="center"/>
              <w:rPr>
                <w:b/>
              </w:rPr>
            </w:pPr>
            <w:r w:rsidRPr="0074647F">
              <w:rPr>
                <w:b/>
              </w:rPr>
              <w:t>Classification</w:t>
            </w:r>
          </w:p>
        </w:tc>
        <w:tc>
          <w:tcPr>
            <w:tcW w:w="4679" w:type="dxa"/>
            <w:shd w:val="clear" w:color="auto" w:fill="D9E2F3" w:themeFill="accent5" w:themeFillTint="33"/>
            <w:vAlign w:val="center"/>
          </w:tcPr>
          <w:p w:rsidR="00480ACF" w:rsidRPr="0074647F" w:rsidRDefault="00480ACF" w:rsidP="00165EB7">
            <w:pPr>
              <w:jc w:val="center"/>
              <w:rPr>
                <w:b/>
              </w:rPr>
            </w:pPr>
            <w:r w:rsidRPr="0074647F">
              <w:rPr>
                <w:b/>
              </w:rPr>
              <w:t>Composition</w:t>
            </w:r>
          </w:p>
        </w:tc>
      </w:tr>
      <w:tr w:rsidR="0045211E" w:rsidTr="00FD27D3">
        <w:tc>
          <w:tcPr>
            <w:tcW w:w="4678" w:type="dxa"/>
          </w:tcPr>
          <w:p w:rsidR="0045211E" w:rsidRDefault="0045211E" w:rsidP="0045211E">
            <w:r>
              <w:t>To review the issues raised by the Special IFR and make recommendation</w:t>
            </w:r>
          </w:p>
        </w:tc>
        <w:tc>
          <w:tcPr>
            <w:tcW w:w="4679" w:type="dxa"/>
          </w:tcPr>
          <w:p w:rsidR="0045211E" w:rsidRDefault="0045211E" w:rsidP="0045211E">
            <w:r>
              <w:t>As needed</w:t>
            </w:r>
          </w:p>
        </w:tc>
        <w:tc>
          <w:tcPr>
            <w:tcW w:w="4679" w:type="dxa"/>
          </w:tcPr>
          <w:p w:rsidR="0045211E" w:rsidRDefault="0045211E" w:rsidP="0045211E">
            <w:r>
              <w:t>Cross Community Working Group</w:t>
            </w:r>
          </w:p>
        </w:tc>
        <w:tc>
          <w:tcPr>
            <w:tcW w:w="4679" w:type="dxa"/>
          </w:tcPr>
          <w:p w:rsidR="0045211E" w:rsidRDefault="0045211E" w:rsidP="0045211E">
            <w:pPr>
              <w:pStyle w:val="ListParagraph"/>
              <w:numPr>
                <w:ilvl w:val="0"/>
                <w:numId w:val="1"/>
              </w:numPr>
              <w:ind w:left="252" w:hanging="180"/>
            </w:pPr>
            <w:r>
              <w:t xml:space="preserve">2 </w:t>
            </w:r>
            <w:proofErr w:type="spellStart"/>
            <w:r>
              <w:t>ccNSO</w:t>
            </w:r>
            <w:proofErr w:type="spellEnd"/>
          </w:p>
          <w:p w:rsidR="0045211E" w:rsidRDefault="0045211E" w:rsidP="0045211E">
            <w:pPr>
              <w:pStyle w:val="ListParagraph"/>
              <w:numPr>
                <w:ilvl w:val="0"/>
                <w:numId w:val="1"/>
              </w:numPr>
              <w:ind w:left="252" w:hanging="180"/>
            </w:pPr>
            <w:r>
              <w:t xml:space="preserve">1 </w:t>
            </w:r>
            <w:proofErr w:type="spellStart"/>
            <w:r>
              <w:t>ccTLD</w:t>
            </w:r>
            <w:proofErr w:type="spellEnd"/>
            <w:r>
              <w:t xml:space="preserve"> (non-</w:t>
            </w:r>
            <w:proofErr w:type="spellStart"/>
            <w:r>
              <w:t>ccNSO</w:t>
            </w:r>
            <w:proofErr w:type="spellEnd"/>
            <w:r>
              <w:t>)</w:t>
            </w:r>
          </w:p>
          <w:p w:rsidR="0045211E" w:rsidRDefault="0045211E" w:rsidP="0045211E">
            <w:pPr>
              <w:pStyle w:val="ListParagraph"/>
              <w:numPr>
                <w:ilvl w:val="0"/>
                <w:numId w:val="1"/>
              </w:numPr>
              <w:ind w:left="252" w:hanging="180"/>
            </w:pPr>
            <w:r>
              <w:t xml:space="preserve">3 </w:t>
            </w:r>
            <w:proofErr w:type="spellStart"/>
            <w:r>
              <w:t>RySG</w:t>
            </w:r>
            <w:proofErr w:type="spellEnd"/>
          </w:p>
          <w:p w:rsidR="0045211E" w:rsidRDefault="0045211E" w:rsidP="0045211E">
            <w:pPr>
              <w:pStyle w:val="ListParagraph"/>
              <w:numPr>
                <w:ilvl w:val="0"/>
                <w:numId w:val="1"/>
              </w:numPr>
              <w:ind w:left="252" w:hanging="180"/>
            </w:pPr>
            <w:r>
              <w:t xml:space="preserve">1 </w:t>
            </w:r>
            <w:proofErr w:type="spellStart"/>
            <w:r>
              <w:t>RrSG</w:t>
            </w:r>
            <w:proofErr w:type="spellEnd"/>
          </w:p>
          <w:p w:rsidR="0045211E" w:rsidRDefault="0045211E" w:rsidP="0045211E">
            <w:pPr>
              <w:pStyle w:val="ListParagraph"/>
              <w:numPr>
                <w:ilvl w:val="0"/>
                <w:numId w:val="1"/>
              </w:numPr>
              <w:ind w:left="252" w:hanging="180"/>
            </w:pPr>
            <w:r>
              <w:t>1 CSG</w:t>
            </w:r>
          </w:p>
          <w:p w:rsidR="0045211E" w:rsidRDefault="0045211E" w:rsidP="0045211E">
            <w:pPr>
              <w:pStyle w:val="ListParagraph"/>
              <w:numPr>
                <w:ilvl w:val="0"/>
                <w:numId w:val="1"/>
              </w:numPr>
              <w:ind w:left="252" w:hanging="180"/>
            </w:pPr>
            <w:r>
              <w:t>1 NCSG</w:t>
            </w:r>
          </w:p>
          <w:p w:rsidR="0045211E" w:rsidRDefault="0045211E" w:rsidP="0045211E">
            <w:pPr>
              <w:pStyle w:val="ListParagraph"/>
              <w:numPr>
                <w:ilvl w:val="0"/>
                <w:numId w:val="1"/>
              </w:numPr>
              <w:ind w:left="252" w:hanging="180"/>
            </w:pPr>
            <w:r>
              <w:t>1 GAC</w:t>
            </w:r>
          </w:p>
          <w:p w:rsidR="0045211E" w:rsidRDefault="0045211E" w:rsidP="0045211E">
            <w:pPr>
              <w:pStyle w:val="ListParagraph"/>
              <w:numPr>
                <w:ilvl w:val="0"/>
                <w:numId w:val="1"/>
              </w:numPr>
              <w:ind w:left="252" w:hanging="180"/>
            </w:pPr>
            <w:r>
              <w:t>1 SSAC</w:t>
            </w:r>
          </w:p>
          <w:p w:rsidR="0045211E" w:rsidRDefault="0045211E" w:rsidP="0045211E">
            <w:pPr>
              <w:pStyle w:val="ListParagraph"/>
              <w:numPr>
                <w:ilvl w:val="0"/>
                <w:numId w:val="1"/>
              </w:numPr>
              <w:ind w:left="252" w:hanging="180"/>
            </w:pPr>
            <w:r>
              <w:t>1 RSSAC</w:t>
            </w:r>
          </w:p>
          <w:p w:rsidR="0045211E" w:rsidRDefault="0045211E" w:rsidP="0045211E">
            <w:pPr>
              <w:pStyle w:val="ListParagraph"/>
              <w:numPr>
                <w:ilvl w:val="0"/>
                <w:numId w:val="1"/>
              </w:numPr>
              <w:ind w:left="252" w:hanging="180"/>
            </w:pPr>
            <w:r>
              <w:t>1 ALAC</w:t>
            </w:r>
          </w:p>
          <w:p w:rsidR="0045211E" w:rsidRDefault="0045211E" w:rsidP="0045211E">
            <w:pPr>
              <w:pStyle w:val="ListParagraph"/>
              <w:numPr>
                <w:ilvl w:val="0"/>
                <w:numId w:val="1"/>
              </w:numPr>
              <w:ind w:left="252" w:hanging="180"/>
            </w:pPr>
            <w:r>
              <w:t>1CSC</w:t>
            </w:r>
          </w:p>
          <w:p w:rsidR="0045211E" w:rsidRDefault="0045211E" w:rsidP="0045211E">
            <w:pPr>
              <w:pStyle w:val="ListParagraph"/>
              <w:numPr>
                <w:ilvl w:val="0"/>
                <w:numId w:val="1"/>
              </w:numPr>
              <w:ind w:left="252" w:hanging="180"/>
            </w:pPr>
            <w:r>
              <w:t>1 IFRT</w:t>
            </w:r>
          </w:p>
          <w:p w:rsidR="0045211E" w:rsidRDefault="0045211E" w:rsidP="0045211E">
            <w:pPr>
              <w:pStyle w:val="ListParagraph"/>
              <w:numPr>
                <w:ilvl w:val="0"/>
                <w:numId w:val="1"/>
              </w:numPr>
              <w:ind w:left="252" w:hanging="180"/>
            </w:pPr>
            <w:r>
              <w:t>1 liaison from Protocol operational community</w:t>
            </w:r>
          </w:p>
          <w:p w:rsidR="0045211E" w:rsidRDefault="0045211E" w:rsidP="0045211E">
            <w:pPr>
              <w:pStyle w:val="ListParagraph"/>
              <w:numPr>
                <w:ilvl w:val="0"/>
                <w:numId w:val="1"/>
              </w:numPr>
              <w:ind w:left="252" w:hanging="180"/>
            </w:pPr>
            <w:r>
              <w:t>1 liaison from Numbers operational community</w:t>
            </w:r>
          </w:p>
        </w:tc>
        <w:bookmarkStart w:id="0" w:name="_GoBack"/>
        <w:bookmarkEnd w:id="0"/>
      </w:tr>
      <w:tr w:rsidR="0045211E" w:rsidTr="00FD27D3">
        <w:tc>
          <w:tcPr>
            <w:tcW w:w="14036" w:type="dxa"/>
            <w:gridSpan w:val="3"/>
            <w:shd w:val="clear" w:color="auto" w:fill="D9E2F3" w:themeFill="accent5" w:themeFillTint="33"/>
            <w:vAlign w:val="center"/>
          </w:tcPr>
          <w:p w:rsidR="0045211E" w:rsidRPr="0074647F" w:rsidRDefault="0045211E" w:rsidP="0045211E">
            <w:pPr>
              <w:jc w:val="center"/>
              <w:rPr>
                <w:b/>
              </w:rPr>
            </w:pPr>
            <w:r w:rsidRPr="0074647F">
              <w:rPr>
                <w:b/>
              </w:rPr>
              <w:t>CWG</w:t>
            </w:r>
            <w:r>
              <w:rPr>
                <w:b/>
              </w:rPr>
              <w:t xml:space="preserve"> Proposals Reference</w:t>
            </w:r>
          </w:p>
        </w:tc>
        <w:tc>
          <w:tcPr>
            <w:tcW w:w="4679" w:type="dxa"/>
            <w:shd w:val="clear" w:color="auto" w:fill="D9E2F3" w:themeFill="accent5" w:themeFillTint="33"/>
            <w:vAlign w:val="center"/>
          </w:tcPr>
          <w:p w:rsidR="0045211E" w:rsidRPr="0074647F" w:rsidRDefault="0045211E" w:rsidP="0045211E">
            <w:pPr>
              <w:jc w:val="center"/>
              <w:rPr>
                <w:b/>
              </w:rPr>
            </w:pPr>
            <w:r w:rsidRPr="0074647F">
              <w:rPr>
                <w:b/>
              </w:rPr>
              <w:t>Affected Parties</w:t>
            </w:r>
          </w:p>
        </w:tc>
      </w:tr>
      <w:tr w:rsidR="0045211E" w:rsidTr="00FD27D3">
        <w:tc>
          <w:tcPr>
            <w:tcW w:w="14036" w:type="dxa"/>
            <w:gridSpan w:val="3"/>
          </w:tcPr>
          <w:p w:rsidR="0045211E" w:rsidRDefault="0045211E" w:rsidP="0045211E">
            <w:r w:rsidRPr="0045211E">
              <w:rPr>
                <w:b/>
              </w:rPr>
              <w:t>1394:</w:t>
            </w:r>
            <w:r>
              <w:t xml:space="preserve"> </w:t>
            </w:r>
            <w:r>
              <w:t>Each group will be responsible for appointing its own representative to the SCWG. In</w:t>
            </w:r>
            <w:r>
              <w:t xml:space="preserve"> </w:t>
            </w:r>
            <w:r>
              <w:t>the case of the non-</w:t>
            </w:r>
            <w:proofErr w:type="spellStart"/>
            <w:r>
              <w:t>ccNSO</w:t>
            </w:r>
            <w:proofErr w:type="spellEnd"/>
            <w:r>
              <w:t xml:space="preserve"> </w:t>
            </w:r>
            <w:proofErr w:type="spellStart"/>
            <w:r>
              <w:t>ccTLD</w:t>
            </w:r>
            <w:proofErr w:type="spellEnd"/>
            <w:r>
              <w:t xml:space="preserve"> representative, the </w:t>
            </w:r>
            <w:proofErr w:type="spellStart"/>
            <w:r>
              <w:t>ccNSO</w:t>
            </w:r>
            <w:proofErr w:type="spellEnd"/>
            <w:r>
              <w:t xml:space="preserve"> will be the appointing</w:t>
            </w:r>
            <w:r>
              <w:t xml:space="preserve"> </w:t>
            </w:r>
            <w:r>
              <w:t>body; in appointing the non-</w:t>
            </w:r>
            <w:proofErr w:type="spellStart"/>
            <w:r>
              <w:t>ccNSO</w:t>
            </w:r>
            <w:proofErr w:type="spellEnd"/>
            <w:r>
              <w:t xml:space="preserve"> representative it is strongly recommended that</w:t>
            </w:r>
            <w:r>
              <w:t xml:space="preserve"> </w:t>
            </w:r>
            <w:r>
              <w:t xml:space="preserve">the </w:t>
            </w:r>
            <w:proofErr w:type="spellStart"/>
            <w:r>
              <w:t>ccNSO</w:t>
            </w:r>
            <w:proofErr w:type="spellEnd"/>
            <w:r>
              <w:t xml:space="preserve"> also consult with the Regional </w:t>
            </w:r>
            <w:proofErr w:type="spellStart"/>
            <w:r>
              <w:t>ccTLD</w:t>
            </w:r>
            <w:proofErr w:type="spellEnd"/>
            <w:r>
              <w:t xml:space="preserve"> Organizations, namely </w:t>
            </w:r>
            <w:proofErr w:type="spellStart"/>
            <w:r>
              <w:t>AfTLD</w:t>
            </w:r>
            <w:proofErr w:type="spellEnd"/>
            <w:r>
              <w:t>,</w:t>
            </w:r>
            <w:r>
              <w:t xml:space="preserve"> </w:t>
            </w:r>
            <w:r>
              <w:t>APTLD, LACTLD, and CENTR.</w:t>
            </w:r>
          </w:p>
          <w:p w:rsidR="0045211E" w:rsidRDefault="0045211E" w:rsidP="0045211E"/>
          <w:p w:rsidR="0045211E" w:rsidRDefault="0045211E" w:rsidP="0045211E">
            <w:r w:rsidRPr="0045211E">
              <w:rPr>
                <w:b/>
              </w:rPr>
              <w:t>1395:</w:t>
            </w:r>
            <w:r>
              <w:t xml:space="preserve"> </w:t>
            </w:r>
            <w:r>
              <w:t>It is strongly recommended that the representatives appointed to the SCWG be</w:t>
            </w:r>
            <w:r>
              <w:t xml:space="preserve"> </w:t>
            </w:r>
            <w:r>
              <w:t>different representatives than those that participated in the Special IFR (with the</w:t>
            </w:r>
            <w:r>
              <w:t xml:space="preserve"> </w:t>
            </w:r>
            <w:r>
              <w:t>exception of the liaison to the IANA Function Review Team appointed by the CSC).</w:t>
            </w:r>
            <w:r>
              <w:t xml:space="preserve"> </w:t>
            </w:r>
            <w:r>
              <w:t>This will provide an additional check, accounting for the fact that different skill sets</w:t>
            </w:r>
            <w:r>
              <w:t xml:space="preserve"> </w:t>
            </w:r>
            <w:r>
              <w:t>may be required for the two processes, and provide for broader community</w:t>
            </w:r>
            <w:r>
              <w:t xml:space="preserve"> </w:t>
            </w:r>
            <w:r>
              <w:t>representation in the IANA oversight process.</w:t>
            </w:r>
          </w:p>
          <w:p w:rsidR="0045211E" w:rsidRDefault="0045211E" w:rsidP="0045211E"/>
          <w:p w:rsidR="0045211E" w:rsidRDefault="0045211E" w:rsidP="0045211E">
            <w:r w:rsidRPr="0045211E">
              <w:rPr>
                <w:b/>
              </w:rPr>
              <w:t>1396:</w:t>
            </w:r>
            <w:r>
              <w:t xml:space="preserve"> </w:t>
            </w:r>
            <w:r>
              <w:t>To the extent possible, it is recommended that individuals with experience managing</w:t>
            </w:r>
            <w:r>
              <w:t xml:space="preserve"> </w:t>
            </w:r>
            <w:r>
              <w:t>an RFP process be appointed to the SCWG. For communities appointing more than</w:t>
            </w:r>
            <w:r>
              <w:t xml:space="preserve"> </w:t>
            </w:r>
            <w:r>
              <w:t>one representative to the SCWG it is strongly advised that, to the extent possible, the</w:t>
            </w:r>
            <w:r>
              <w:t xml:space="preserve"> </w:t>
            </w:r>
            <w:r>
              <w:t>appointed representatives come from different ICANN geographic regions, to provide</w:t>
            </w:r>
            <w:r>
              <w:t xml:space="preserve"> </w:t>
            </w:r>
            <w:r>
              <w:t>for diversity on the SCWG.113</w:t>
            </w:r>
          </w:p>
          <w:p w:rsidR="0045211E" w:rsidRDefault="0045211E" w:rsidP="0045211E"/>
          <w:p w:rsidR="0045211E" w:rsidRDefault="0045211E" w:rsidP="0045211E">
            <w:r w:rsidRPr="0045211E">
              <w:rPr>
                <w:b/>
              </w:rPr>
              <w:t>Footnote 113:</w:t>
            </w:r>
            <w:r>
              <w:t xml:space="preserve"> </w:t>
            </w:r>
            <w:r>
              <w:t xml:space="preserve">One specific expectation is that with six total registry seats on the SCWG, including </w:t>
            </w:r>
            <w:proofErr w:type="spellStart"/>
            <w:r>
              <w:t>ccTLD</w:t>
            </w:r>
            <w:proofErr w:type="spellEnd"/>
            <w:r>
              <w:t xml:space="preserve"> and </w:t>
            </w:r>
            <w:proofErr w:type="spellStart"/>
            <w:r>
              <w:t>gTLD</w:t>
            </w:r>
            <w:proofErr w:type="spellEnd"/>
            <w:r>
              <w:t xml:space="preserve"> </w:t>
            </w:r>
            <w:r>
              <w:t>registries, all five ICANN geographical regions be represented.</w:t>
            </w:r>
          </w:p>
          <w:p w:rsidR="002007DE" w:rsidRDefault="002007DE" w:rsidP="0045211E"/>
        </w:tc>
        <w:tc>
          <w:tcPr>
            <w:tcW w:w="4679" w:type="dxa"/>
          </w:tcPr>
          <w:p w:rsidR="0045211E" w:rsidRDefault="0045211E" w:rsidP="0045211E">
            <w:proofErr w:type="spellStart"/>
            <w:r>
              <w:t>ccNSO</w:t>
            </w:r>
            <w:proofErr w:type="spellEnd"/>
          </w:p>
          <w:p w:rsidR="0045211E" w:rsidRDefault="0045211E" w:rsidP="0045211E">
            <w:proofErr w:type="spellStart"/>
            <w:r>
              <w:t>ccTLD</w:t>
            </w:r>
            <w:proofErr w:type="spellEnd"/>
            <w:r>
              <w:t xml:space="preserve"> (</w:t>
            </w:r>
            <w:proofErr w:type="spellStart"/>
            <w:r>
              <w:t>AfTLD</w:t>
            </w:r>
            <w:proofErr w:type="spellEnd"/>
            <w:r>
              <w:t>, APTLD, LACTLD, CENTR)</w:t>
            </w:r>
          </w:p>
          <w:p w:rsidR="0045211E" w:rsidRDefault="0045211E" w:rsidP="0045211E">
            <w:proofErr w:type="spellStart"/>
            <w:r>
              <w:t>RySG</w:t>
            </w:r>
            <w:proofErr w:type="spellEnd"/>
          </w:p>
          <w:p w:rsidR="0045211E" w:rsidRDefault="0045211E" w:rsidP="0045211E">
            <w:proofErr w:type="spellStart"/>
            <w:r>
              <w:t>RrSG</w:t>
            </w:r>
            <w:proofErr w:type="spellEnd"/>
          </w:p>
          <w:p w:rsidR="0045211E" w:rsidRDefault="0045211E" w:rsidP="0045211E">
            <w:r>
              <w:t>CSG</w:t>
            </w:r>
          </w:p>
          <w:p w:rsidR="0045211E" w:rsidRDefault="0045211E" w:rsidP="0045211E">
            <w:r>
              <w:t>NCSG</w:t>
            </w:r>
          </w:p>
          <w:p w:rsidR="0045211E" w:rsidRDefault="0045211E" w:rsidP="0045211E">
            <w:r>
              <w:t>GAC</w:t>
            </w:r>
          </w:p>
          <w:p w:rsidR="0045211E" w:rsidRDefault="0045211E" w:rsidP="0045211E">
            <w:r>
              <w:t>SSAC</w:t>
            </w:r>
          </w:p>
          <w:p w:rsidR="0045211E" w:rsidRDefault="0045211E" w:rsidP="0045211E">
            <w:r>
              <w:t>RSSAC</w:t>
            </w:r>
          </w:p>
          <w:p w:rsidR="0045211E" w:rsidRDefault="0045211E" w:rsidP="0045211E">
            <w:r>
              <w:t>ALAC</w:t>
            </w:r>
          </w:p>
          <w:p w:rsidR="0045211E" w:rsidRDefault="0045211E" w:rsidP="0045211E">
            <w:r>
              <w:t>Protocol operational community</w:t>
            </w:r>
          </w:p>
          <w:p w:rsidR="0045211E" w:rsidRDefault="0045211E" w:rsidP="0045211E">
            <w:r>
              <w:t>Numbers operational community</w:t>
            </w:r>
          </w:p>
        </w:tc>
      </w:tr>
      <w:tr w:rsidR="0045211E" w:rsidTr="00FD27D3">
        <w:tc>
          <w:tcPr>
            <w:tcW w:w="14036" w:type="dxa"/>
            <w:gridSpan w:val="3"/>
          </w:tcPr>
          <w:p w:rsidR="0045211E" w:rsidRDefault="0045211E" w:rsidP="0045211E">
            <w:r>
              <w:rPr>
                <w:b/>
              </w:rPr>
              <w:t xml:space="preserve">1399: </w:t>
            </w:r>
            <w:r w:rsidRPr="0045211E">
              <w:t>A</w:t>
            </w:r>
            <w:r>
              <w:t xml:space="preserve"> </w:t>
            </w:r>
            <w:r w:rsidRPr="0045211E">
              <w:t>determination by the ICANN Board to not approve a recommendation by the SCWG</w:t>
            </w:r>
            <w:r>
              <w:t xml:space="preserve"> </w:t>
            </w:r>
            <w:r w:rsidRPr="0045211E">
              <w:t xml:space="preserve">that had been supported by a supermajority of the </w:t>
            </w:r>
            <w:proofErr w:type="spellStart"/>
            <w:r w:rsidRPr="0045211E">
              <w:t>ccNSO</w:t>
            </w:r>
            <w:proofErr w:type="spellEnd"/>
            <w:r w:rsidRPr="0045211E">
              <w:t xml:space="preserve"> and GNSO Councils will</w:t>
            </w:r>
            <w:r>
              <w:t xml:space="preserve"> </w:t>
            </w:r>
            <w:r w:rsidRPr="0045211E">
              <w:t>need to follow the same supermajority thresholds and consultation procedures as</w:t>
            </w:r>
            <w:r>
              <w:t xml:space="preserve"> </w:t>
            </w:r>
            <w:r w:rsidRPr="0045211E">
              <w:t>ICANN Board rejection (by a supermajority vote) of a PDP recommendation that is</w:t>
            </w:r>
            <w:r>
              <w:t xml:space="preserve"> </w:t>
            </w:r>
            <w:r w:rsidRPr="0045211E">
              <w:t>supported by a supermajority of the GNSO.</w:t>
            </w:r>
          </w:p>
          <w:p w:rsidR="002007DE" w:rsidRPr="0045211E" w:rsidRDefault="002007DE" w:rsidP="0045211E">
            <w:pPr>
              <w:rPr>
                <w:b/>
              </w:rPr>
            </w:pPr>
          </w:p>
        </w:tc>
        <w:tc>
          <w:tcPr>
            <w:tcW w:w="4679" w:type="dxa"/>
          </w:tcPr>
          <w:p w:rsidR="0045211E" w:rsidRDefault="0045211E" w:rsidP="0045211E">
            <w:proofErr w:type="spellStart"/>
            <w:r>
              <w:t>ccNSO</w:t>
            </w:r>
            <w:proofErr w:type="spellEnd"/>
          </w:p>
          <w:p w:rsidR="0045211E" w:rsidRDefault="0045211E" w:rsidP="0045211E">
            <w:r>
              <w:t>GNSO</w:t>
            </w:r>
          </w:p>
        </w:tc>
      </w:tr>
    </w:tbl>
    <w:p w:rsidR="009B208B" w:rsidRDefault="009B208B" w:rsidP="00480ACF"/>
    <w:sectPr w:rsidR="009B208B" w:rsidSect="00FD27D3">
      <w:headerReference w:type="default" r:id="rId8"/>
      <w:pgSz w:w="20160" w:h="12240" w:orient="landscape" w:code="5"/>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ECC" w:rsidRDefault="00123ECC" w:rsidP="00100E61">
      <w:pPr>
        <w:spacing w:after="0" w:line="240" w:lineRule="auto"/>
      </w:pPr>
      <w:r>
        <w:separator/>
      </w:r>
    </w:p>
  </w:endnote>
  <w:endnote w:type="continuationSeparator" w:id="0">
    <w:p w:rsidR="00123ECC" w:rsidRDefault="00123ECC" w:rsidP="0010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ECC" w:rsidRDefault="00123ECC" w:rsidP="00100E61">
      <w:pPr>
        <w:spacing w:after="0" w:line="240" w:lineRule="auto"/>
      </w:pPr>
      <w:r>
        <w:separator/>
      </w:r>
    </w:p>
  </w:footnote>
  <w:footnote w:type="continuationSeparator" w:id="0">
    <w:p w:rsidR="00123ECC" w:rsidRDefault="00123ECC" w:rsidP="00100E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E61" w:rsidRPr="00100E61" w:rsidRDefault="00100E61" w:rsidP="00100E61">
    <w:pPr>
      <w:jc w:val="center"/>
      <w:rPr>
        <w:b/>
        <w:sz w:val="28"/>
        <w:u w:val="single"/>
      </w:rPr>
    </w:pPr>
    <w:r w:rsidRPr="00100E61">
      <w:rPr>
        <w:b/>
        <w:sz w:val="28"/>
        <w:u w:val="single"/>
      </w:rPr>
      <w:t xml:space="preserve">New </w:t>
    </w:r>
    <w:r>
      <w:rPr>
        <w:b/>
        <w:sz w:val="28"/>
        <w:u w:val="single"/>
      </w:rPr>
      <w:t>c</w:t>
    </w:r>
    <w:r w:rsidRPr="00100E61">
      <w:rPr>
        <w:b/>
        <w:sz w:val="28"/>
        <w:u w:val="single"/>
      </w:rPr>
      <w:t>ommittees &amp; group</w:t>
    </w:r>
    <w:r>
      <w:rPr>
        <w:b/>
        <w:sz w:val="28"/>
        <w:u w:val="single"/>
      </w:rPr>
      <w:t>s to be formed</w:t>
    </w:r>
    <w:r w:rsidRPr="00100E61">
      <w:rPr>
        <w:b/>
        <w:sz w:val="28"/>
        <w:u w:val="single"/>
      </w:rPr>
      <w:t xml:space="preserve"> post-transition</w:t>
    </w:r>
    <w:r w:rsidR="00B94F39">
      <w:rPr>
        <w:b/>
        <w:sz w:val="28"/>
        <w:u w:val="single"/>
      </w:rPr>
      <w:t xml:space="preserve"> (</w:t>
    </w:r>
    <w:r w:rsidR="00B94F39" w:rsidRPr="00B94F39">
      <w:rPr>
        <w:b/>
        <w:sz w:val="28"/>
        <w:u w:val="single"/>
      </w:rPr>
      <w:t xml:space="preserve">Page </w:t>
    </w:r>
    <w:r w:rsidR="00B94F39" w:rsidRPr="00B94F39">
      <w:rPr>
        <w:b/>
        <w:bCs/>
        <w:sz w:val="28"/>
        <w:u w:val="single"/>
      </w:rPr>
      <w:fldChar w:fldCharType="begin"/>
    </w:r>
    <w:r w:rsidR="00B94F39" w:rsidRPr="00B94F39">
      <w:rPr>
        <w:b/>
        <w:bCs/>
        <w:sz w:val="28"/>
        <w:u w:val="single"/>
      </w:rPr>
      <w:instrText xml:space="preserve"> PAGE  \* Arabic  \* MERGEFORMAT </w:instrText>
    </w:r>
    <w:r w:rsidR="00B94F39" w:rsidRPr="00B94F39">
      <w:rPr>
        <w:b/>
        <w:bCs/>
        <w:sz w:val="28"/>
        <w:u w:val="single"/>
      </w:rPr>
      <w:fldChar w:fldCharType="separate"/>
    </w:r>
    <w:r w:rsidR="0063390E">
      <w:rPr>
        <w:b/>
        <w:bCs/>
        <w:noProof/>
        <w:sz w:val="28"/>
        <w:u w:val="single"/>
      </w:rPr>
      <w:t>4</w:t>
    </w:r>
    <w:r w:rsidR="00B94F39" w:rsidRPr="00B94F39">
      <w:rPr>
        <w:b/>
        <w:bCs/>
        <w:sz w:val="28"/>
        <w:u w:val="single"/>
      </w:rPr>
      <w:fldChar w:fldCharType="end"/>
    </w:r>
    <w:r w:rsidR="00B94F39" w:rsidRPr="00B94F39">
      <w:rPr>
        <w:b/>
        <w:sz w:val="28"/>
        <w:u w:val="single"/>
      </w:rPr>
      <w:t xml:space="preserve"> of </w:t>
    </w:r>
    <w:r w:rsidR="00B94F39" w:rsidRPr="00B94F39">
      <w:rPr>
        <w:b/>
        <w:bCs/>
        <w:sz w:val="28"/>
        <w:u w:val="single"/>
      </w:rPr>
      <w:fldChar w:fldCharType="begin"/>
    </w:r>
    <w:r w:rsidR="00B94F39" w:rsidRPr="00B94F39">
      <w:rPr>
        <w:b/>
        <w:bCs/>
        <w:sz w:val="28"/>
        <w:u w:val="single"/>
      </w:rPr>
      <w:instrText xml:space="preserve"> NUMPAGES  \* Arabic  \* MERGEFORMAT </w:instrText>
    </w:r>
    <w:r w:rsidR="00B94F39" w:rsidRPr="00B94F39">
      <w:rPr>
        <w:b/>
        <w:bCs/>
        <w:sz w:val="28"/>
        <w:u w:val="single"/>
      </w:rPr>
      <w:fldChar w:fldCharType="separate"/>
    </w:r>
    <w:r w:rsidR="0063390E">
      <w:rPr>
        <w:b/>
        <w:bCs/>
        <w:noProof/>
        <w:sz w:val="28"/>
        <w:u w:val="single"/>
      </w:rPr>
      <w:t>6</w:t>
    </w:r>
    <w:r w:rsidR="00B94F39" w:rsidRPr="00B94F39">
      <w:rPr>
        <w:b/>
        <w:bCs/>
        <w:sz w:val="28"/>
        <w:u w:val="single"/>
      </w:rPr>
      <w:fldChar w:fldCharType="end"/>
    </w:r>
    <w:r w:rsidR="00B94F39">
      <w:rPr>
        <w:b/>
        <w:bCs/>
        <w:sz w:val="28"/>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8C7EBC"/>
    <w:multiLevelType w:val="hybridMultilevel"/>
    <w:tmpl w:val="A28EA9BA"/>
    <w:lvl w:ilvl="0" w:tplc="7CD6AFB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917BE"/>
    <w:multiLevelType w:val="hybridMultilevel"/>
    <w:tmpl w:val="E1261C70"/>
    <w:lvl w:ilvl="0" w:tplc="7D1068D2">
      <w:start w:val="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75"/>
    <w:rsid w:val="0000406B"/>
    <w:rsid w:val="000F1CBA"/>
    <w:rsid w:val="000F7452"/>
    <w:rsid w:val="00100E61"/>
    <w:rsid w:val="00123ECC"/>
    <w:rsid w:val="001A3A0D"/>
    <w:rsid w:val="001E5377"/>
    <w:rsid w:val="001F0248"/>
    <w:rsid w:val="002007DE"/>
    <w:rsid w:val="00225BAC"/>
    <w:rsid w:val="002617C2"/>
    <w:rsid w:val="00323542"/>
    <w:rsid w:val="0045211E"/>
    <w:rsid w:val="00457166"/>
    <w:rsid w:val="00480ACF"/>
    <w:rsid w:val="004B2E6E"/>
    <w:rsid w:val="004B47A2"/>
    <w:rsid w:val="004E7FE8"/>
    <w:rsid w:val="00531577"/>
    <w:rsid w:val="0055784D"/>
    <w:rsid w:val="0063390E"/>
    <w:rsid w:val="00673852"/>
    <w:rsid w:val="006D32F3"/>
    <w:rsid w:val="00703F6E"/>
    <w:rsid w:val="00715A85"/>
    <w:rsid w:val="0074647F"/>
    <w:rsid w:val="00790702"/>
    <w:rsid w:val="007E4603"/>
    <w:rsid w:val="009B208B"/>
    <w:rsid w:val="009B2597"/>
    <w:rsid w:val="00A074B5"/>
    <w:rsid w:val="00AD1A91"/>
    <w:rsid w:val="00B62675"/>
    <w:rsid w:val="00B94F39"/>
    <w:rsid w:val="00BF406D"/>
    <w:rsid w:val="00C34874"/>
    <w:rsid w:val="00CA3949"/>
    <w:rsid w:val="00D10651"/>
    <w:rsid w:val="00D239C5"/>
    <w:rsid w:val="00D4504E"/>
    <w:rsid w:val="00D67111"/>
    <w:rsid w:val="00E35769"/>
    <w:rsid w:val="00FA6A21"/>
    <w:rsid w:val="00FD27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805CB-E2E7-480C-A265-2F98703C7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0E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2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675"/>
    <w:pPr>
      <w:ind w:left="720"/>
      <w:contextualSpacing/>
    </w:pPr>
  </w:style>
  <w:style w:type="table" w:styleId="GridTable4-Accent3">
    <w:name w:val="Grid Table 4 Accent 3"/>
    <w:basedOn w:val="TableNormal"/>
    <w:uiPriority w:val="49"/>
    <w:rsid w:val="00100E6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100E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E61"/>
  </w:style>
  <w:style w:type="paragraph" w:styleId="Footer">
    <w:name w:val="footer"/>
    <w:basedOn w:val="Normal"/>
    <w:link w:val="FooterChar"/>
    <w:uiPriority w:val="99"/>
    <w:unhideWhenUsed/>
    <w:rsid w:val="00100E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E61"/>
  </w:style>
  <w:style w:type="character" w:customStyle="1" w:styleId="Heading1Char">
    <w:name w:val="Heading 1 Char"/>
    <w:basedOn w:val="DefaultParagraphFont"/>
    <w:link w:val="Heading1"/>
    <w:uiPriority w:val="9"/>
    <w:rsid w:val="00100E61"/>
    <w:rPr>
      <w:rFonts w:asciiTheme="majorHAnsi" w:eastAsiaTheme="majorEastAsia" w:hAnsiTheme="majorHAnsi" w:cstheme="majorBidi"/>
      <w:color w:val="2E74B5" w:themeColor="accent1" w:themeShade="BF"/>
      <w:sz w:val="32"/>
      <w:szCs w:val="32"/>
    </w:rPr>
  </w:style>
  <w:style w:type="table" w:styleId="GridTable1Light-Accent3">
    <w:name w:val="Grid Table 1 Light Accent 3"/>
    <w:basedOn w:val="TableNormal"/>
    <w:uiPriority w:val="46"/>
    <w:rsid w:val="0074647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93AD4-73A4-44CC-BEF0-1093106A2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Yuko Green</dc:creator>
  <cp:keywords/>
  <dc:description/>
  <cp:lastModifiedBy>Yuko Green</cp:lastModifiedBy>
  <cp:revision>9</cp:revision>
  <dcterms:created xsi:type="dcterms:W3CDTF">2016-02-10T23:32:00Z</dcterms:created>
  <dcterms:modified xsi:type="dcterms:W3CDTF">2016-02-11T00:21:00Z</dcterms:modified>
</cp:coreProperties>
</file>