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A90" w:rsidRPr="00182F50" w:rsidRDefault="00576C33">
      <w:pPr>
        <w:rPr>
          <w:b/>
          <w:bCs/>
        </w:rPr>
      </w:pPr>
      <w:proofErr w:type="spellStart"/>
      <w:r w:rsidRPr="00182F50">
        <w:rPr>
          <w:b/>
          <w:bCs/>
        </w:rPr>
        <w:t>ccNSO</w:t>
      </w:r>
      <w:proofErr w:type="spellEnd"/>
      <w:r w:rsidRPr="00182F50">
        <w:rPr>
          <w:b/>
          <w:bCs/>
        </w:rPr>
        <w:t xml:space="preserve"> repository for Bylaw changes</w:t>
      </w:r>
    </w:p>
    <w:p w:rsidR="00294A69" w:rsidRDefault="00294A69"/>
    <w:p w:rsidR="00294A69" w:rsidRPr="00D9173F" w:rsidRDefault="00BF1900" w:rsidP="00CF0AD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D9173F">
        <w:rPr>
          <w:rFonts w:asciiTheme="minorHAnsi" w:hAnsiTheme="minorHAnsi" w:cstheme="minorHAnsi"/>
          <w:b/>
          <w:bCs/>
        </w:rPr>
        <w:t>Introduction</w:t>
      </w:r>
    </w:p>
    <w:p w:rsidR="00BF1900" w:rsidRPr="00D9173F" w:rsidRDefault="00294A69">
      <w:pPr>
        <w:rPr>
          <w:rFonts w:asciiTheme="minorHAnsi" w:hAnsiTheme="minorHAnsi" w:cstheme="minorHAnsi"/>
        </w:rPr>
      </w:pPr>
      <w:r w:rsidRPr="00D9173F">
        <w:rPr>
          <w:rFonts w:asciiTheme="minorHAnsi" w:hAnsiTheme="minorHAnsi" w:cstheme="minorHAnsi"/>
        </w:rPr>
        <w:t xml:space="preserve">At times </w:t>
      </w:r>
      <w:r w:rsidR="00BF1900" w:rsidRPr="00D9173F">
        <w:rPr>
          <w:rFonts w:asciiTheme="minorHAnsi" w:hAnsiTheme="minorHAnsi" w:cstheme="minorHAnsi"/>
        </w:rPr>
        <w:t xml:space="preserve">the </w:t>
      </w:r>
      <w:proofErr w:type="spellStart"/>
      <w:r w:rsidR="00BF1900" w:rsidRPr="00D9173F">
        <w:rPr>
          <w:rFonts w:asciiTheme="minorHAnsi" w:hAnsiTheme="minorHAnsi" w:cstheme="minorHAnsi"/>
        </w:rPr>
        <w:t>ccNSO</w:t>
      </w:r>
      <w:proofErr w:type="spellEnd"/>
      <w:r w:rsidR="00BF1900" w:rsidRPr="00D9173F">
        <w:rPr>
          <w:rFonts w:asciiTheme="minorHAnsi" w:hAnsiTheme="minorHAnsi" w:cstheme="minorHAnsi"/>
        </w:rPr>
        <w:t xml:space="preserve"> is made aware of the potential need for an ICANN Bylaw change. To capture this, and to maintain an action list</w:t>
      </w:r>
      <w:r w:rsidR="00CF0AD1" w:rsidRPr="00D9173F">
        <w:rPr>
          <w:rFonts w:asciiTheme="minorHAnsi" w:hAnsiTheme="minorHAnsi" w:cstheme="minorHAnsi"/>
        </w:rPr>
        <w:t xml:space="preserve"> and repository of required changes</w:t>
      </w:r>
      <w:r w:rsidR="00BF1900" w:rsidRPr="00D9173F">
        <w:rPr>
          <w:rFonts w:asciiTheme="minorHAnsi" w:hAnsiTheme="minorHAnsi" w:cstheme="minorHAnsi"/>
        </w:rPr>
        <w:t xml:space="preserve">, the </w:t>
      </w:r>
      <w:proofErr w:type="spellStart"/>
      <w:r w:rsidR="00BF1900" w:rsidRPr="00D9173F">
        <w:rPr>
          <w:rFonts w:asciiTheme="minorHAnsi" w:hAnsiTheme="minorHAnsi" w:cstheme="minorHAnsi"/>
        </w:rPr>
        <w:t>ccNSO</w:t>
      </w:r>
      <w:proofErr w:type="spellEnd"/>
      <w:r w:rsidR="00BF1900" w:rsidRPr="00D9173F">
        <w:rPr>
          <w:rFonts w:asciiTheme="minorHAnsi" w:hAnsiTheme="minorHAnsi" w:cstheme="minorHAnsi"/>
        </w:rPr>
        <w:t xml:space="preserve"> maintain</w:t>
      </w:r>
      <w:r w:rsidR="00CF0AD1" w:rsidRPr="00D9173F">
        <w:rPr>
          <w:rFonts w:asciiTheme="minorHAnsi" w:hAnsiTheme="minorHAnsi" w:cstheme="minorHAnsi"/>
        </w:rPr>
        <w:t xml:space="preserve">s this </w:t>
      </w:r>
      <w:r w:rsidR="00BF1900" w:rsidRPr="00D9173F">
        <w:rPr>
          <w:rFonts w:asciiTheme="minorHAnsi" w:hAnsiTheme="minorHAnsi" w:cstheme="minorHAnsi"/>
        </w:rPr>
        <w:t>Bylaw change repository.</w:t>
      </w:r>
    </w:p>
    <w:p w:rsidR="00BF1900" w:rsidRPr="00D9173F" w:rsidRDefault="00BF1900">
      <w:pPr>
        <w:rPr>
          <w:rFonts w:asciiTheme="minorHAnsi" w:hAnsiTheme="minorHAnsi" w:cstheme="minorHAnsi"/>
        </w:rPr>
      </w:pPr>
    </w:p>
    <w:p w:rsidR="00BF1900" w:rsidRPr="00D9173F" w:rsidRDefault="00BF1900">
      <w:pPr>
        <w:rPr>
          <w:rFonts w:asciiTheme="minorHAnsi" w:hAnsiTheme="minorHAnsi" w:cstheme="minorHAnsi"/>
        </w:rPr>
      </w:pPr>
      <w:r w:rsidRPr="00D9173F">
        <w:rPr>
          <w:rFonts w:asciiTheme="minorHAnsi" w:hAnsiTheme="minorHAnsi" w:cstheme="minorHAnsi"/>
        </w:rPr>
        <w:t>The following will be captured</w:t>
      </w:r>
      <w:r w:rsidR="00D9173F">
        <w:rPr>
          <w:rFonts w:asciiTheme="minorHAnsi" w:hAnsiTheme="minorHAnsi" w:cstheme="minorHAnsi"/>
        </w:rPr>
        <w:t>:</w:t>
      </w:r>
    </w:p>
    <w:p w:rsidR="00CF0AD1" w:rsidRPr="00D9173F" w:rsidRDefault="00CF0AD1" w:rsidP="00D9173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D9173F">
        <w:rPr>
          <w:rFonts w:asciiTheme="minorHAnsi" w:hAnsiTheme="minorHAnsi" w:cstheme="minorHAnsi"/>
          <w:b/>
          <w:bCs/>
        </w:rPr>
        <w:t xml:space="preserve">Item: </w:t>
      </w:r>
      <w:r w:rsidRPr="00D9173F">
        <w:rPr>
          <w:rFonts w:asciiTheme="minorHAnsi" w:hAnsiTheme="minorHAnsi" w:cstheme="minorHAnsi"/>
        </w:rPr>
        <w:t>number of change</w:t>
      </w:r>
      <w:r w:rsidRPr="00D9173F">
        <w:rPr>
          <w:rFonts w:asciiTheme="minorHAnsi" w:hAnsiTheme="minorHAnsi" w:cstheme="minorHAnsi"/>
          <w:b/>
          <w:bCs/>
        </w:rPr>
        <w:t xml:space="preserve"> </w:t>
      </w:r>
    </w:p>
    <w:p w:rsidR="00BA6228" w:rsidRPr="00D9173F" w:rsidRDefault="00BA6228" w:rsidP="00D9173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D9173F">
        <w:rPr>
          <w:rFonts w:asciiTheme="minorHAnsi" w:hAnsiTheme="minorHAnsi" w:cstheme="minorHAnsi"/>
          <w:b/>
          <w:bCs/>
        </w:rPr>
        <w:t>Description:</w:t>
      </w:r>
      <w:r w:rsidRPr="00D9173F">
        <w:rPr>
          <w:rFonts w:asciiTheme="minorHAnsi" w:hAnsiTheme="minorHAnsi" w:cstheme="minorHAnsi"/>
        </w:rPr>
        <w:t xml:space="preserve"> </w:t>
      </w:r>
      <w:r w:rsidR="00BF1900" w:rsidRPr="00D9173F">
        <w:rPr>
          <w:rFonts w:asciiTheme="minorHAnsi" w:hAnsiTheme="minorHAnsi" w:cstheme="minorHAnsi"/>
        </w:rPr>
        <w:t xml:space="preserve">Brief description of change needed. </w:t>
      </w:r>
    </w:p>
    <w:p w:rsidR="00BA6228" w:rsidRPr="00D9173F" w:rsidRDefault="00BA6228" w:rsidP="00D9173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D9173F">
        <w:rPr>
          <w:rFonts w:asciiTheme="minorHAnsi" w:hAnsiTheme="minorHAnsi" w:cstheme="minorHAnsi"/>
          <w:b/>
          <w:bCs/>
        </w:rPr>
        <w:t>Bylaw Section</w:t>
      </w:r>
      <w:r w:rsidRPr="00D9173F">
        <w:rPr>
          <w:rFonts w:asciiTheme="minorHAnsi" w:hAnsiTheme="minorHAnsi" w:cstheme="minorHAnsi"/>
        </w:rPr>
        <w:t xml:space="preserve">: </w:t>
      </w:r>
      <w:r w:rsidR="00BF1900" w:rsidRPr="00D9173F">
        <w:rPr>
          <w:rFonts w:asciiTheme="minorHAnsi" w:hAnsiTheme="minorHAnsi" w:cstheme="minorHAnsi"/>
        </w:rPr>
        <w:t xml:space="preserve">Reference to the </w:t>
      </w:r>
      <w:r w:rsidRPr="00D9173F">
        <w:rPr>
          <w:rFonts w:asciiTheme="minorHAnsi" w:hAnsiTheme="minorHAnsi" w:cstheme="minorHAnsi"/>
        </w:rPr>
        <w:t xml:space="preserve">section in the ICANN Bylaws </w:t>
      </w:r>
      <w:r w:rsidR="00BF1900" w:rsidRPr="00D9173F">
        <w:rPr>
          <w:rFonts w:asciiTheme="minorHAnsi" w:hAnsiTheme="minorHAnsi" w:cstheme="minorHAnsi"/>
        </w:rPr>
        <w:t>Bylaw</w:t>
      </w:r>
    </w:p>
    <w:p w:rsidR="00BA6228" w:rsidRPr="00D9173F" w:rsidRDefault="006C75DF" w:rsidP="00D9173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D9173F">
        <w:rPr>
          <w:rFonts w:asciiTheme="minorHAnsi" w:hAnsiTheme="minorHAnsi" w:cstheme="minorHAnsi"/>
          <w:b/>
          <w:bCs/>
        </w:rPr>
        <w:t>Bylaw text</w:t>
      </w:r>
      <w:r w:rsidR="00CF0AD1" w:rsidRPr="00D9173F">
        <w:rPr>
          <w:rFonts w:asciiTheme="minorHAnsi" w:hAnsiTheme="minorHAnsi" w:cstheme="minorHAnsi"/>
          <w:b/>
          <w:bCs/>
        </w:rPr>
        <w:t>:</w:t>
      </w:r>
      <w:r w:rsidR="00BA6228" w:rsidRPr="00D9173F">
        <w:rPr>
          <w:rFonts w:asciiTheme="minorHAnsi" w:hAnsiTheme="minorHAnsi" w:cstheme="minorHAnsi"/>
        </w:rPr>
        <w:t xml:space="preserve"> The text in the Bylaw</w:t>
      </w:r>
    </w:p>
    <w:p w:rsidR="00BA6228" w:rsidRPr="00D9173F" w:rsidRDefault="00BA6228" w:rsidP="00D9173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D9173F">
        <w:rPr>
          <w:rFonts w:asciiTheme="minorHAnsi" w:hAnsiTheme="minorHAnsi" w:cstheme="minorHAnsi"/>
          <w:b/>
          <w:bCs/>
        </w:rPr>
        <w:t>Issue:</w:t>
      </w:r>
      <w:r w:rsidRPr="00D9173F">
        <w:rPr>
          <w:rFonts w:asciiTheme="minorHAnsi" w:hAnsiTheme="minorHAnsi" w:cstheme="minorHAnsi"/>
        </w:rPr>
        <w:t xml:space="preserve"> Rationale to ask for change</w:t>
      </w:r>
    </w:p>
    <w:p w:rsidR="00BA6228" w:rsidRPr="00D9173F" w:rsidRDefault="00BA6228" w:rsidP="00D9173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D9173F">
        <w:rPr>
          <w:rFonts w:asciiTheme="minorHAnsi" w:hAnsiTheme="minorHAnsi" w:cstheme="minorHAnsi"/>
          <w:b/>
          <w:bCs/>
        </w:rPr>
        <w:t>Kind</w:t>
      </w:r>
      <w:r w:rsidR="00BF1900" w:rsidRPr="00D9173F">
        <w:rPr>
          <w:rFonts w:asciiTheme="minorHAnsi" w:hAnsiTheme="minorHAnsi" w:cstheme="minorHAnsi"/>
          <w:b/>
          <w:bCs/>
        </w:rPr>
        <w:t xml:space="preserve"> of Bylaw</w:t>
      </w:r>
      <w:r w:rsidRPr="00D9173F">
        <w:rPr>
          <w:rFonts w:asciiTheme="minorHAnsi" w:hAnsiTheme="minorHAnsi" w:cstheme="minorHAnsi"/>
          <w:b/>
          <w:bCs/>
        </w:rPr>
        <w:t>:</w:t>
      </w:r>
      <w:r w:rsidRPr="00D9173F">
        <w:rPr>
          <w:rFonts w:asciiTheme="minorHAnsi" w:hAnsiTheme="minorHAnsi" w:cstheme="minorHAnsi"/>
        </w:rPr>
        <w:t xml:space="preserve"> </w:t>
      </w:r>
      <w:r w:rsidR="00BF1900" w:rsidRPr="00D9173F">
        <w:rPr>
          <w:rFonts w:asciiTheme="minorHAnsi" w:hAnsiTheme="minorHAnsi" w:cstheme="minorHAnsi"/>
        </w:rPr>
        <w:t xml:space="preserve">Fundamental, </w:t>
      </w:r>
      <w:r w:rsidR="006C75DF" w:rsidRPr="00D9173F">
        <w:rPr>
          <w:rFonts w:asciiTheme="minorHAnsi" w:hAnsiTheme="minorHAnsi" w:cstheme="minorHAnsi"/>
        </w:rPr>
        <w:t>Standard, has implication whether it needs to be approved by EC or</w:t>
      </w:r>
      <w:r w:rsidRPr="00D9173F">
        <w:rPr>
          <w:rFonts w:asciiTheme="minorHAnsi" w:hAnsiTheme="minorHAnsi" w:cstheme="minorHAnsi"/>
        </w:rPr>
        <w:t xml:space="preserve"> only open for</w:t>
      </w:r>
      <w:r w:rsidR="006C75DF" w:rsidRPr="00D9173F">
        <w:rPr>
          <w:rFonts w:asciiTheme="minorHAnsi" w:hAnsiTheme="minorHAnsi" w:cstheme="minorHAnsi"/>
        </w:rPr>
        <w:t xml:space="preserve"> reject</w:t>
      </w:r>
      <w:r w:rsidRPr="00D9173F">
        <w:rPr>
          <w:rFonts w:asciiTheme="minorHAnsi" w:hAnsiTheme="minorHAnsi" w:cstheme="minorHAnsi"/>
        </w:rPr>
        <w:t>ion</w:t>
      </w:r>
      <w:r w:rsidR="00182F50" w:rsidRPr="00D9173F">
        <w:rPr>
          <w:rFonts w:asciiTheme="minorHAnsi" w:hAnsiTheme="minorHAnsi" w:cstheme="minorHAnsi"/>
        </w:rPr>
        <w:t>. Fundamental Bylaws</w:t>
      </w:r>
      <w:r w:rsidR="00CF0AD1" w:rsidRPr="00D9173F">
        <w:rPr>
          <w:rFonts w:asciiTheme="minorHAnsi" w:hAnsiTheme="minorHAnsi" w:cstheme="minorHAnsi"/>
        </w:rPr>
        <w:t xml:space="preserve"> </w:t>
      </w:r>
      <w:r w:rsidR="00182F50" w:rsidRPr="00D9173F">
        <w:rPr>
          <w:rFonts w:asciiTheme="minorHAnsi" w:hAnsiTheme="minorHAnsi" w:cstheme="minorHAnsi"/>
        </w:rPr>
        <w:t>are included in list of section 25.2 (a) of the ICANN Bylaws</w:t>
      </w:r>
    </w:p>
    <w:p w:rsidR="00BA6228" w:rsidRPr="00D9173F" w:rsidRDefault="00BF1900" w:rsidP="00D9173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D9173F">
        <w:rPr>
          <w:rFonts w:asciiTheme="minorHAnsi" w:hAnsiTheme="minorHAnsi" w:cstheme="minorHAnsi"/>
          <w:b/>
          <w:bCs/>
        </w:rPr>
        <w:t>Change proces</w:t>
      </w:r>
      <w:r w:rsidR="00BA6228" w:rsidRPr="00D9173F">
        <w:rPr>
          <w:rFonts w:asciiTheme="minorHAnsi" w:hAnsiTheme="minorHAnsi" w:cstheme="minorHAnsi"/>
          <w:b/>
          <w:bCs/>
        </w:rPr>
        <w:t>s:</w:t>
      </w:r>
      <w:r w:rsidR="00BA6228" w:rsidRPr="00D9173F">
        <w:rPr>
          <w:rFonts w:asciiTheme="minorHAnsi" w:hAnsiTheme="minorHAnsi" w:cstheme="minorHAnsi"/>
        </w:rPr>
        <w:t xml:space="preserve"> </w:t>
      </w:r>
      <w:r w:rsidRPr="00D9173F">
        <w:rPr>
          <w:rFonts w:asciiTheme="minorHAnsi" w:hAnsiTheme="minorHAnsi" w:cstheme="minorHAnsi"/>
        </w:rPr>
        <w:t xml:space="preserve"> </w:t>
      </w:r>
      <w:r w:rsidR="00BA6228" w:rsidRPr="00D9173F">
        <w:rPr>
          <w:rFonts w:asciiTheme="minorHAnsi" w:hAnsiTheme="minorHAnsi" w:cstheme="minorHAnsi"/>
        </w:rPr>
        <w:t>I</w:t>
      </w:r>
      <w:r w:rsidRPr="00D9173F">
        <w:rPr>
          <w:rFonts w:asciiTheme="minorHAnsi" w:hAnsiTheme="minorHAnsi" w:cstheme="minorHAnsi"/>
        </w:rPr>
        <w:t>s PDP required/ request Board</w:t>
      </w:r>
      <w:r w:rsidR="00BA6228" w:rsidRPr="00D9173F">
        <w:rPr>
          <w:rFonts w:asciiTheme="minorHAnsi" w:hAnsiTheme="minorHAnsi" w:cstheme="minorHAnsi"/>
        </w:rPr>
        <w:t>, other way</w:t>
      </w:r>
      <w:r w:rsidRPr="00D9173F">
        <w:rPr>
          <w:rFonts w:asciiTheme="minorHAnsi" w:hAnsiTheme="minorHAnsi" w:cstheme="minorHAnsi"/>
        </w:rPr>
        <w:t xml:space="preserve"> </w:t>
      </w:r>
    </w:p>
    <w:p w:rsidR="00BA6228" w:rsidRPr="00D9173F" w:rsidRDefault="00BF1900" w:rsidP="00D9173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D9173F">
        <w:rPr>
          <w:rFonts w:asciiTheme="minorHAnsi" w:hAnsiTheme="minorHAnsi" w:cstheme="minorHAnsi"/>
          <w:b/>
          <w:bCs/>
        </w:rPr>
        <w:t>Priority</w:t>
      </w:r>
      <w:r w:rsidR="00BA6228" w:rsidRPr="00D9173F">
        <w:rPr>
          <w:rFonts w:asciiTheme="minorHAnsi" w:hAnsiTheme="minorHAnsi" w:cstheme="minorHAnsi"/>
          <w:b/>
          <w:bCs/>
        </w:rPr>
        <w:t>:</w:t>
      </w:r>
      <w:r w:rsidRPr="00D9173F">
        <w:rPr>
          <w:rFonts w:asciiTheme="minorHAnsi" w:hAnsiTheme="minorHAnsi" w:cstheme="minorHAnsi"/>
        </w:rPr>
        <w:t xml:space="preserve"> urgency and importance</w:t>
      </w:r>
      <w:r w:rsidR="00BA6228" w:rsidRPr="00D9173F">
        <w:rPr>
          <w:rFonts w:asciiTheme="minorHAnsi" w:hAnsiTheme="minorHAnsi" w:cstheme="minorHAnsi"/>
        </w:rPr>
        <w:t xml:space="preserve"> for ccTLD community</w:t>
      </w:r>
      <w:r w:rsidRPr="00D9173F">
        <w:rPr>
          <w:rFonts w:asciiTheme="minorHAnsi" w:hAnsiTheme="minorHAnsi" w:cstheme="minorHAnsi"/>
        </w:rPr>
        <w:t xml:space="preserve"> </w:t>
      </w:r>
    </w:p>
    <w:p w:rsidR="00BF1900" w:rsidRPr="00D9173F" w:rsidRDefault="00BA6228" w:rsidP="00D9173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D9173F">
        <w:rPr>
          <w:rFonts w:asciiTheme="minorHAnsi" w:hAnsiTheme="minorHAnsi" w:cstheme="minorHAnsi"/>
          <w:b/>
          <w:bCs/>
        </w:rPr>
        <w:t>Change update:</w:t>
      </w:r>
      <w:r w:rsidRPr="00D9173F">
        <w:rPr>
          <w:rFonts w:asciiTheme="minorHAnsi" w:hAnsiTheme="minorHAnsi" w:cstheme="minorHAnsi"/>
        </w:rPr>
        <w:t xml:space="preserve"> </w:t>
      </w:r>
      <w:r w:rsidR="00BF1900" w:rsidRPr="00D9173F">
        <w:rPr>
          <w:rFonts w:asciiTheme="minorHAnsi" w:hAnsiTheme="minorHAnsi" w:cstheme="minorHAnsi"/>
        </w:rPr>
        <w:t xml:space="preserve">Expected start </w:t>
      </w:r>
      <w:r w:rsidRPr="00D9173F">
        <w:rPr>
          <w:rFonts w:asciiTheme="minorHAnsi" w:hAnsiTheme="minorHAnsi" w:cstheme="minorHAnsi"/>
        </w:rPr>
        <w:t xml:space="preserve">of </w:t>
      </w:r>
      <w:r w:rsidR="00BF1900" w:rsidRPr="00D9173F">
        <w:rPr>
          <w:rFonts w:asciiTheme="minorHAnsi" w:hAnsiTheme="minorHAnsi" w:cstheme="minorHAnsi"/>
        </w:rPr>
        <w:t>change process</w:t>
      </w:r>
      <w:r w:rsidRPr="00D9173F">
        <w:rPr>
          <w:rFonts w:asciiTheme="minorHAnsi" w:hAnsiTheme="minorHAnsi" w:cstheme="minorHAnsi"/>
        </w:rPr>
        <w:t xml:space="preserve"> current status</w:t>
      </w:r>
      <w:r w:rsidR="00BF1900" w:rsidRPr="00D9173F">
        <w:rPr>
          <w:rFonts w:asciiTheme="minorHAnsi" w:hAnsiTheme="minorHAnsi" w:cstheme="minorHAnsi"/>
        </w:rPr>
        <w:t>.</w:t>
      </w:r>
    </w:p>
    <w:p w:rsidR="00D9173F" w:rsidRPr="00D9173F" w:rsidRDefault="00D9173F">
      <w:pPr>
        <w:rPr>
          <w:rFonts w:asciiTheme="minorHAnsi" w:hAnsiTheme="minorHAnsi" w:cstheme="minorHAnsi"/>
        </w:rPr>
      </w:pPr>
    </w:p>
    <w:p w:rsidR="00CF0AD1" w:rsidRPr="00D9173F" w:rsidRDefault="00CF0AD1">
      <w:pPr>
        <w:rPr>
          <w:rFonts w:asciiTheme="minorHAnsi" w:hAnsiTheme="minorHAnsi" w:cstheme="minorHAnsi"/>
        </w:rPr>
      </w:pPr>
    </w:p>
    <w:p w:rsidR="00CF0AD1" w:rsidRPr="00D9173F" w:rsidRDefault="00D9173F">
      <w:pPr>
        <w:rPr>
          <w:rFonts w:asciiTheme="minorHAnsi" w:hAnsiTheme="minorHAnsi" w:cstheme="minorHAnsi"/>
        </w:rPr>
      </w:pPr>
      <w:r w:rsidRPr="00D9173F">
        <w:rPr>
          <w:rFonts w:asciiTheme="minorHAnsi" w:hAnsiTheme="minorHAnsi" w:cstheme="minorHAnsi"/>
        </w:rPr>
        <w:br w:type="page"/>
      </w:r>
    </w:p>
    <w:p w:rsidR="00CF0AD1" w:rsidRPr="00CF0AD1" w:rsidRDefault="00CF0AD1" w:rsidP="00CF0AD1">
      <w:pPr>
        <w:pStyle w:val="ListParagraph"/>
        <w:numPr>
          <w:ilvl w:val="0"/>
          <w:numId w:val="1"/>
        </w:numPr>
        <w:rPr>
          <w:b/>
          <w:bCs/>
        </w:rPr>
      </w:pPr>
      <w:r w:rsidRPr="00CF0AD1">
        <w:rPr>
          <w:b/>
          <w:bCs/>
        </w:rPr>
        <w:lastRenderedPageBreak/>
        <w:t>Repository</w:t>
      </w:r>
    </w:p>
    <w:p w:rsidR="00BF1900" w:rsidRDefault="00BF1900"/>
    <w:p w:rsidR="00BF1900" w:rsidRDefault="00BF1900">
      <w: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3938"/>
        <w:gridCol w:w="1250"/>
        <w:gridCol w:w="1831"/>
        <w:gridCol w:w="1778"/>
        <w:gridCol w:w="881"/>
        <w:gridCol w:w="1397"/>
        <w:gridCol w:w="1148"/>
        <w:gridCol w:w="1011"/>
      </w:tblGrid>
      <w:tr w:rsidR="005073B3" w:rsidTr="00D9173F">
        <w:trPr>
          <w:tblHeader/>
        </w:trPr>
        <w:tc>
          <w:tcPr>
            <w:tcW w:w="696" w:type="dxa"/>
            <w:shd w:val="clear" w:color="auto" w:fill="B4C6E7" w:themeFill="accent1" w:themeFillTint="66"/>
          </w:tcPr>
          <w:p w:rsidR="00851448" w:rsidRPr="00D9173F" w:rsidRDefault="00851448">
            <w:pPr>
              <w:rPr>
                <w:rFonts w:asciiTheme="minorHAnsi" w:hAnsiTheme="minorHAnsi" w:cstheme="minorHAnsi"/>
                <w:b/>
              </w:rPr>
            </w:pPr>
            <w:r w:rsidRPr="00D9173F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3938" w:type="dxa"/>
            <w:shd w:val="clear" w:color="auto" w:fill="B4C6E7" w:themeFill="accent1" w:themeFillTint="66"/>
          </w:tcPr>
          <w:p w:rsidR="00851448" w:rsidRPr="00D9173F" w:rsidRDefault="00851448">
            <w:pPr>
              <w:rPr>
                <w:rFonts w:asciiTheme="minorHAnsi" w:hAnsiTheme="minorHAnsi" w:cstheme="minorHAnsi"/>
                <w:b/>
              </w:rPr>
            </w:pPr>
            <w:r w:rsidRPr="00D9173F">
              <w:rPr>
                <w:rFonts w:asciiTheme="minorHAnsi" w:hAnsiTheme="minorHAnsi" w:cstheme="minorHAnsi"/>
                <w:b/>
              </w:rPr>
              <w:t>Description</w:t>
            </w:r>
          </w:p>
        </w:tc>
        <w:tc>
          <w:tcPr>
            <w:tcW w:w="1250" w:type="dxa"/>
            <w:shd w:val="clear" w:color="auto" w:fill="B4C6E7" w:themeFill="accent1" w:themeFillTint="66"/>
          </w:tcPr>
          <w:p w:rsidR="00851448" w:rsidRPr="00D9173F" w:rsidRDefault="00851448">
            <w:pPr>
              <w:rPr>
                <w:rFonts w:asciiTheme="minorHAnsi" w:hAnsiTheme="minorHAnsi" w:cstheme="minorHAnsi"/>
                <w:b/>
              </w:rPr>
            </w:pPr>
            <w:r w:rsidRPr="00D9173F">
              <w:rPr>
                <w:rFonts w:asciiTheme="minorHAnsi" w:hAnsiTheme="minorHAnsi" w:cstheme="minorHAnsi"/>
                <w:b/>
              </w:rPr>
              <w:t>Bylaw section</w:t>
            </w:r>
          </w:p>
        </w:tc>
        <w:tc>
          <w:tcPr>
            <w:tcW w:w="1831" w:type="dxa"/>
            <w:shd w:val="clear" w:color="auto" w:fill="B4C6E7" w:themeFill="accent1" w:themeFillTint="66"/>
          </w:tcPr>
          <w:p w:rsidR="00851448" w:rsidRPr="00D9173F" w:rsidRDefault="00851448">
            <w:pPr>
              <w:rPr>
                <w:rFonts w:asciiTheme="minorHAnsi" w:hAnsiTheme="minorHAnsi" w:cstheme="minorHAnsi"/>
                <w:b/>
              </w:rPr>
            </w:pPr>
            <w:r w:rsidRPr="00D9173F">
              <w:rPr>
                <w:rFonts w:asciiTheme="minorHAnsi" w:hAnsiTheme="minorHAnsi" w:cstheme="minorHAnsi"/>
                <w:b/>
              </w:rPr>
              <w:t>Bylaw text</w:t>
            </w:r>
          </w:p>
        </w:tc>
        <w:tc>
          <w:tcPr>
            <w:tcW w:w="1778" w:type="dxa"/>
            <w:shd w:val="clear" w:color="auto" w:fill="B4C6E7" w:themeFill="accent1" w:themeFillTint="66"/>
          </w:tcPr>
          <w:p w:rsidR="00851448" w:rsidRPr="00D9173F" w:rsidRDefault="00851448">
            <w:pPr>
              <w:rPr>
                <w:rFonts w:asciiTheme="minorHAnsi" w:hAnsiTheme="minorHAnsi" w:cstheme="minorHAnsi"/>
                <w:b/>
              </w:rPr>
            </w:pPr>
            <w:r w:rsidRPr="00D9173F">
              <w:rPr>
                <w:rFonts w:asciiTheme="minorHAnsi" w:hAnsiTheme="minorHAnsi" w:cstheme="minorHAnsi"/>
                <w:b/>
              </w:rPr>
              <w:t>Issue</w:t>
            </w:r>
          </w:p>
        </w:tc>
        <w:tc>
          <w:tcPr>
            <w:tcW w:w="881" w:type="dxa"/>
            <w:shd w:val="clear" w:color="auto" w:fill="B4C6E7" w:themeFill="accent1" w:themeFillTint="66"/>
          </w:tcPr>
          <w:p w:rsidR="00851448" w:rsidRPr="00D9173F" w:rsidRDefault="00851448">
            <w:pPr>
              <w:rPr>
                <w:rFonts w:asciiTheme="minorHAnsi" w:hAnsiTheme="minorHAnsi" w:cstheme="minorHAnsi"/>
                <w:b/>
              </w:rPr>
            </w:pPr>
            <w:r w:rsidRPr="00D9173F">
              <w:rPr>
                <w:rFonts w:asciiTheme="minorHAnsi" w:hAnsiTheme="minorHAnsi" w:cstheme="minorHAnsi"/>
                <w:b/>
              </w:rPr>
              <w:t>Kind of Bylaw</w:t>
            </w:r>
          </w:p>
        </w:tc>
        <w:tc>
          <w:tcPr>
            <w:tcW w:w="1397" w:type="dxa"/>
            <w:shd w:val="clear" w:color="auto" w:fill="B4C6E7" w:themeFill="accent1" w:themeFillTint="66"/>
          </w:tcPr>
          <w:p w:rsidR="00851448" w:rsidRPr="00D9173F" w:rsidRDefault="00851448">
            <w:pPr>
              <w:rPr>
                <w:rFonts w:asciiTheme="minorHAnsi" w:hAnsiTheme="minorHAnsi" w:cstheme="minorHAnsi"/>
                <w:b/>
              </w:rPr>
            </w:pPr>
            <w:r w:rsidRPr="00D9173F">
              <w:rPr>
                <w:rFonts w:asciiTheme="minorHAnsi" w:hAnsiTheme="minorHAnsi" w:cstheme="minorHAnsi"/>
                <w:b/>
              </w:rPr>
              <w:t>Change mechanism</w:t>
            </w:r>
          </w:p>
        </w:tc>
        <w:tc>
          <w:tcPr>
            <w:tcW w:w="1148" w:type="dxa"/>
            <w:shd w:val="clear" w:color="auto" w:fill="B4C6E7" w:themeFill="accent1" w:themeFillTint="66"/>
          </w:tcPr>
          <w:p w:rsidR="00851448" w:rsidRPr="00D9173F" w:rsidRDefault="00851448">
            <w:pPr>
              <w:rPr>
                <w:rFonts w:asciiTheme="minorHAnsi" w:hAnsiTheme="minorHAnsi" w:cstheme="minorHAnsi"/>
                <w:b/>
              </w:rPr>
            </w:pPr>
            <w:r w:rsidRPr="00D9173F">
              <w:rPr>
                <w:rFonts w:asciiTheme="minorHAnsi" w:hAnsiTheme="minorHAnsi" w:cstheme="minorHAnsi"/>
                <w:b/>
              </w:rPr>
              <w:t>Priority</w:t>
            </w:r>
          </w:p>
        </w:tc>
        <w:tc>
          <w:tcPr>
            <w:tcW w:w="1011" w:type="dxa"/>
            <w:shd w:val="clear" w:color="auto" w:fill="B4C6E7" w:themeFill="accent1" w:themeFillTint="66"/>
          </w:tcPr>
          <w:p w:rsidR="00851448" w:rsidRPr="00D9173F" w:rsidRDefault="00851448">
            <w:pPr>
              <w:rPr>
                <w:rFonts w:asciiTheme="minorHAnsi" w:hAnsiTheme="minorHAnsi" w:cstheme="minorHAnsi"/>
                <w:b/>
              </w:rPr>
            </w:pPr>
            <w:r w:rsidRPr="00D9173F">
              <w:rPr>
                <w:rFonts w:asciiTheme="minorHAnsi" w:hAnsiTheme="minorHAnsi" w:cstheme="minorHAnsi"/>
                <w:b/>
              </w:rPr>
              <w:t>Change time</w:t>
            </w:r>
          </w:p>
        </w:tc>
      </w:tr>
      <w:tr w:rsidR="005073B3" w:rsidTr="005073B3">
        <w:tc>
          <w:tcPr>
            <w:tcW w:w="696" w:type="dxa"/>
          </w:tcPr>
          <w:p w:rsidR="00851448" w:rsidRDefault="00851448" w:rsidP="00D9173F">
            <w:pPr>
              <w:jc w:val="center"/>
            </w:pPr>
            <w:r>
              <w:t>1.</w:t>
            </w:r>
          </w:p>
        </w:tc>
        <w:tc>
          <w:tcPr>
            <w:tcW w:w="3938" w:type="dxa"/>
          </w:tcPr>
          <w:p w:rsidR="00851448" w:rsidRPr="00D9173F" w:rsidRDefault="00851448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Definition of </w:t>
            </w: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ccNSO</w:t>
            </w:r>
            <w:proofErr w:type="spellEnd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 members</w:t>
            </w:r>
            <w:r w:rsidR="0000242E" w:rsidRPr="00D917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00242E" w:rsidRPr="00D9173F" w:rsidRDefault="0000242E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Identified by PDP WG Retirement. Additional issue, reference on overall IDN PDP WG</w:t>
            </w:r>
            <w:r w:rsidR="00E015C5"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. See letter chair PDP WG: </w:t>
            </w:r>
            <w:hyperlink r:id="rId5" w:history="1">
              <w:r w:rsidR="00E015C5" w:rsidRPr="00D9173F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https://ccnso.icann.org/en/about/deerhake-to-council-13jan19-en.pdf</w:t>
              </w:r>
            </w:hyperlink>
          </w:p>
          <w:p w:rsidR="00E015C5" w:rsidRPr="00D9173F" w:rsidRDefault="00E015C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0" w:type="dxa"/>
          </w:tcPr>
          <w:p w:rsidR="00851448" w:rsidRPr="00D9173F" w:rsidRDefault="00851448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Article 10.4</w:t>
            </w:r>
          </w:p>
        </w:tc>
        <w:tc>
          <w:tcPr>
            <w:tcW w:w="1831" w:type="dxa"/>
          </w:tcPr>
          <w:p w:rsidR="00851448" w:rsidRPr="00D9173F" w:rsidRDefault="00851448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For purposes of this </w:t>
            </w:r>
            <w:r w:rsidRPr="00D9173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Article 10</w:t>
            </w: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, a ccTLD manager is the organization or entity responsible for managing an ISO 3166 country-code top-level domain, or under any later variant, for that country-code top-level domain.</w:t>
            </w:r>
          </w:p>
          <w:p w:rsidR="00851448" w:rsidRPr="00D9173F" w:rsidRDefault="00851448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8" w:type="dxa"/>
          </w:tcPr>
          <w:p w:rsidR="00851448" w:rsidRPr="00D9173F" w:rsidRDefault="00851448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Highlighted part does not make sense.</w:t>
            </w:r>
          </w:p>
          <w:p w:rsidR="00851448" w:rsidRPr="00D9173F" w:rsidRDefault="00851448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No consultation </w:t>
            </w: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ccNSO</w:t>
            </w:r>
            <w:proofErr w:type="spellEnd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851448" w:rsidRPr="00D9173F" w:rsidRDefault="00851448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Original:</w:t>
            </w:r>
          </w:p>
          <w:p w:rsidR="00851448" w:rsidRPr="00D9173F" w:rsidRDefault="00851448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For purposes of this Article, a ccTLD manager is the organization or entity responsible for managing an ISO 3166 country-code top-level domain and referred to in the IANA database under the current heading of "Sponsoring Organization", or under any later variant, for that country-code top-level domain.</w:t>
            </w:r>
          </w:p>
          <w:p w:rsidR="00851448" w:rsidRPr="00D9173F" w:rsidRDefault="00851448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:rsidR="00851448" w:rsidRPr="00D9173F" w:rsidRDefault="00851448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Underlying issue: reference to Sponsoring </w:t>
            </w:r>
            <w:r w:rsidRPr="00D9173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Organisation as included in IANA database</w:t>
            </w:r>
          </w:p>
        </w:tc>
        <w:tc>
          <w:tcPr>
            <w:tcW w:w="881" w:type="dxa"/>
          </w:tcPr>
          <w:p w:rsidR="00851448" w:rsidRPr="00D9173F" w:rsidRDefault="005073B3" w:rsidP="00D9173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S</w:t>
            </w:r>
          </w:p>
        </w:tc>
        <w:tc>
          <w:tcPr>
            <w:tcW w:w="1397" w:type="dxa"/>
          </w:tcPr>
          <w:p w:rsidR="00851448" w:rsidRDefault="00851448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Letter to the Board</w:t>
            </w:r>
            <w:r w:rsidR="0000242E" w:rsidRPr="00D9173F">
              <w:rPr>
                <w:rFonts w:asciiTheme="minorHAnsi" w:hAnsiTheme="minorHAnsi" w:cstheme="minorHAnsi"/>
                <w:sz w:val="20"/>
                <w:szCs w:val="20"/>
              </w:rPr>
              <w:t>, requesting change</w:t>
            </w:r>
            <w:r w:rsidR="00BA6228" w:rsidRPr="00D917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7167A5" w:rsidRDefault="007167A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167A5" w:rsidRDefault="007167A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167A5" w:rsidRPr="00D9173F" w:rsidRDefault="007167A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Included in request Bylaw to enable </w:t>
            </w:r>
            <w:proofErr w:type="spellStart"/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IDNccTLD</w:t>
            </w:r>
            <w:proofErr w:type="spellEnd"/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Mangers as members of the </w:t>
            </w:r>
            <w:proofErr w:type="spellStart"/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ccNSO</w:t>
            </w:r>
            <w:proofErr w:type="spellEnd"/>
          </w:p>
        </w:tc>
        <w:tc>
          <w:tcPr>
            <w:tcW w:w="1148" w:type="dxa"/>
          </w:tcPr>
          <w:p w:rsidR="00851448" w:rsidRPr="00D9173F" w:rsidRDefault="00851448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High</w:t>
            </w:r>
            <w:r w:rsidR="006C75DF"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 (urgent and important).</w:t>
            </w:r>
          </w:p>
        </w:tc>
        <w:tc>
          <w:tcPr>
            <w:tcW w:w="1011" w:type="dxa"/>
          </w:tcPr>
          <w:p w:rsidR="00851448" w:rsidRPr="00D9173F" w:rsidRDefault="007167A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Start Dec. 2019</w:t>
            </w:r>
          </w:p>
        </w:tc>
      </w:tr>
      <w:tr w:rsidR="005073B3" w:rsidTr="005073B3">
        <w:tc>
          <w:tcPr>
            <w:tcW w:w="696" w:type="dxa"/>
          </w:tcPr>
          <w:p w:rsidR="00851448" w:rsidRDefault="0000242E" w:rsidP="00D9173F">
            <w:pPr>
              <w:jc w:val="center"/>
            </w:pPr>
            <w:r>
              <w:t>2.</w:t>
            </w:r>
          </w:p>
        </w:tc>
        <w:tc>
          <w:tcPr>
            <w:tcW w:w="3938" w:type="dxa"/>
          </w:tcPr>
          <w:p w:rsidR="0000242E" w:rsidRPr="00D9173F" w:rsidRDefault="0000242E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Reference to non-</w:t>
            </w: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ccNSO</w:t>
            </w:r>
            <w:proofErr w:type="spellEnd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 member for IFRT. See letters Council to the Board:</w:t>
            </w:r>
          </w:p>
          <w:p w:rsidR="00851448" w:rsidRPr="00D9173F" w:rsidRDefault="007167A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="0000242E" w:rsidRPr="00D9173F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https://ccnso.icann.org/sites/default/files/field-attached/sataki-to-chalaby-et-al-06dec18-en.pdf</w:t>
              </w:r>
            </w:hyperlink>
            <w:r w:rsidR="0000242E"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  .</w:t>
            </w:r>
          </w:p>
          <w:p w:rsidR="0000242E" w:rsidRPr="00D9173F" w:rsidRDefault="0000242E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0242E" w:rsidRPr="00D9173F" w:rsidRDefault="0000242E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Issue not only relevant for current and future IFRTs, also for Special IFR.</w:t>
            </w:r>
          </w:p>
        </w:tc>
        <w:tc>
          <w:tcPr>
            <w:tcW w:w="1250" w:type="dxa"/>
          </w:tcPr>
          <w:p w:rsidR="00851448" w:rsidRPr="00D9173F" w:rsidRDefault="0000242E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Section 18.7 (a) &amp; (b)</w:t>
            </w:r>
          </w:p>
          <w:p w:rsidR="0000242E" w:rsidRPr="00D9173F" w:rsidRDefault="0000242E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0242E" w:rsidRPr="00D9173F" w:rsidRDefault="0000242E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Section 18.12 (b) referencing section 18.7 (a) and (b)</w:t>
            </w:r>
          </w:p>
        </w:tc>
        <w:tc>
          <w:tcPr>
            <w:tcW w:w="1831" w:type="dxa"/>
          </w:tcPr>
          <w:p w:rsidR="0000242E" w:rsidRPr="00D9173F" w:rsidRDefault="0000242E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One non-</w:t>
            </w: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ccNSO</w:t>
            </w:r>
            <w:proofErr w:type="spellEnd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 ccTLD representative who is associated with a ccTLD registry operator that is not a representative of the </w:t>
            </w: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ccNSO</w:t>
            </w:r>
            <w:proofErr w:type="spellEnd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, appointed by the </w:t>
            </w: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ccNSO</w:t>
            </w:r>
            <w:proofErr w:type="spellEnd"/>
          </w:p>
          <w:p w:rsidR="00851448" w:rsidRPr="00D9173F" w:rsidRDefault="00851448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8" w:type="dxa"/>
          </w:tcPr>
          <w:p w:rsidR="00851448" w:rsidRPr="00D9173F" w:rsidRDefault="0000242E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With growing number of members</w:t>
            </w:r>
            <w:r w:rsidR="009729C7" w:rsidRPr="00D9173F">
              <w:rPr>
                <w:rFonts w:asciiTheme="minorHAnsi" w:hAnsiTheme="minorHAnsi" w:cstheme="minorHAnsi"/>
                <w:sz w:val="20"/>
                <w:szCs w:val="20"/>
              </w:rPr>
              <w:t>, attracting non-</w:t>
            </w:r>
            <w:proofErr w:type="spellStart"/>
            <w:r w:rsidR="009729C7" w:rsidRPr="00D9173F">
              <w:rPr>
                <w:rFonts w:asciiTheme="minorHAnsi" w:hAnsiTheme="minorHAnsi" w:cstheme="minorHAnsi"/>
                <w:sz w:val="20"/>
                <w:szCs w:val="20"/>
              </w:rPr>
              <w:t>ccNSO</w:t>
            </w:r>
            <w:proofErr w:type="spellEnd"/>
            <w:r w:rsidR="009729C7"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 member becomes difficult, if not impossible. See overview of membership as well</w:t>
            </w:r>
          </w:p>
        </w:tc>
        <w:tc>
          <w:tcPr>
            <w:tcW w:w="881" w:type="dxa"/>
          </w:tcPr>
          <w:p w:rsidR="00851448" w:rsidRPr="00D9173F" w:rsidRDefault="009729C7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397" w:type="dxa"/>
          </w:tcPr>
          <w:p w:rsidR="00851448" w:rsidRDefault="00BA6228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Request Board to change after consultation of co</w:t>
            </w:r>
            <w:r w:rsidR="000448C5" w:rsidRPr="00D9173F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munity</w:t>
            </w:r>
            <w:r w:rsidR="00425F4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425F4B" w:rsidRPr="00D9173F" w:rsidRDefault="00425F4B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67A5">
              <w:rPr>
                <w:rFonts w:asciiTheme="minorHAnsi" w:hAnsiTheme="minorHAnsi" w:cstheme="minorHAnsi"/>
                <w:sz w:val="20"/>
                <w:szCs w:val="20"/>
              </w:rPr>
              <w:t xml:space="preserve">Bylaw change must be </w:t>
            </w:r>
            <w:proofErr w:type="spellStart"/>
            <w:r w:rsidRPr="007167A5">
              <w:rPr>
                <w:rFonts w:asciiTheme="minorHAnsi" w:hAnsiTheme="minorHAnsi" w:cstheme="minorHAnsi"/>
                <w:sz w:val="20"/>
                <w:szCs w:val="20"/>
              </w:rPr>
              <w:t>supporte</w:t>
            </w:r>
            <w:proofErr w:type="spellEnd"/>
            <w:r w:rsidRPr="007167A5">
              <w:rPr>
                <w:rFonts w:asciiTheme="minorHAnsi" w:hAnsiTheme="minorHAnsi" w:cstheme="minorHAnsi"/>
                <w:sz w:val="20"/>
                <w:szCs w:val="20"/>
              </w:rPr>
              <w:t xml:space="preserve"> by the Empowered Community</w:t>
            </w:r>
          </w:p>
        </w:tc>
        <w:tc>
          <w:tcPr>
            <w:tcW w:w="1148" w:type="dxa"/>
          </w:tcPr>
          <w:p w:rsidR="00851448" w:rsidRPr="00D9173F" w:rsidRDefault="009729C7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Medium</w:t>
            </w:r>
          </w:p>
          <w:p w:rsidR="009729C7" w:rsidRPr="00D9173F" w:rsidRDefault="009729C7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(important, needs to be resolved in next 2 years)</w:t>
            </w:r>
          </w:p>
        </w:tc>
        <w:tc>
          <w:tcPr>
            <w:tcW w:w="1011" w:type="dxa"/>
          </w:tcPr>
          <w:p w:rsidR="00851448" w:rsidRDefault="00BA6228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Letter to the Board send.  Public comment closed 16 July 2019</w:t>
            </w:r>
            <w:r w:rsidR="00425F4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425F4B" w:rsidRDefault="00425F4B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67A5">
              <w:rPr>
                <w:rFonts w:asciiTheme="minorHAnsi" w:hAnsiTheme="minorHAnsi" w:cstheme="minorHAnsi"/>
                <w:sz w:val="20"/>
                <w:szCs w:val="20"/>
              </w:rPr>
              <w:t>Board approved Bylaw change (September 2019) .</w:t>
            </w:r>
          </w:p>
          <w:p w:rsidR="00425F4B" w:rsidRPr="00D9173F" w:rsidRDefault="007167A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Approved by ECA November 2019</w:t>
            </w:r>
          </w:p>
        </w:tc>
      </w:tr>
      <w:tr w:rsidR="000448C5" w:rsidTr="005073B3">
        <w:tc>
          <w:tcPr>
            <w:tcW w:w="696" w:type="dxa"/>
          </w:tcPr>
          <w:p w:rsidR="000448C5" w:rsidRDefault="000448C5" w:rsidP="00D9173F">
            <w:pPr>
              <w:jc w:val="center"/>
            </w:pPr>
            <w:r>
              <w:t>3.</w:t>
            </w:r>
          </w:p>
        </w:tc>
        <w:tc>
          <w:tcPr>
            <w:tcW w:w="3938" w:type="dxa"/>
          </w:tcPr>
          <w:p w:rsidR="000448C5" w:rsidRPr="00D9173F" w:rsidRDefault="000448C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Reference to non-</w:t>
            </w: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ccNSO</w:t>
            </w:r>
            <w:proofErr w:type="spellEnd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 member for Special Cross-community WG for separation</w:t>
            </w:r>
          </w:p>
        </w:tc>
        <w:tc>
          <w:tcPr>
            <w:tcW w:w="1250" w:type="dxa"/>
          </w:tcPr>
          <w:p w:rsidR="000448C5" w:rsidRPr="00D9173F" w:rsidRDefault="000448C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Section 19.5 SCWG Composition</w:t>
            </w:r>
          </w:p>
        </w:tc>
        <w:tc>
          <w:tcPr>
            <w:tcW w:w="1831" w:type="dxa"/>
          </w:tcPr>
          <w:p w:rsidR="000448C5" w:rsidRPr="00D9173F" w:rsidRDefault="000448C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One non-</w:t>
            </w: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ccNSO</w:t>
            </w:r>
            <w:proofErr w:type="spellEnd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 ccTLD representative who is associated with a ccTLD registry operator that is not a representative of the </w:t>
            </w: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ccNSO</w:t>
            </w:r>
            <w:proofErr w:type="spellEnd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, appointed by the </w:t>
            </w: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ccNSO</w:t>
            </w:r>
            <w:proofErr w:type="spellEnd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778" w:type="dxa"/>
          </w:tcPr>
          <w:p w:rsidR="000448C5" w:rsidRPr="00D9173F" w:rsidRDefault="000448C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With growing number of members, attracting non-</w:t>
            </w: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ccNSO</w:t>
            </w:r>
            <w:proofErr w:type="spellEnd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 member has proven to be very difficult, if not impossible. In event of SCWG high risk</w:t>
            </w:r>
          </w:p>
        </w:tc>
        <w:tc>
          <w:tcPr>
            <w:tcW w:w="881" w:type="dxa"/>
          </w:tcPr>
          <w:p w:rsidR="000448C5" w:rsidRPr="00D9173F" w:rsidRDefault="000448C5" w:rsidP="00D9173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397" w:type="dxa"/>
          </w:tcPr>
          <w:p w:rsidR="000448C5" w:rsidRPr="00D9173F" w:rsidRDefault="000448C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Request Board to change after consultation of community</w:t>
            </w:r>
          </w:p>
        </w:tc>
        <w:tc>
          <w:tcPr>
            <w:tcW w:w="1148" w:type="dxa"/>
          </w:tcPr>
          <w:p w:rsidR="000448C5" w:rsidRPr="00D9173F" w:rsidRDefault="000448C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Medium</w:t>
            </w:r>
          </w:p>
          <w:p w:rsidR="000448C5" w:rsidRPr="00D9173F" w:rsidRDefault="000448C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(important, needs to be resolved in next 2 years)</w:t>
            </w:r>
          </w:p>
        </w:tc>
        <w:tc>
          <w:tcPr>
            <w:tcW w:w="1011" w:type="dxa"/>
          </w:tcPr>
          <w:p w:rsidR="000448C5" w:rsidRPr="00D9173F" w:rsidRDefault="000448C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bookmarkStart w:id="0" w:name="_GoBack"/>
        <w:bookmarkEnd w:id="0"/>
      </w:tr>
      <w:tr w:rsidR="000448C5" w:rsidTr="005073B3">
        <w:tc>
          <w:tcPr>
            <w:tcW w:w="696" w:type="dxa"/>
          </w:tcPr>
          <w:p w:rsidR="000448C5" w:rsidRDefault="000448C5" w:rsidP="00D9173F">
            <w:pPr>
              <w:jc w:val="center"/>
            </w:pPr>
            <w:r>
              <w:lastRenderedPageBreak/>
              <w:t>4.</w:t>
            </w:r>
          </w:p>
        </w:tc>
        <w:tc>
          <w:tcPr>
            <w:tcW w:w="3938" w:type="dxa"/>
          </w:tcPr>
          <w:p w:rsidR="000448C5" w:rsidRPr="00D9173F" w:rsidRDefault="000448C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Change of reference in Section 4.3 ( IRP) to delegation and </w:t>
            </w: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Redelgation</w:t>
            </w:r>
            <w:proofErr w:type="spellEnd"/>
          </w:p>
        </w:tc>
        <w:tc>
          <w:tcPr>
            <w:tcW w:w="1250" w:type="dxa"/>
          </w:tcPr>
          <w:p w:rsidR="000448C5" w:rsidRPr="00D9173F" w:rsidRDefault="000448C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Section 4.3  ( c ) (ii)</w:t>
            </w:r>
          </w:p>
        </w:tc>
        <w:tc>
          <w:tcPr>
            <w:tcW w:w="1831" w:type="dxa"/>
          </w:tcPr>
          <w:p w:rsidR="000448C5" w:rsidRPr="00D9173F" w:rsidRDefault="000448C5" w:rsidP="00D9173F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Notwithstanding any other provision in this Section 4.3, the IRP's scope shall exclude all of the following</w:t>
            </w:r>
            <w:r w:rsidR="00D9173F" w:rsidRPr="00D9173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0448C5" w:rsidRPr="00D9173F" w:rsidRDefault="00D9173F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(ii) Claims relating to ccTLD delegations and re-delegations.</w:t>
            </w:r>
          </w:p>
          <w:p w:rsidR="00D9173F" w:rsidRPr="00D9173F" w:rsidRDefault="00D9173F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:rsidR="000448C5" w:rsidRPr="00D9173F" w:rsidRDefault="000448C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8" w:type="dxa"/>
          </w:tcPr>
          <w:p w:rsidR="000448C5" w:rsidRPr="00D9173F" w:rsidRDefault="00D9173F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Lamguage</w:t>
            </w:r>
            <w:proofErr w:type="spellEnd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 in Bylaws is not consistent with language </w:t>
            </w: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FoI</w:t>
            </w:r>
            <w:proofErr w:type="spellEnd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 and IAAN </w:t>
            </w: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NAmng</w:t>
            </w:r>
            <w:proofErr w:type="spellEnd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 Function Contract. Should be:</w:t>
            </w:r>
          </w:p>
          <w:p w:rsidR="00D9173F" w:rsidRPr="00D9173F" w:rsidRDefault="00D9173F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Delegations, transfers, revocations and retirement ( after adoption of the policy)</w:t>
            </w:r>
          </w:p>
        </w:tc>
        <w:tc>
          <w:tcPr>
            <w:tcW w:w="881" w:type="dxa"/>
          </w:tcPr>
          <w:p w:rsidR="000448C5" w:rsidRPr="00D9173F" w:rsidRDefault="00D9173F" w:rsidP="00D9173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397" w:type="dxa"/>
          </w:tcPr>
          <w:p w:rsidR="000448C5" w:rsidRPr="00D9173F" w:rsidRDefault="00D9173F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Request Board to change after consultation of community</w:t>
            </w:r>
          </w:p>
        </w:tc>
        <w:tc>
          <w:tcPr>
            <w:tcW w:w="1148" w:type="dxa"/>
          </w:tcPr>
          <w:p w:rsidR="00D9173F" w:rsidRPr="00D9173F" w:rsidRDefault="00D9173F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Medium</w:t>
            </w:r>
          </w:p>
          <w:p w:rsidR="000448C5" w:rsidRPr="00D9173F" w:rsidRDefault="00D9173F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(important, needs to be resolved when </w:t>
            </w: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ccPDP</w:t>
            </w:r>
            <w:proofErr w:type="spellEnd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 3 is submitted to the Board or as part of it as recommendation by </w:t>
            </w:r>
            <w:proofErr w:type="spellStart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>ccPDP</w:t>
            </w:r>
            <w:proofErr w:type="spellEnd"/>
            <w:r w:rsidRPr="00D9173F">
              <w:rPr>
                <w:rFonts w:asciiTheme="minorHAnsi" w:hAnsiTheme="minorHAnsi" w:cstheme="minorHAnsi"/>
                <w:sz w:val="20"/>
                <w:szCs w:val="20"/>
              </w:rPr>
              <w:t xml:space="preserve"> 2 WG 2)</w:t>
            </w:r>
          </w:p>
        </w:tc>
        <w:tc>
          <w:tcPr>
            <w:tcW w:w="1011" w:type="dxa"/>
          </w:tcPr>
          <w:p w:rsidR="000448C5" w:rsidRPr="00D9173F" w:rsidRDefault="000448C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066B" w:rsidTr="005073B3">
        <w:tc>
          <w:tcPr>
            <w:tcW w:w="696" w:type="dxa"/>
          </w:tcPr>
          <w:p w:rsidR="00DC066B" w:rsidRPr="007167A5" w:rsidRDefault="00DC066B" w:rsidP="00D9173F">
            <w:pPr>
              <w:jc w:val="center"/>
              <w:rPr>
                <w:highlight w:val="yellow"/>
              </w:rPr>
            </w:pPr>
            <w:r w:rsidRPr="007167A5">
              <w:rPr>
                <w:highlight w:val="yellow"/>
              </w:rPr>
              <w:t>5.</w:t>
            </w:r>
          </w:p>
        </w:tc>
        <w:tc>
          <w:tcPr>
            <w:tcW w:w="3938" w:type="dxa"/>
          </w:tcPr>
          <w:p w:rsidR="00DC066B" w:rsidRPr="007167A5" w:rsidRDefault="007167A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proofErr w:type="spellStart"/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Changeof</w:t>
            </w:r>
            <w:proofErr w:type="spellEnd"/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Article 10 to enable inclusion of </w:t>
            </w:r>
            <w:proofErr w:type="spellStart"/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IDNccTLD</w:t>
            </w:r>
            <w:proofErr w:type="spellEnd"/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Managers as members </w:t>
            </w:r>
            <w:proofErr w:type="spellStart"/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ccNSO</w:t>
            </w:r>
            <w:proofErr w:type="spellEnd"/>
          </w:p>
        </w:tc>
        <w:tc>
          <w:tcPr>
            <w:tcW w:w="1250" w:type="dxa"/>
          </w:tcPr>
          <w:p w:rsidR="00DC066B" w:rsidRPr="007167A5" w:rsidRDefault="007167A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Article 10.4 (a) and related sections</w:t>
            </w:r>
          </w:p>
        </w:tc>
        <w:tc>
          <w:tcPr>
            <w:tcW w:w="1831" w:type="dxa"/>
          </w:tcPr>
          <w:p w:rsidR="00DC066B" w:rsidRPr="007167A5" w:rsidRDefault="007167A5" w:rsidP="00D9173F">
            <w:pPr>
              <w:pStyle w:val="NormalWeb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proofErr w:type="spellStart"/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Defintion</w:t>
            </w:r>
            <w:proofErr w:type="spellEnd"/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of </w:t>
            </w:r>
            <w:proofErr w:type="spellStart"/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ccNSO</w:t>
            </w:r>
            <w:proofErr w:type="spellEnd"/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Mmebership</w:t>
            </w:r>
            <w:proofErr w:type="spellEnd"/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. Introduction of Emissaries, </w:t>
            </w:r>
            <w:proofErr w:type="spellStart"/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adjustement</w:t>
            </w:r>
            <w:proofErr w:type="spellEnd"/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of Annex B</w:t>
            </w:r>
          </w:p>
        </w:tc>
        <w:tc>
          <w:tcPr>
            <w:tcW w:w="1778" w:type="dxa"/>
          </w:tcPr>
          <w:p w:rsidR="00DC066B" w:rsidRPr="007167A5" w:rsidRDefault="007167A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To date </w:t>
            </w:r>
            <w:proofErr w:type="spellStart"/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IDNccTLD</w:t>
            </w:r>
            <w:proofErr w:type="spellEnd"/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Managers are not eligible as members of the </w:t>
            </w:r>
            <w:proofErr w:type="spellStart"/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ccNSO</w:t>
            </w:r>
            <w:proofErr w:type="spellEnd"/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</w:t>
            </w:r>
          </w:p>
          <w:p w:rsidR="007167A5" w:rsidRPr="007167A5" w:rsidRDefault="007167A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If 2 or more ccTLD </w:t>
            </w:r>
            <w:proofErr w:type="spellStart"/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Maangers</w:t>
            </w:r>
            <w:proofErr w:type="spellEnd"/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in one country, potential imbalance of power</w:t>
            </w:r>
          </w:p>
        </w:tc>
        <w:tc>
          <w:tcPr>
            <w:tcW w:w="881" w:type="dxa"/>
          </w:tcPr>
          <w:p w:rsidR="00DC066B" w:rsidRPr="007167A5" w:rsidRDefault="007167A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S after PDP</w:t>
            </w:r>
          </w:p>
        </w:tc>
        <w:tc>
          <w:tcPr>
            <w:tcW w:w="1397" w:type="dxa"/>
          </w:tcPr>
          <w:p w:rsidR="00DC066B" w:rsidRPr="007167A5" w:rsidRDefault="007167A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Letter to the Board</w:t>
            </w:r>
          </w:p>
        </w:tc>
        <w:tc>
          <w:tcPr>
            <w:tcW w:w="1148" w:type="dxa"/>
          </w:tcPr>
          <w:p w:rsidR="00DC066B" w:rsidRPr="007167A5" w:rsidRDefault="007167A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High  (important, urgent and high impact on </w:t>
            </w:r>
            <w:proofErr w:type="spellStart"/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ccNSO</w:t>
            </w:r>
            <w:proofErr w:type="spellEnd"/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/ ccTLDs) </w:t>
            </w:r>
          </w:p>
        </w:tc>
        <w:tc>
          <w:tcPr>
            <w:tcW w:w="1011" w:type="dxa"/>
          </w:tcPr>
          <w:p w:rsidR="00DC066B" w:rsidRPr="007167A5" w:rsidRDefault="007167A5" w:rsidP="00D9173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167A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Start Dec. 2019</w:t>
            </w:r>
          </w:p>
        </w:tc>
      </w:tr>
    </w:tbl>
    <w:p w:rsidR="00BF1900" w:rsidRDefault="00BF1900" w:rsidP="00D9173F">
      <w:pPr>
        <w:jc w:val="center"/>
      </w:pPr>
    </w:p>
    <w:sectPr w:rsidR="00BF1900" w:rsidSect="00BF1900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424D7"/>
    <w:multiLevelType w:val="hybridMultilevel"/>
    <w:tmpl w:val="0D62B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A7EB6"/>
    <w:multiLevelType w:val="hybridMultilevel"/>
    <w:tmpl w:val="7248B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33"/>
    <w:rsid w:val="0000242E"/>
    <w:rsid w:val="000448C5"/>
    <w:rsid w:val="000B258E"/>
    <w:rsid w:val="00182F50"/>
    <w:rsid w:val="001D7A7D"/>
    <w:rsid w:val="00294A69"/>
    <w:rsid w:val="002C212F"/>
    <w:rsid w:val="00425F4B"/>
    <w:rsid w:val="004E4166"/>
    <w:rsid w:val="005073B3"/>
    <w:rsid w:val="00576C33"/>
    <w:rsid w:val="0062668F"/>
    <w:rsid w:val="006C75DF"/>
    <w:rsid w:val="007167A5"/>
    <w:rsid w:val="00744A1C"/>
    <w:rsid w:val="00851448"/>
    <w:rsid w:val="009729C7"/>
    <w:rsid w:val="00AC5C94"/>
    <w:rsid w:val="00B83460"/>
    <w:rsid w:val="00BA6228"/>
    <w:rsid w:val="00BF1900"/>
    <w:rsid w:val="00CE0C99"/>
    <w:rsid w:val="00CF0AD1"/>
    <w:rsid w:val="00D9173F"/>
    <w:rsid w:val="00DC066B"/>
    <w:rsid w:val="00DC4E8E"/>
    <w:rsid w:val="00DD672C"/>
    <w:rsid w:val="00DF6ADE"/>
    <w:rsid w:val="00E015C5"/>
    <w:rsid w:val="00E049F8"/>
    <w:rsid w:val="00E06525"/>
    <w:rsid w:val="00E5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56CB20"/>
  <w14:defaultImageDpi w14:val="32767"/>
  <w15:chartTrackingRefBased/>
  <w15:docId w15:val="{B67AC091-BAF6-494D-AB8E-4D73CE20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073B3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24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024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242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F0AD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48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cnso.icann.org/sites/default/files/field-attached/sataki-to-chalaby-et-al-06dec18-en.pdf" TargetMode="External"/><Relationship Id="rId5" Type="http://schemas.openxmlformats.org/officeDocument/2006/relationships/hyperlink" Target="https://ccnso.icann.org/en/about/deerhake-to-council-13jan19-e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2019-12-17T14:49:00Z</dcterms:created>
  <dcterms:modified xsi:type="dcterms:W3CDTF">2019-12-17T14:49:00Z</dcterms:modified>
</cp:coreProperties>
</file>