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48"/>
          <w:szCs w:val="48"/>
        </w:rPr>
      </w:pPr>
      <w:r w:rsidDel="00000000" w:rsidR="00000000" w:rsidRPr="00000000">
        <w:rPr>
          <w:b w:val="1"/>
          <w:sz w:val="48"/>
          <w:szCs w:val="48"/>
          <w:rtl w:val="0"/>
        </w:rPr>
        <w:t xml:space="preserve">ALAC Updates ----December 2019.</w:t>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rPr>
          <w:b w:val="1"/>
          <w:sz w:val="36"/>
          <w:szCs w:val="36"/>
        </w:rPr>
      </w:pPr>
      <w:r w:rsidDel="00000000" w:rsidR="00000000" w:rsidRPr="00000000">
        <w:rPr>
          <w:b w:val="1"/>
          <w:sz w:val="36"/>
          <w:szCs w:val="36"/>
          <w:rtl w:val="0"/>
        </w:rPr>
        <w:t xml:space="preserve">Policy development activities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sz w:val="28"/>
          <w:szCs w:val="28"/>
          <w:rtl w:val="0"/>
        </w:rPr>
        <w:t xml:space="preserve">Statements approved by the ALAC</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keepNext w:val="0"/>
        <w:keepLines w:val="0"/>
        <w:pBdr>
          <w:top w:color="auto" w:space="3" w:sz="0" w:val="none"/>
          <w:left w:color="auto" w:space="0" w:sz="0" w:val="none"/>
          <w:bottom w:color="auto" w:space="0" w:sz="0" w:val="none"/>
          <w:right w:color="auto" w:space="0" w:sz="0" w:val="none"/>
          <w:between w:color="auto" w:space="0" w:sz="0" w:val="none"/>
        </w:pBdr>
        <w:shd w:fill="ffffff" w:val="clear"/>
        <w:spacing w:after="0" w:before="0" w:line="300" w:lineRule="auto"/>
        <w:rPr>
          <w:b w:val="1"/>
          <w:color w:val="333333"/>
          <w:sz w:val="28"/>
          <w:szCs w:val="28"/>
        </w:rPr>
      </w:pPr>
      <w:bookmarkStart w:colFirst="0" w:colLast="0" w:name="_x7qmss2plac9" w:id="0"/>
      <w:bookmarkEnd w:id="0"/>
      <w:hyperlink r:id="rId6">
        <w:r w:rsidDel="00000000" w:rsidR="00000000" w:rsidRPr="00000000">
          <w:rPr>
            <w:b w:val="1"/>
            <w:color w:val="172b4d"/>
            <w:sz w:val="28"/>
            <w:szCs w:val="28"/>
            <w:rtl w:val="0"/>
          </w:rPr>
          <w:t xml:space="preserve">Registration Directory Service (RDS-WHOIS2) Review Team Final Report</w:t>
        </w:r>
      </w:hyperlink>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333333"/>
          <w:sz w:val="24"/>
          <w:szCs w:val="24"/>
        </w:rPr>
      </w:pPr>
      <w:r w:rsidDel="00000000" w:rsidR="00000000" w:rsidRPr="00000000">
        <w:rPr>
          <w:color w:val="333333"/>
          <w:sz w:val="24"/>
          <w:szCs w:val="24"/>
          <w:rtl w:val="0"/>
        </w:rPr>
        <w:t xml:space="preserve">The ALAC welcomes the report of the registration directory service (RDS) second review team and takes this opportunity to provide its comments on the report herein.</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333333"/>
          <w:sz w:val="24"/>
          <w:szCs w:val="24"/>
        </w:rPr>
      </w:pPr>
      <w:r w:rsidDel="00000000" w:rsidR="00000000" w:rsidRPr="00000000">
        <w:rPr>
          <w:color w:val="333333"/>
          <w:sz w:val="24"/>
          <w:szCs w:val="24"/>
          <w:rtl w:val="0"/>
        </w:rPr>
        <w:t xml:space="preserve">We highlight the importance of recommendation R5.1 which addresses the accuracy of the data and we strongly advise its acceptance by the Board. Given the fact that the WHOIS Accuracy Reporting System (ARS) project has shown that there are many errors in existing registration data and taking into consideration the EPDP team phase one report on gTLD registration data which reduced the number of contact fields, ensuring accuracy is even more important than before. Entities that work to protect the Internet end users depend heavily on the accuracy of the data and the contact information provided through it. In addition, principle 5(1)d of the GDPR particularly requires that all reasonable steps are taken to ensure the personal data is not incorrect or misleading as to any matter of fact. Depending on the purpose of use of the data, it should be kept updated. To comply with GDPR, serve the purpose of collection (specifically to be able to contact the registrant), give the data subjects their rights and allow parties trying to protect end users to access useful data; implementation of this high priority recommendation is required.</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333333"/>
          <w:sz w:val="24"/>
          <w:szCs w:val="24"/>
        </w:rPr>
      </w:pPr>
      <w:r w:rsidDel="00000000" w:rsidR="00000000" w:rsidRPr="00000000">
        <w:rPr>
          <w:color w:val="333333"/>
          <w:sz w:val="24"/>
          <w:szCs w:val="24"/>
          <w:rtl w:val="0"/>
        </w:rPr>
        <w:t xml:space="preserve">In light of the GDPR and to enhance the accuracy of the data we note the importance of recommendations R4.1, R4.2 and CC.3 which address contractual compliance methodology and resourcing. Compliance should be taking a more proactive position and not just responding to individual complaints. This also aligns with recent discussions during ICANN 66 on domain name abuse.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333333"/>
          <w:sz w:val="24"/>
          <w:szCs w:val="24"/>
        </w:rPr>
      </w:pPr>
      <w:r w:rsidDel="00000000" w:rsidR="00000000" w:rsidRPr="00000000">
        <w:rPr>
          <w:color w:val="333333"/>
          <w:sz w:val="24"/>
          <w:szCs w:val="24"/>
          <w:rtl w:val="0"/>
        </w:rPr>
        <w:t xml:space="preserve">Recommendation R3.1 about documentation is also important to end users and to registrants. WHOIS is confusing to users and registrants and GDPR makes it more so. In addition GDPR requires documenting what we are doing.</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333333"/>
          <w:sz w:val="24"/>
          <w:szCs w:val="24"/>
        </w:rPr>
      </w:pPr>
      <w:r w:rsidDel="00000000" w:rsidR="00000000" w:rsidRPr="00000000">
        <w:rPr>
          <w:color w:val="333333"/>
          <w:sz w:val="24"/>
          <w:szCs w:val="24"/>
          <w:rtl w:val="0"/>
        </w:rPr>
        <w:t xml:space="preserve">The ALAC regards the team's findings with regard to recommendations LE.1 and LE.2 in relation to the law enforcement needs as very important. 89% of the respondents deemed RDS as very important in their investigations. We note that 60% of the respondents to the law enforcement survey responded that they did not have alternatives that would fulfill the same investigative need as the former WHOIS. However, when respondents who said they had alternative options were asked to identify the tools, the majority identified tools that also rely on RDS lookup. When asked about how investigation is affected if RDS information is not available on a public query basis, 79% indicated that investigations are either delayed or discontinued altogether. The ALAC welcomes the recommendations of the team and supports surveys and information gathering. In addition, we note the importance of the surveys conducted by the review team to the EPDP team working on gTLD registration data policy development.</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333333"/>
          <w:sz w:val="24"/>
          <w:szCs w:val="24"/>
        </w:rPr>
      </w:pPr>
      <w:r w:rsidDel="00000000" w:rsidR="00000000" w:rsidRPr="00000000">
        <w:rPr>
          <w:color w:val="333333"/>
          <w:sz w:val="24"/>
          <w:szCs w:val="24"/>
          <w:rtl w:val="0"/>
        </w:rPr>
        <w:t xml:space="preserve">With regard to consumer trust the ALAC finds the definition of consumer trust in relation to the RDS provided by the WHOIS1 review final report which says “consumer trust can be narrowly construed to mean the level of trust users have in available WHOIS data; or more broadly as the level of trust consumers have in Internet information and transactions in general” as a very important guide when looking at the benefits of the RDS to users. The report notes that although users do not directly use the system nevertheless the data stored does indirectly significantly impact users.</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333333"/>
          <w:sz w:val="24"/>
          <w:szCs w:val="24"/>
        </w:rPr>
      </w:pPr>
      <w:r w:rsidDel="00000000" w:rsidR="00000000" w:rsidRPr="00000000">
        <w:rPr>
          <w:color w:val="333333"/>
          <w:sz w:val="24"/>
          <w:szCs w:val="24"/>
          <w:rtl w:val="0"/>
        </w:rPr>
        <w:t xml:space="preserve">Recommendations R11.1, R11.2 addressing the WHOIS portal are also important, although GDPR has reduced the amount of information publicly available, the portal is not delivering all of the data that is available, maintaining full functionality is required. The portal must provide all available information in a clear and usable fashion.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333333"/>
          <w:sz w:val="24"/>
          <w:szCs w:val="24"/>
        </w:rPr>
      </w:pPr>
      <w:r w:rsidDel="00000000" w:rsidR="00000000" w:rsidRPr="00000000">
        <w:rPr>
          <w:color w:val="333333"/>
          <w:sz w:val="24"/>
          <w:szCs w:val="24"/>
          <w:rtl w:val="0"/>
        </w:rPr>
        <w:t xml:space="preserve">With regard to recommendation R12.1 we would like to highlight the importance of the translation of the registration data. However, we understand that reviewing the effectiveness of the recommendations of the first review team in this regard is currently not possible and that such an evaluation will only be possible after the adoption of the new Registration Data Access Protocol (RDAP)</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333333"/>
          <w:sz w:val="24"/>
          <w:szCs w:val="24"/>
        </w:rPr>
      </w:pPr>
      <w:r w:rsidDel="00000000" w:rsidR="00000000" w:rsidRPr="00000000">
        <w:rPr>
          <w:color w:val="333333"/>
          <w:sz w:val="24"/>
          <w:szCs w:val="24"/>
          <w:rtl w:val="0"/>
        </w:rPr>
        <w:t xml:space="preserve">Finally, in light of the Temp. Spec and the new RDS policy being developed to comply with the GDPR the ALAC acknowledges the challenges that might have faced the review team in the development of the report. Nevertheless, we find the report including very useful information that should be used to guide the development of relevant policies. The ALAC appreciates the team’s effort and supports the provided recommendations.</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333333"/>
          <w:sz w:val="24"/>
          <w:szCs w:val="24"/>
        </w:rPr>
      </w:pPr>
      <w:r w:rsidDel="00000000" w:rsidR="00000000" w:rsidRPr="00000000">
        <w:rPr>
          <w:rtl w:val="0"/>
        </w:rPr>
      </w:r>
    </w:p>
    <w:p w:rsidR="00000000" w:rsidDel="00000000" w:rsidP="00000000" w:rsidRDefault="00000000" w:rsidRPr="00000000" w14:paraId="00000012">
      <w:pPr>
        <w:pStyle w:val="Heading1"/>
        <w:keepNext w:val="0"/>
        <w:keepLines w:val="0"/>
        <w:pBdr>
          <w:top w:color="auto" w:space="3" w:sz="0" w:val="none"/>
          <w:left w:color="auto" w:space="0" w:sz="0" w:val="none"/>
          <w:bottom w:color="auto" w:space="0" w:sz="0" w:val="none"/>
          <w:right w:color="auto" w:space="0" w:sz="0" w:val="none"/>
          <w:between w:color="auto" w:space="0" w:sz="0" w:val="none"/>
        </w:pBdr>
        <w:shd w:fill="ffffff" w:val="clear"/>
        <w:spacing w:after="0" w:before="0" w:line="300" w:lineRule="auto"/>
        <w:rPr>
          <w:color w:val="333333"/>
          <w:sz w:val="24"/>
          <w:szCs w:val="24"/>
        </w:rPr>
      </w:pPr>
      <w:bookmarkStart w:colFirst="0" w:colLast="0" w:name="_kvjgp9tvk9uq" w:id="1"/>
      <w:bookmarkEnd w:id="1"/>
      <w:r w:rsidDel="00000000" w:rsidR="00000000" w:rsidRPr="00000000">
        <w:rPr>
          <w:rtl w:val="0"/>
        </w:rPr>
      </w:r>
    </w:p>
    <w:p w:rsidR="00000000" w:rsidDel="00000000" w:rsidP="00000000" w:rsidRDefault="00000000" w:rsidRPr="00000000" w14:paraId="00000013">
      <w:pPr>
        <w:pStyle w:val="Heading1"/>
        <w:keepNext w:val="0"/>
        <w:keepLines w:val="0"/>
        <w:pBdr>
          <w:top w:color="auto" w:space="3" w:sz="0" w:val="none"/>
          <w:left w:color="auto" w:space="0" w:sz="0" w:val="none"/>
          <w:bottom w:color="auto" w:space="0" w:sz="0" w:val="none"/>
          <w:right w:color="auto" w:space="0" w:sz="0" w:val="none"/>
          <w:between w:color="auto" w:space="0" w:sz="0" w:val="none"/>
        </w:pBdr>
        <w:shd w:fill="ffffff" w:val="clear"/>
        <w:spacing w:after="0" w:before="0" w:line="300" w:lineRule="auto"/>
        <w:rPr>
          <w:b w:val="1"/>
          <w:color w:val="172b4d"/>
          <w:sz w:val="28"/>
          <w:szCs w:val="28"/>
        </w:rPr>
      </w:pPr>
      <w:bookmarkStart w:colFirst="0" w:colLast="0" w:name="_rar060ujaord" w:id="2"/>
      <w:bookmarkEnd w:id="2"/>
      <w:hyperlink r:id="rId7">
        <w:r w:rsidDel="00000000" w:rsidR="00000000" w:rsidRPr="00000000">
          <w:rPr>
            <w:b w:val="1"/>
            <w:color w:val="172b4d"/>
            <w:sz w:val="28"/>
            <w:szCs w:val="28"/>
            <w:rtl w:val="0"/>
          </w:rPr>
          <w:t xml:space="preserve">Implementation Plan for the GNSO Consensus Policy Relating to the Protection of Certain Red Cross Names</w:t>
        </w:r>
      </w:hyperlink>
      <w:r w:rsidDel="00000000" w:rsidR="00000000" w:rsidRPr="00000000">
        <w:rPr>
          <w:b w:val="1"/>
          <w:color w:val="172b4d"/>
          <w:sz w:val="28"/>
          <w:szCs w:val="28"/>
          <w:rtl w:val="0"/>
        </w:rPr>
        <w:t xml:space="preserve">.</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333333"/>
          <w:sz w:val="24"/>
          <w:szCs w:val="24"/>
        </w:rPr>
      </w:pPr>
      <w:r w:rsidDel="00000000" w:rsidR="00000000" w:rsidRPr="00000000">
        <w:rPr>
          <w:color w:val="333333"/>
          <w:sz w:val="24"/>
          <w:szCs w:val="24"/>
          <w:rtl w:val="0"/>
        </w:rPr>
        <w:t xml:space="preserve">The ALAC appreciates all the work that has taken place since 2014 which leads into the implementation of this updated Protection of IGO and INGO Identifiers in All gTLDs Policy consensus policy.  In particular, we have followed and supported the work of the Reconvened IGO-INGO PDP Working Group as presented in its Initial Report on the Protections for Certain Red Cross Names in all gTLDs – Policy Amendment Process of 20 June 2018 (see: </w:t>
      </w:r>
      <w:hyperlink r:id="rId8">
        <w:r w:rsidDel="00000000" w:rsidR="00000000" w:rsidRPr="00000000">
          <w:rPr>
            <w:b w:val="1"/>
            <w:color w:val="0052cc"/>
            <w:sz w:val="24"/>
            <w:szCs w:val="24"/>
            <w:rtl w:val="0"/>
          </w:rPr>
          <w:t xml:space="preserve">AL-ALAC-ST-0718-03-01-EN</w:t>
        </w:r>
      </w:hyperlink>
      <w:r w:rsidDel="00000000" w:rsidR="00000000" w:rsidRPr="00000000">
        <w:rPr>
          <w:color w:val="333333"/>
          <w:sz w:val="24"/>
          <w:szCs w:val="24"/>
          <w:rtl w:val="0"/>
        </w:rPr>
        <w:t xml:space="preserve">), and the recommendations in its Final Report of 5 August 2018 (see: </w:t>
      </w:r>
      <w:hyperlink r:id="rId9">
        <w:r w:rsidDel="00000000" w:rsidR="00000000" w:rsidRPr="00000000">
          <w:rPr>
            <w:b w:val="1"/>
            <w:color w:val="0052cc"/>
            <w:sz w:val="24"/>
            <w:szCs w:val="24"/>
            <w:rtl w:val="0"/>
          </w:rPr>
          <w:t xml:space="preserve">AL-ALAC-ST-1218-04-01-EN</w:t>
        </w:r>
      </w:hyperlink>
      <w:r w:rsidDel="00000000" w:rsidR="00000000" w:rsidRPr="00000000">
        <w:rPr>
          <w:color w:val="333333"/>
          <w:sz w:val="24"/>
          <w:szCs w:val="24"/>
          <w:rtl w:val="0"/>
        </w:rPr>
        <w:t xml:space="preserve">).</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333333"/>
          <w:sz w:val="24"/>
          <w:szCs w:val="24"/>
        </w:rPr>
      </w:pPr>
      <w:r w:rsidDel="00000000" w:rsidR="00000000" w:rsidRPr="00000000">
        <w:rPr>
          <w:color w:val="333333"/>
          <w:sz w:val="24"/>
          <w:szCs w:val="24"/>
          <w:rtl w:val="0"/>
        </w:rPr>
        <w:t xml:space="preserve">As a worldwide internationally recognized humanitarian aid organization, and one that has been regularly the target of those seeking to fraudulently extract donations, the ALAC believes that the International Federation of Red Cross and Red Crescent Societies (incorporating National Red Cross or Red Crescent Societies, and the International Committee of the Red Cross) should be given the benefit of protection to its various identifiers, designations and/or acronyms as intended by the policy changes proposed for implementation in the said updated consensus policy.  Implementation of the same, which we strongly support, helps resolve the issue of inconsistencies between the GAC's advice and the GNSO's previous policy on the affected Red Cross and Red Crescent names, which has been outstanding since 2013.</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333333"/>
          <w:sz w:val="24"/>
          <w:szCs w:val="24"/>
        </w:rPr>
      </w:pPr>
      <w:r w:rsidDel="00000000" w:rsidR="00000000" w:rsidRPr="00000000">
        <w:rPr>
          <w:color w:val="333333"/>
          <w:sz w:val="24"/>
          <w:szCs w:val="24"/>
          <w:rtl w:val="0"/>
        </w:rPr>
        <w:t xml:space="preserve">Further the ALAC supports the proposed changes in respect of the "</w:t>
      </w:r>
      <w:r w:rsidDel="00000000" w:rsidR="00000000" w:rsidRPr="00000000">
        <w:rPr>
          <w:i w:val="1"/>
          <w:color w:val="333333"/>
          <w:sz w:val="24"/>
          <w:szCs w:val="24"/>
          <w:rtl w:val="0"/>
        </w:rPr>
        <w:t xml:space="preserve">1. Red Cross: Specific Designations protected under the 1949 Geneva Conventions and their Additional Protocols</w:t>
      </w:r>
      <w:r w:rsidDel="00000000" w:rsidR="00000000" w:rsidRPr="00000000">
        <w:rPr>
          <w:color w:val="333333"/>
          <w:sz w:val="24"/>
          <w:szCs w:val="24"/>
          <w:rtl w:val="0"/>
        </w:rPr>
        <w:t xml:space="preserve">" list, "</w:t>
      </w:r>
      <w:r w:rsidDel="00000000" w:rsidR="00000000" w:rsidRPr="00000000">
        <w:rPr>
          <w:i w:val="1"/>
          <w:color w:val="333333"/>
          <w:sz w:val="24"/>
          <w:szCs w:val="24"/>
          <w:rtl w:val="0"/>
        </w:rPr>
        <w:t xml:space="preserve">2. Red Cross: Acronyms</w:t>
      </w:r>
      <w:r w:rsidDel="00000000" w:rsidR="00000000" w:rsidRPr="00000000">
        <w:rPr>
          <w:color w:val="333333"/>
          <w:sz w:val="24"/>
          <w:szCs w:val="24"/>
          <w:rtl w:val="0"/>
        </w:rPr>
        <w:t xml:space="preserve">" list. and "</w:t>
      </w:r>
      <w:r w:rsidDel="00000000" w:rsidR="00000000" w:rsidRPr="00000000">
        <w:rPr>
          <w:i w:val="1"/>
          <w:color w:val="333333"/>
          <w:sz w:val="24"/>
          <w:szCs w:val="24"/>
          <w:rtl w:val="0"/>
        </w:rPr>
        <w:t xml:space="preserve">3. Red Cross: The International Red Cross and Red Crescent Movement and its components</w:t>
      </w:r>
      <w:r w:rsidDel="00000000" w:rsidR="00000000" w:rsidRPr="00000000">
        <w:rPr>
          <w:color w:val="333333"/>
          <w:sz w:val="24"/>
          <w:szCs w:val="24"/>
          <w:rtl w:val="0"/>
        </w:rPr>
        <w:t xml:space="preserve">" list. In particular, we applaud the inclusion, into the third list, of names of the International Red Cross and Red Crescent Movement and of its respective components including the exact match names of the International Red Cross and Red Crescent Movement, the International Committee of the Red Cross and the International Federation in the six UN languages and of the National Red Cross and Red Crescent Societies. </w:t>
      </w:r>
      <w:r w:rsidDel="00000000" w:rsidR="00000000" w:rsidRPr="00000000">
        <w:rPr>
          <w:color w:val="212121"/>
          <w:sz w:val="24"/>
          <w:szCs w:val="24"/>
          <w:rtl w:val="0"/>
        </w:rPr>
        <w:t xml:space="preserve">We also view as necessary the proposed action to </w:t>
      </w:r>
      <w:r w:rsidDel="00000000" w:rsidR="00000000" w:rsidRPr="00000000">
        <w:rPr>
          <w:color w:val="333333"/>
          <w:sz w:val="24"/>
          <w:szCs w:val="24"/>
          <w:rtl w:val="0"/>
        </w:rPr>
        <w:t xml:space="preserve">recognize changes to the official names of the Red Cross Society entities, including component names, in Eswatini and</w:t>
      </w:r>
      <w:r w:rsidDel="00000000" w:rsidR="00000000" w:rsidRPr="00000000">
        <w:rPr>
          <w:color w:val="212121"/>
          <w:sz w:val="24"/>
          <w:szCs w:val="24"/>
          <w:rtl w:val="0"/>
        </w:rPr>
        <w:t xml:space="preserve"> </w:t>
      </w:r>
      <w:r w:rsidDel="00000000" w:rsidR="00000000" w:rsidRPr="00000000">
        <w:rPr>
          <w:color w:val="333333"/>
          <w:sz w:val="24"/>
          <w:szCs w:val="24"/>
          <w:rtl w:val="0"/>
        </w:rPr>
        <w:t xml:space="preserve">Macedonia, respectively.</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333333"/>
          <w:sz w:val="24"/>
          <w:szCs w:val="24"/>
        </w:rPr>
      </w:pPr>
      <w:r w:rsidDel="00000000" w:rsidR="00000000" w:rsidRPr="00000000">
        <w:rPr>
          <w:color w:val="333333"/>
          <w:sz w:val="24"/>
          <w:szCs w:val="24"/>
          <w:rtl w:val="0"/>
        </w:rPr>
        <w:t xml:space="preserve">While reasonable financial or other resource costs that may arise during work on implementation of this updated Protection of IGO and INGO Identifiers in All gTLDs Policy consensus policy is to be expected, we are particularly appreciative that the ICANN Board has noted no fiscal or ramifications are envisaged on ICANN, the community or the public, in implementing the adopted policy.</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color w:val="333333"/>
          <w:sz w:val="21"/>
          <w:szCs w:val="21"/>
        </w:rPr>
      </w:pP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b w:val="1"/>
          <w:color w:val="434343"/>
          <w:sz w:val="28"/>
          <w:szCs w:val="28"/>
        </w:rPr>
      </w:pPr>
      <w:hyperlink r:id="rId10">
        <w:r w:rsidDel="00000000" w:rsidR="00000000" w:rsidRPr="00000000">
          <w:rPr>
            <w:b w:val="1"/>
            <w:color w:val="434343"/>
            <w:sz w:val="28"/>
            <w:szCs w:val="28"/>
            <w:highlight w:val="white"/>
            <w:u w:val="single"/>
            <w:rtl w:val="0"/>
          </w:rPr>
          <w:t xml:space="preserve">ALAC Advice to ICANN Board on DNS Abuse</w:t>
        </w:r>
      </w:hyperlink>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b w:val="1"/>
          <w:color w:val="333333"/>
          <w:sz w:val="28"/>
          <w:szCs w:val="28"/>
        </w:rPr>
      </w:pPr>
      <w:r w:rsidDel="00000000" w:rsidR="00000000" w:rsidRPr="00000000">
        <w:rPr>
          <w:rtl w:val="0"/>
        </w:rPr>
      </w:r>
    </w:p>
    <w:p w:rsidR="00000000" w:rsidDel="00000000" w:rsidP="00000000" w:rsidRDefault="00000000" w:rsidRPr="00000000" w14:paraId="0000001B">
      <w:pPr>
        <w:shd w:fill="ffffff" w:val="clear"/>
        <w:jc w:val="left"/>
        <w:rPr>
          <w:sz w:val="24"/>
          <w:szCs w:val="24"/>
        </w:rPr>
      </w:pPr>
      <w:r w:rsidDel="00000000" w:rsidR="00000000" w:rsidRPr="00000000">
        <w:rPr>
          <w:sz w:val="24"/>
          <w:szCs w:val="24"/>
          <w:rtl w:val="0"/>
        </w:rPr>
        <w:t xml:space="preserve">The BC recommendations are robust and constructive, and coupled with the findings of the CCT-RT and the Interisle Consulting Group Report,the At-Large Advisory Committee (ALAC)on behalf of the At-Large Community recommend to the ICANN Board the following actions to mitigate DNS Abuse:</w:t>
      </w:r>
    </w:p>
    <w:p w:rsidR="00000000" w:rsidDel="00000000" w:rsidP="00000000" w:rsidRDefault="00000000" w:rsidRPr="00000000" w14:paraId="0000001C">
      <w:pPr>
        <w:shd w:fill="ffffff" w:val="clear"/>
        <w:jc w:val="left"/>
        <w:rPr>
          <w:sz w:val="24"/>
          <w:szCs w:val="24"/>
        </w:rPr>
      </w:pPr>
      <w:r w:rsidDel="00000000" w:rsidR="00000000" w:rsidRPr="00000000">
        <w:rPr>
          <w:sz w:val="24"/>
          <w:szCs w:val="24"/>
          <w:rtl w:val="0"/>
        </w:rPr>
        <w:t xml:space="preserve">•   Provide an explicit mandate to Contract Compliance to regularly audit registries for </w:t>
      </w:r>
    </w:p>
    <w:p w:rsidR="00000000" w:rsidDel="00000000" w:rsidP="00000000" w:rsidRDefault="00000000" w:rsidRPr="00000000" w14:paraId="0000001D">
      <w:pPr>
        <w:shd w:fill="ffffff" w:val="clear"/>
        <w:jc w:val="left"/>
        <w:rPr>
          <w:sz w:val="24"/>
          <w:szCs w:val="24"/>
        </w:rPr>
      </w:pPr>
      <w:r w:rsidDel="00000000" w:rsidR="00000000" w:rsidRPr="00000000">
        <w:rPr>
          <w:sz w:val="24"/>
          <w:szCs w:val="24"/>
          <w:rtl w:val="0"/>
        </w:rPr>
        <w:t xml:space="preserve">   “systemic” abuse. Thresholds should be determined by the community.</w:t>
      </w:r>
    </w:p>
    <w:p w:rsidR="00000000" w:rsidDel="00000000" w:rsidP="00000000" w:rsidRDefault="00000000" w:rsidRPr="00000000" w14:paraId="0000001E">
      <w:pPr>
        <w:shd w:fill="ffffff" w:val="clear"/>
        <w:jc w:val="left"/>
        <w:rPr>
          <w:sz w:val="24"/>
          <w:szCs w:val="24"/>
        </w:rPr>
      </w:pPr>
      <w:r w:rsidDel="00000000" w:rsidR="00000000" w:rsidRPr="00000000">
        <w:rPr>
          <w:sz w:val="24"/>
          <w:szCs w:val="24"/>
          <w:rtl w:val="0"/>
        </w:rPr>
        <w:t xml:space="preserve">•   Improve validation.</w:t>
      </w:r>
    </w:p>
    <w:p w:rsidR="00000000" w:rsidDel="00000000" w:rsidP="00000000" w:rsidRDefault="00000000" w:rsidRPr="00000000" w14:paraId="0000001F">
      <w:pPr>
        <w:shd w:fill="ffffff" w:val="clear"/>
        <w:jc w:val="left"/>
        <w:rPr>
          <w:sz w:val="24"/>
          <w:szCs w:val="24"/>
        </w:rPr>
      </w:pPr>
      <w:r w:rsidDel="00000000" w:rsidR="00000000" w:rsidRPr="00000000">
        <w:rPr>
          <w:sz w:val="24"/>
          <w:szCs w:val="24"/>
          <w:rtl w:val="0"/>
        </w:rPr>
        <w:t xml:space="preserve">•   Do not process registrations with “third party” payments,unless they have been </w:t>
      </w:r>
    </w:p>
    <w:p w:rsidR="00000000" w:rsidDel="00000000" w:rsidP="00000000" w:rsidRDefault="00000000" w:rsidRPr="00000000" w14:paraId="00000020">
      <w:pPr>
        <w:shd w:fill="ffffff" w:val="clear"/>
        <w:jc w:val="left"/>
        <w:rPr>
          <w:sz w:val="24"/>
          <w:szCs w:val="24"/>
        </w:rPr>
      </w:pPr>
      <w:r w:rsidDel="00000000" w:rsidR="00000000" w:rsidRPr="00000000">
        <w:rPr>
          <w:sz w:val="24"/>
          <w:szCs w:val="24"/>
          <w:rtl w:val="0"/>
        </w:rPr>
        <w:t xml:space="preserve">    approved prior to the request (i.e., if John Smith is registering domains and the</w:t>
      </w:r>
    </w:p>
    <w:p w:rsidR="00000000" w:rsidDel="00000000" w:rsidP="00000000" w:rsidRDefault="00000000" w:rsidRPr="00000000" w14:paraId="00000021">
      <w:pPr>
        <w:shd w:fill="ffffff" w:val="clear"/>
        <w:jc w:val="left"/>
        <w:rPr>
          <w:sz w:val="24"/>
          <w:szCs w:val="24"/>
        </w:rPr>
      </w:pPr>
      <w:r w:rsidDel="00000000" w:rsidR="00000000" w:rsidRPr="00000000">
        <w:rPr>
          <w:sz w:val="24"/>
          <w:szCs w:val="24"/>
          <w:rtl w:val="0"/>
        </w:rPr>
        <w:t xml:space="preserve">    Credit card says “Mary McCall”, don’t allow).</w:t>
      </w:r>
    </w:p>
    <w:p w:rsidR="00000000" w:rsidDel="00000000" w:rsidP="00000000" w:rsidRDefault="00000000" w:rsidRPr="00000000" w14:paraId="00000022">
      <w:pPr>
        <w:shd w:fill="ffffff" w:val="clear"/>
        <w:jc w:val="left"/>
        <w:rPr>
          <w:sz w:val="24"/>
          <w:szCs w:val="24"/>
        </w:rPr>
      </w:pPr>
      <w:r w:rsidDel="00000000" w:rsidR="00000000" w:rsidRPr="00000000">
        <w:rPr>
          <w:sz w:val="24"/>
          <w:szCs w:val="24"/>
          <w:rtl w:val="0"/>
        </w:rPr>
        <w:t xml:space="preserve">•   Adopt an  “anti-crime, anti-abuse” AUP and include enforcement (see  the Interisle </w:t>
      </w:r>
    </w:p>
    <w:p w:rsidR="00000000" w:rsidDel="00000000" w:rsidP="00000000" w:rsidRDefault="00000000" w:rsidRPr="00000000" w14:paraId="00000023">
      <w:pPr>
        <w:shd w:fill="ffffff" w:val="clear"/>
        <w:jc w:val="left"/>
        <w:rPr>
          <w:sz w:val="24"/>
          <w:szCs w:val="24"/>
        </w:rPr>
      </w:pPr>
      <w:r w:rsidDel="00000000" w:rsidR="00000000" w:rsidRPr="00000000">
        <w:rPr>
          <w:sz w:val="24"/>
          <w:szCs w:val="24"/>
          <w:rtl w:val="0"/>
        </w:rPr>
        <w:t xml:space="preserve">    Report).</w:t>
      </w:r>
    </w:p>
    <w:p w:rsidR="00000000" w:rsidDel="00000000" w:rsidP="00000000" w:rsidRDefault="00000000" w:rsidRPr="00000000" w14:paraId="00000024">
      <w:pPr>
        <w:shd w:fill="ffffff" w:val="clear"/>
        <w:jc w:val="left"/>
        <w:rPr>
          <w:sz w:val="24"/>
          <w:szCs w:val="24"/>
        </w:rPr>
      </w:pPr>
      <w:r w:rsidDel="00000000" w:rsidR="00000000" w:rsidRPr="00000000">
        <w:rPr>
          <w:sz w:val="24"/>
          <w:szCs w:val="24"/>
          <w:rtl w:val="0"/>
        </w:rPr>
        <w:t xml:space="preserve">•   Provide incentives: reduce per domain transaction fees for registrars that have low</w:t>
      </w:r>
    </w:p>
    <w:p w:rsidR="00000000" w:rsidDel="00000000" w:rsidP="00000000" w:rsidRDefault="00000000" w:rsidRPr="00000000" w14:paraId="00000025">
      <w:pPr>
        <w:shd w:fill="ffffff" w:val="clear"/>
        <w:jc w:val="left"/>
        <w:rPr>
          <w:sz w:val="24"/>
          <w:szCs w:val="24"/>
        </w:rPr>
      </w:pPr>
      <w:r w:rsidDel="00000000" w:rsidR="00000000" w:rsidRPr="00000000">
        <w:rPr>
          <w:sz w:val="24"/>
          <w:szCs w:val="24"/>
          <w:rtl w:val="0"/>
        </w:rPr>
        <w:t xml:space="preserve">     abuse rates.</w:t>
      </w:r>
    </w:p>
    <w:p w:rsidR="00000000" w:rsidDel="00000000" w:rsidP="00000000" w:rsidRDefault="00000000" w:rsidRPr="00000000" w14:paraId="00000026">
      <w:pPr>
        <w:shd w:fill="ffffff" w:val="clear"/>
        <w:jc w:val="left"/>
        <w:rPr>
          <w:sz w:val="24"/>
          <w:szCs w:val="24"/>
        </w:rPr>
      </w:pPr>
      <w:r w:rsidDel="00000000" w:rsidR="00000000" w:rsidRPr="00000000">
        <w:rPr>
          <w:sz w:val="24"/>
          <w:szCs w:val="24"/>
          <w:rtl w:val="0"/>
        </w:rPr>
        <w:t xml:space="preserve">•   Publish more DAAR data.</w:t>
      </w:r>
    </w:p>
    <w:p w:rsidR="00000000" w:rsidDel="00000000" w:rsidP="00000000" w:rsidRDefault="00000000" w:rsidRPr="00000000" w14:paraId="00000027">
      <w:pPr>
        <w:shd w:fill="ffffff" w:val="clear"/>
        <w:jc w:val="left"/>
        <w:rPr>
          <w:sz w:val="24"/>
          <w:szCs w:val="24"/>
        </w:rPr>
      </w:pPr>
      <w:r w:rsidDel="00000000" w:rsidR="00000000" w:rsidRPr="00000000">
        <w:rPr>
          <w:sz w:val="24"/>
          <w:szCs w:val="24"/>
          <w:rtl w:val="0"/>
        </w:rPr>
        <w:t xml:space="preserve">•   Cease rate limiting WHOIS or  simplify the process of whitelisting.</w:t>
      </w:r>
    </w:p>
    <w:p w:rsidR="00000000" w:rsidDel="00000000" w:rsidP="00000000" w:rsidRDefault="00000000" w:rsidRPr="00000000" w14:paraId="00000028">
      <w:pPr>
        <w:shd w:fill="ffffff" w:val="clear"/>
        <w:jc w:val="left"/>
        <w:rPr>
          <w:sz w:val="24"/>
          <w:szCs w:val="24"/>
        </w:rPr>
      </w:pPr>
      <w:r w:rsidDel="00000000" w:rsidR="00000000" w:rsidRPr="00000000">
        <w:rPr>
          <w:sz w:val="24"/>
          <w:szCs w:val="24"/>
          <w:rtl w:val="0"/>
        </w:rPr>
        <w:t xml:space="preserve">•   Adopt a  uniform and timely access framework for public WHOIS.</w:t>
      </w:r>
    </w:p>
    <w:p w:rsidR="00000000" w:rsidDel="00000000" w:rsidP="00000000" w:rsidRDefault="00000000" w:rsidRPr="00000000" w14:paraId="00000029">
      <w:pPr>
        <w:shd w:fill="ffffff" w:val="clear"/>
        <w:jc w:val="left"/>
        <w:rPr>
          <w:sz w:val="24"/>
          <w:szCs w:val="24"/>
        </w:rPr>
      </w:pPr>
      <w:r w:rsidDel="00000000" w:rsidR="00000000" w:rsidRPr="00000000">
        <w:rPr>
          <w:sz w:val="24"/>
          <w:szCs w:val="24"/>
          <w:rtl w:val="0"/>
        </w:rPr>
        <w:t xml:space="preserve">•   Implement the above in agreements/contracts, with clear enforcement language for</w:t>
      </w:r>
    </w:p>
    <w:p w:rsidR="00000000" w:rsidDel="00000000" w:rsidP="00000000" w:rsidRDefault="00000000" w:rsidRPr="00000000" w14:paraId="0000002A">
      <w:pPr>
        <w:shd w:fill="ffffff" w:val="clear"/>
        <w:jc w:val="left"/>
        <w:rPr>
          <w:sz w:val="24"/>
          <w:szCs w:val="24"/>
        </w:rPr>
      </w:pPr>
      <w:r w:rsidDel="00000000" w:rsidR="00000000" w:rsidRPr="00000000">
        <w:rPr>
          <w:sz w:val="24"/>
          <w:szCs w:val="24"/>
          <w:rtl w:val="0"/>
        </w:rPr>
        <w:t xml:space="preserve">    ICANN Compliance to adopt.</w:t>
      </w:r>
    </w:p>
    <w:p w:rsidR="00000000" w:rsidDel="00000000" w:rsidP="00000000" w:rsidRDefault="00000000" w:rsidRPr="00000000" w14:paraId="0000002B">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atlarge.icann.org/advice_statements/13747" TargetMode="External"/><Relationship Id="rId9" Type="http://schemas.openxmlformats.org/officeDocument/2006/relationships/hyperlink" Target="https://community.icann.org/download/attachments/99484371/AL-ALAC-ST-1218-04-01-EN.pdf?version=1&amp;modificationDate=1546868662000&amp;api=v2" TargetMode="External"/><Relationship Id="rId5" Type="http://schemas.openxmlformats.org/officeDocument/2006/relationships/styles" Target="styles.xml"/><Relationship Id="rId6" Type="http://schemas.openxmlformats.org/officeDocument/2006/relationships/hyperlink" Target="https://atlarge.icann.org/advice_statements/13751" TargetMode="External"/><Relationship Id="rId7" Type="http://schemas.openxmlformats.org/officeDocument/2006/relationships/hyperlink" Target="https://community.icann.org/display/alacpolicydev/At-Large+Workspace%3A+Implementation+Plan+for+the+GNSO+Consensus+Policy+Relating+to+the+Protection+of+Certain+Red+Cross+Names" TargetMode="External"/><Relationship Id="rId8" Type="http://schemas.openxmlformats.org/officeDocument/2006/relationships/hyperlink" Target="https://community.icann.org/download/attachments/88572954/AL-ALAC-ST-0718-03-01-EN.pdf?version=1&amp;modificationDate=1546865555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