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E31F9" w14:textId="77777777" w:rsidR="00A40BC2" w:rsidRPr="001D641F" w:rsidRDefault="001D641F" w:rsidP="00411F19">
      <w:pPr>
        <w:widowControl w:val="0"/>
        <w:autoSpaceDE w:val="0"/>
        <w:autoSpaceDN w:val="0"/>
        <w:adjustRightInd w:val="0"/>
        <w:rPr>
          <w:rFonts w:ascii="Calibri" w:hAnsi="Calibri" w:cs="Calibri"/>
          <w:b/>
          <w:sz w:val="28"/>
          <w:szCs w:val="28"/>
        </w:rPr>
      </w:pPr>
      <w:r w:rsidRPr="001D641F">
        <w:rPr>
          <w:rFonts w:ascii="Calibri" w:hAnsi="Calibri" w:cs="Calibri"/>
          <w:b/>
          <w:sz w:val="28"/>
          <w:szCs w:val="28"/>
        </w:rPr>
        <w:t>ccNSO Council submission proposed IANA Functions Agreement.</w:t>
      </w:r>
    </w:p>
    <w:p w14:paraId="2C8FE803" w14:textId="77777777" w:rsidR="00A40BC2" w:rsidRDefault="00A40BC2" w:rsidP="00411F19">
      <w:pPr>
        <w:widowControl w:val="0"/>
        <w:autoSpaceDE w:val="0"/>
        <w:autoSpaceDN w:val="0"/>
        <w:adjustRightInd w:val="0"/>
        <w:rPr>
          <w:rFonts w:ascii="Calibri" w:hAnsi="Calibri" w:cs="Calibri"/>
          <w:sz w:val="28"/>
          <w:szCs w:val="28"/>
        </w:rPr>
      </w:pPr>
    </w:p>
    <w:p w14:paraId="27C48AAA" w14:textId="5FCD56A9" w:rsidR="00411F19" w:rsidRPr="001D641F" w:rsidRDefault="00411F19" w:rsidP="00411F19">
      <w:pPr>
        <w:widowControl w:val="0"/>
        <w:autoSpaceDE w:val="0"/>
        <w:autoSpaceDN w:val="0"/>
        <w:adjustRightInd w:val="0"/>
        <w:rPr>
          <w:rFonts w:cs="Calibri"/>
        </w:rPr>
      </w:pPr>
      <w:r w:rsidRPr="001D641F">
        <w:rPr>
          <w:rFonts w:cs="Calibri"/>
        </w:rPr>
        <w:t>T</w:t>
      </w:r>
      <w:r w:rsidRPr="001D641F">
        <w:rPr>
          <w:rFonts w:cs="Calibri"/>
        </w:rPr>
        <w:t xml:space="preserve">he ccNSO Council </w:t>
      </w:r>
      <w:r w:rsidRPr="001D641F">
        <w:rPr>
          <w:rFonts w:cs="Calibri"/>
        </w:rPr>
        <w:t>welcomes this opportunity to comment on the proposed IANA Functions Agreement (</w:t>
      </w:r>
      <w:hyperlink r:id="rId4" w:history="1">
        <w:r w:rsidRPr="001D641F">
          <w:rPr>
            <w:rStyle w:val="Hyperlink"/>
            <w:rFonts w:cs="Calibri"/>
          </w:rPr>
          <w:t>https://www.icann.org/en/system/files/files/proposed-iana-naming-function-agreement-10aug16-en.pdf</w:t>
        </w:r>
        <w:r w:rsidR="007524B8">
          <w:rPr>
            <w:rStyle w:val="Hyperlink"/>
            <w:rFonts w:cs="Calibri"/>
          </w:rPr>
          <w:t xml:space="preserve"> </w:t>
        </w:r>
        <w:r w:rsidRPr="001D641F">
          <w:rPr>
            <w:rStyle w:val="Hyperlink"/>
            <w:rFonts w:cs="Calibri"/>
          </w:rPr>
          <w:t>)</w:t>
        </w:r>
      </w:hyperlink>
      <w:r w:rsidR="007524B8">
        <w:rPr>
          <w:rFonts w:cs="Calibri"/>
        </w:rPr>
        <w:t>.</w:t>
      </w:r>
      <w:r w:rsidRPr="001D641F">
        <w:rPr>
          <w:rFonts w:cs="Calibri"/>
        </w:rPr>
        <w:t xml:space="preserve"> </w:t>
      </w:r>
    </w:p>
    <w:p w14:paraId="3A0871DA" w14:textId="77777777" w:rsidR="00411F19" w:rsidRPr="001D641F" w:rsidRDefault="00411F19" w:rsidP="00411F19">
      <w:pPr>
        <w:widowControl w:val="0"/>
        <w:autoSpaceDE w:val="0"/>
        <w:autoSpaceDN w:val="0"/>
        <w:adjustRightInd w:val="0"/>
        <w:rPr>
          <w:rFonts w:cs="Calibri"/>
        </w:rPr>
      </w:pPr>
    </w:p>
    <w:p w14:paraId="710486B8" w14:textId="0EFBA480" w:rsidR="002F1252" w:rsidRPr="001D641F" w:rsidRDefault="00451A53" w:rsidP="002F1252">
      <w:pPr>
        <w:rPr>
          <w:rFonts w:eastAsia="Times New Roman" w:cs="Times New Roman"/>
        </w:rPr>
      </w:pPr>
      <w:r>
        <w:rPr>
          <w:rFonts w:eastAsia="Times New Roman" w:cs="Times New Roman"/>
        </w:rPr>
        <w:t>Th</w:t>
      </w:r>
      <w:r w:rsidR="007524B8">
        <w:rPr>
          <w:rFonts w:eastAsia="Times New Roman" w:cs="Times New Roman"/>
        </w:rPr>
        <w:t>is submission</w:t>
      </w:r>
      <w:r w:rsidR="002F1252" w:rsidRPr="001D641F">
        <w:rPr>
          <w:rFonts w:eastAsia="Times New Roman" w:cs="Times New Roman"/>
        </w:rPr>
        <w:t xml:space="preserve"> </w:t>
      </w:r>
      <w:r w:rsidR="007524B8">
        <w:rPr>
          <w:rFonts w:eastAsia="Times New Roman" w:cs="Times New Roman"/>
        </w:rPr>
        <w:t>has</w:t>
      </w:r>
      <w:r w:rsidR="002F1252" w:rsidRPr="001D641F">
        <w:rPr>
          <w:rFonts w:eastAsia="Times New Roman" w:cs="Times New Roman"/>
        </w:rPr>
        <w:t xml:space="preserve"> been considered and endorsed by the ccNSO Council, though do</w:t>
      </w:r>
      <w:r w:rsidR="007524B8">
        <w:rPr>
          <w:rFonts w:eastAsia="Times New Roman" w:cs="Times New Roman"/>
        </w:rPr>
        <w:t>es</w:t>
      </w:r>
      <w:r w:rsidR="002F1252" w:rsidRPr="001D641F">
        <w:rPr>
          <w:rFonts w:eastAsia="Times New Roman" w:cs="Times New Roman"/>
        </w:rPr>
        <w:t xml:space="preserve"> not necessarily represent</w:t>
      </w:r>
      <w:r w:rsidR="007524B8">
        <w:rPr>
          <w:rFonts w:eastAsia="Times New Roman" w:cs="Times New Roman"/>
        </w:rPr>
        <w:t>s</w:t>
      </w:r>
      <w:r w:rsidR="002F1252" w:rsidRPr="001D641F">
        <w:rPr>
          <w:rFonts w:eastAsia="Times New Roman" w:cs="Times New Roman"/>
        </w:rPr>
        <w:t xml:space="preserve"> the consensus view of ccNSO members </w:t>
      </w:r>
      <w:r w:rsidR="00A83784" w:rsidRPr="001D641F">
        <w:rPr>
          <w:rFonts w:eastAsia="Times New Roman" w:cs="Times New Roman"/>
        </w:rPr>
        <w:t>n</w:t>
      </w:r>
      <w:r w:rsidR="001D641F">
        <w:rPr>
          <w:rFonts w:eastAsia="Times New Roman" w:cs="Times New Roman"/>
        </w:rPr>
        <w:t xml:space="preserve">or other </w:t>
      </w:r>
      <w:r w:rsidR="002F1252" w:rsidRPr="001D641F">
        <w:rPr>
          <w:rFonts w:eastAsia="Times New Roman" w:cs="Times New Roman"/>
        </w:rPr>
        <w:t>ccTLDs</w:t>
      </w:r>
      <w:r w:rsidR="007524B8">
        <w:rPr>
          <w:rFonts w:eastAsia="Times New Roman" w:cs="Times New Roman"/>
        </w:rPr>
        <w:t xml:space="preserve"> or ccTLD orgnaisation</w:t>
      </w:r>
      <w:r w:rsidR="002F1252" w:rsidRPr="001D641F">
        <w:rPr>
          <w:rFonts w:eastAsia="Times New Roman" w:cs="Times New Roman"/>
        </w:rPr>
        <w:t>, some of whom may decide to submit their own comments.</w:t>
      </w:r>
    </w:p>
    <w:p w14:paraId="55B12878" w14:textId="77777777" w:rsidR="00411F19" w:rsidRPr="001D641F" w:rsidRDefault="00411F19" w:rsidP="00411F19">
      <w:pPr>
        <w:widowControl w:val="0"/>
        <w:autoSpaceDE w:val="0"/>
        <w:autoSpaceDN w:val="0"/>
        <w:adjustRightInd w:val="0"/>
        <w:rPr>
          <w:rFonts w:cs="Calibri"/>
        </w:rPr>
      </w:pPr>
    </w:p>
    <w:p w14:paraId="086A6587" w14:textId="7615BF1C" w:rsidR="002F1252" w:rsidRPr="001D641F" w:rsidRDefault="002F1252" w:rsidP="002F1252">
      <w:pPr>
        <w:rPr>
          <w:rFonts w:eastAsia="Times New Roman" w:cs="Times New Roman"/>
        </w:rPr>
      </w:pPr>
      <w:r w:rsidRPr="001D641F">
        <w:rPr>
          <w:rFonts w:eastAsia="Times New Roman" w:cs="Times New Roman"/>
        </w:rPr>
        <w:t>The</w:t>
      </w:r>
      <w:r w:rsidR="00A83784" w:rsidRPr="001D641F">
        <w:rPr>
          <w:rFonts w:eastAsia="Times New Roman" w:cs="Times New Roman"/>
        </w:rPr>
        <w:t xml:space="preserve"> ccTLD</w:t>
      </w:r>
      <w:r w:rsidRPr="001D641F">
        <w:rPr>
          <w:rFonts w:eastAsia="Times New Roman" w:cs="Times New Roman"/>
        </w:rPr>
        <w:t xml:space="preserve"> operators will be direct customers of the naming services. As such they have a clear and</w:t>
      </w:r>
      <w:r w:rsidR="007524B8">
        <w:rPr>
          <w:rFonts w:eastAsia="Times New Roman" w:cs="Times New Roman"/>
        </w:rPr>
        <w:t xml:space="preserve"> specific interest in the IANA Naming Functions A</w:t>
      </w:r>
      <w:r w:rsidRPr="001D641F">
        <w:rPr>
          <w:rFonts w:eastAsia="Times New Roman" w:cs="Times New Roman"/>
        </w:rPr>
        <w:t xml:space="preserve">greement. The ccNSO Council is </w:t>
      </w:r>
      <w:r w:rsidR="00A83784" w:rsidRPr="001D641F">
        <w:rPr>
          <w:rFonts w:eastAsia="Times New Roman" w:cs="Times New Roman"/>
        </w:rPr>
        <w:t xml:space="preserve">very </w:t>
      </w:r>
      <w:r w:rsidRPr="001D641F">
        <w:rPr>
          <w:rFonts w:eastAsia="Times New Roman" w:cs="Times New Roman"/>
        </w:rPr>
        <w:t>aware of the comments made by representatives of ccTLD</w:t>
      </w:r>
      <w:r w:rsidR="00A83784" w:rsidRPr="001D641F">
        <w:rPr>
          <w:rFonts w:eastAsia="Times New Roman" w:cs="Times New Roman"/>
        </w:rPr>
        <w:t xml:space="preserve"> community</w:t>
      </w:r>
      <w:r w:rsidRPr="001D641F">
        <w:rPr>
          <w:rFonts w:eastAsia="Times New Roman" w:cs="Times New Roman"/>
        </w:rPr>
        <w:t xml:space="preserve"> on the CWG-Stewardship</w:t>
      </w:r>
      <w:r w:rsidR="00E34201" w:rsidRPr="001D641F">
        <w:rPr>
          <w:rFonts w:eastAsia="Times New Roman" w:cs="Times New Roman"/>
        </w:rPr>
        <w:t xml:space="preserve"> on the proposed</w:t>
      </w:r>
      <w:r w:rsidR="006F7D56" w:rsidRPr="001D641F">
        <w:rPr>
          <w:rFonts w:eastAsia="Times New Roman" w:cs="Times New Roman"/>
        </w:rPr>
        <w:t xml:space="preserve"> Agreement </w:t>
      </w:r>
      <w:r w:rsidR="006F7D56" w:rsidRPr="001D641F">
        <w:rPr>
          <w:rFonts w:eastAsia="Times New Roman" w:cs="Times New Roman"/>
        </w:rPr>
        <w:t>(see Annex A)</w:t>
      </w:r>
      <w:r w:rsidR="006F7D56" w:rsidRPr="001D641F">
        <w:rPr>
          <w:rFonts w:eastAsia="Times New Roman" w:cs="Times New Roman"/>
        </w:rPr>
        <w:t xml:space="preserve"> and fully supports the</w:t>
      </w:r>
      <w:r w:rsidR="007524B8">
        <w:rPr>
          <w:rFonts w:eastAsia="Times New Roman" w:cs="Times New Roman"/>
        </w:rPr>
        <w:t>se</w:t>
      </w:r>
      <w:r w:rsidR="006F7D56" w:rsidRPr="001D641F">
        <w:rPr>
          <w:rFonts w:eastAsia="Times New Roman" w:cs="Times New Roman"/>
        </w:rPr>
        <w:t xml:space="preserve"> comments made,</w:t>
      </w:r>
      <w:r w:rsidR="00E537A3" w:rsidRPr="001D641F">
        <w:rPr>
          <w:rFonts w:eastAsia="Times New Roman" w:cs="Times New Roman"/>
        </w:rPr>
        <w:t xml:space="preserve"> in particular comments with respect to Section 1.1 (defin</w:t>
      </w:r>
      <w:r w:rsidR="00B41EAB" w:rsidRPr="001D641F">
        <w:rPr>
          <w:rFonts w:eastAsia="Times New Roman" w:cs="Times New Roman"/>
        </w:rPr>
        <w:t>i</w:t>
      </w:r>
      <w:r w:rsidR="00E537A3" w:rsidRPr="001D641F">
        <w:rPr>
          <w:rFonts w:eastAsia="Times New Roman" w:cs="Times New Roman"/>
        </w:rPr>
        <w:t>tion</w:t>
      </w:r>
      <w:r w:rsidR="00B41EAB" w:rsidRPr="001D641F">
        <w:rPr>
          <w:rFonts w:eastAsia="Times New Roman" w:cs="Times New Roman"/>
        </w:rPr>
        <w:t xml:space="preserve"> of Significantly Interested Parties), and section 4.7 (reference to the Framework of Interpretation of RFC 1591 and reference to the </w:t>
      </w:r>
      <w:r w:rsidR="00B41EAB" w:rsidRPr="001D641F">
        <w:rPr>
          <w:rFonts w:cs="Cambria"/>
        </w:rPr>
        <w:t>2005 Governmental Advisory Committee Principles and Guidelines for the Del</w:t>
      </w:r>
      <w:r w:rsidR="00B41EAB" w:rsidRPr="001D641F">
        <w:rPr>
          <w:rFonts w:cs="Cambria"/>
        </w:rPr>
        <w:t>e</w:t>
      </w:r>
      <w:r w:rsidR="00B41EAB" w:rsidRPr="001D641F">
        <w:rPr>
          <w:rFonts w:cs="Cambria"/>
        </w:rPr>
        <w:t>gation and Administration of Country Code Top Level Domains</w:t>
      </w:r>
      <w:r w:rsidR="00B41EAB" w:rsidRPr="001D641F">
        <w:rPr>
          <w:rFonts w:cs="Cambria"/>
        </w:rPr>
        <w:t>)</w:t>
      </w:r>
      <w:r w:rsidRPr="001D641F">
        <w:rPr>
          <w:rFonts w:eastAsia="Times New Roman" w:cs="Times New Roman"/>
        </w:rPr>
        <w:t xml:space="preserve">. </w:t>
      </w:r>
    </w:p>
    <w:p w14:paraId="74C5AF07" w14:textId="77777777" w:rsidR="00B41EAB" w:rsidRPr="001D641F" w:rsidRDefault="00B41EAB" w:rsidP="002F1252">
      <w:pPr>
        <w:rPr>
          <w:rFonts w:cs="Calibri"/>
        </w:rPr>
      </w:pPr>
    </w:p>
    <w:p w14:paraId="5ED88837" w14:textId="55F1F9CC" w:rsidR="00B41EAB" w:rsidRPr="001D641F" w:rsidRDefault="00B41EAB" w:rsidP="00B41EAB">
      <w:pPr>
        <w:rPr>
          <w:rFonts w:cs="Calibri"/>
        </w:rPr>
      </w:pPr>
      <w:r w:rsidRPr="001D641F">
        <w:rPr>
          <w:rFonts w:cs="Calibri"/>
        </w:rPr>
        <w:t xml:space="preserve">The ccNSO Council </w:t>
      </w:r>
      <w:r w:rsidR="007524B8">
        <w:rPr>
          <w:rFonts w:cs="Calibri"/>
        </w:rPr>
        <w:t xml:space="preserve">closely </w:t>
      </w:r>
      <w:r w:rsidRPr="001D641F">
        <w:rPr>
          <w:rFonts w:cs="Calibri"/>
        </w:rPr>
        <w:t>followed the deliberations of the CWG –Stewardship with respec</w:t>
      </w:r>
      <w:r w:rsidR="007524B8">
        <w:rPr>
          <w:rFonts w:cs="Calibri"/>
        </w:rPr>
        <w:t>t to these comments</w:t>
      </w:r>
      <w:r w:rsidRPr="001D641F">
        <w:rPr>
          <w:rFonts w:cs="Calibri"/>
        </w:rPr>
        <w:t xml:space="preserve"> and has been appraised by the ccTLD members and participants on the CWG –Stewardship </w:t>
      </w:r>
      <w:r w:rsidR="007524B8">
        <w:rPr>
          <w:rFonts w:cs="Calibri"/>
        </w:rPr>
        <w:t>on</w:t>
      </w:r>
      <w:r w:rsidRPr="001D641F">
        <w:rPr>
          <w:rFonts w:cs="Calibri"/>
        </w:rPr>
        <w:t xml:space="preserve"> the progress </w:t>
      </w:r>
      <w:r w:rsidR="007524B8">
        <w:rPr>
          <w:rFonts w:cs="Calibri"/>
        </w:rPr>
        <w:t xml:space="preserve">made </w:t>
      </w:r>
      <w:r w:rsidRPr="001D641F">
        <w:rPr>
          <w:rFonts w:cs="Calibri"/>
        </w:rPr>
        <w:t xml:space="preserve">to resolve the issues with </w:t>
      </w:r>
      <w:r w:rsidR="007524B8">
        <w:rPr>
          <w:rFonts w:cs="Calibri"/>
        </w:rPr>
        <w:t xml:space="preserve">respect to </w:t>
      </w:r>
      <w:r w:rsidRPr="001D641F">
        <w:rPr>
          <w:rFonts w:cs="Calibri"/>
        </w:rPr>
        <w:t xml:space="preserve">the 10 August proposal. </w:t>
      </w:r>
    </w:p>
    <w:p w14:paraId="33EE9CBE" w14:textId="77777777" w:rsidR="00B41EAB" w:rsidRPr="001D641F" w:rsidRDefault="00B41EAB" w:rsidP="00B41EAB">
      <w:pPr>
        <w:rPr>
          <w:rFonts w:cs="Calibri"/>
        </w:rPr>
      </w:pPr>
    </w:p>
    <w:p w14:paraId="63FFFB0A" w14:textId="3E9EA338" w:rsidR="00A40BC2" w:rsidRPr="001D641F" w:rsidRDefault="001A19DA" w:rsidP="00B41EAB">
      <w:pPr>
        <w:rPr>
          <w:rFonts w:cs="Calibri"/>
        </w:rPr>
      </w:pPr>
      <w:r w:rsidRPr="001D641F">
        <w:rPr>
          <w:rFonts w:cs="Calibri"/>
        </w:rPr>
        <w:t xml:space="preserve">It is the understanding of the ccNSO Council that </w:t>
      </w:r>
      <w:r w:rsidR="007524B8">
        <w:rPr>
          <w:rFonts w:cs="Calibri"/>
        </w:rPr>
        <w:t xml:space="preserve">from the </w:t>
      </w:r>
      <w:r w:rsidR="007524B8" w:rsidRPr="001D641F">
        <w:rPr>
          <w:rFonts w:cs="Calibri"/>
        </w:rPr>
        <w:t xml:space="preserve">perspective </w:t>
      </w:r>
      <w:r w:rsidR="007524B8">
        <w:rPr>
          <w:rFonts w:cs="Calibri"/>
        </w:rPr>
        <w:t xml:space="preserve">of the ccTLD members and participants </w:t>
      </w:r>
      <w:r w:rsidR="009C3CA2" w:rsidRPr="001D641F">
        <w:rPr>
          <w:rFonts w:cs="Calibri"/>
        </w:rPr>
        <w:t xml:space="preserve">the issues </w:t>
      </w:r>
      <w:r w:rsidR="007524B8">
        <w:rPr>
          <w:rFonts w:cs="Calibri"/>
        </w:rPr>
        <w:t xml:space="preserve">have been resolved </w:t>
      </w:r>
      <w:r w:rsidRPr="001D641F">
        <w:rPr>
          <w:rFonts w:cs="Calibri"/>
        </w:rPr>
        <w:t>in a satisfactory manner</w:t>
      </w:r>
      <w:r w:rsidR="007524B8">
        <w:rPr>
          <w:rFonts w:cs="Calibri"/>
        </w:rPr>
        <w:t xml:space="preserve">. </w:t>
      </w:r>
      <w:r w:rsidR="009C3CA2" w:rsidRPr="001D641F">
        <w:rPr>
          <w:rFonts w:cs="Calibri"/>
        </w:rPr>
        <w:t xml:space="preserve"> Further it is the understanding of the ccNSO Council that the results</w:t>
      </w:r>
      <w:r w:rsidR="006B04F8" w:rsidRPr="001D641F">
        <w:rPr>
          <w:rFonts w:cs="Calibri"/>
        </w:rPr>
        <w:t xml:space="preserve"> are </w:t>
      </w:r>
      <w:r w:rsidR="00A40BC2" w:rsidRPr="001D641F">
        <w:rPr>
          <w:rFonts w:cs="Calibri"/>
        </w:rPr>
        <w:t xml:space="preserve">fully </w:t>
      </w:r>
      <w:r w:rsidR="006B04F8" w:rsidRPr="001D641F">
        <w:rPr>
          <w:rFonts w:cs="Calibri"/>
        </w:rPr>
        <w:t xml:space="preserve">reflected in the </w:t>
      </w:r>
      <w:r w:rsidR="00A40BC2" w:rsidRPr="001D641F">
        <w:rPr>
          <w:rFonts w:cs="Calibri"/>
        </w:rPr>
        <w:t>CWG-Ste</w:t>
      </w:r>
      <w:r w:rsidR="009C3CA2" w:rsidRPr="001D641F">
        <w:rPr>
          <w:rFonts w:cs="Calibri"/>
        </w:rPr>
        <w:t>wardship mark-up version of</w:t>
      </w:r>
      <w:r w:rsidR="00A40BC2" w:rsidRPr="001D641F">
        <w:rPr>
          <w:rFonts w:cs="Calibri"/>
        </w:rPr>
        <w:t xml:space="preserve"> the 10 August proposed IANA </w:t>
      </w:r>
      <w:r w:rsidR="00DF7843">
        <w:rPr>
          <w:rFonts w:cs="Calibri"/>
        </w:rPr>
        <w:t xml:space="preserve">Naming </w:t>
      </w:r>
      <w:r w:rsidR="00A40BC2" w:rsidRPr="001D641F">
        <w:rPr>
          <w:rFonts w:cs="Calibri"/>
        </w:rPr>
        <w:t>Functions Agreemen</w:t>
      </w:r>
      <w:r w:rsidR="007524B8">
        <w:rPr>
          <w:rFonts w:cs="Calibri"/>
        </w:rPr>
        <w:t xml:space="preserve">t </w:t>
      </w:r>
      <w:r w:rsidR="007524B8">
        <w:rPr>
          <w:rFonts w:cs="Calibri"/>
        </w:rPr>
        <w:t>a</w:t>
      </w:r>
      <w:r w:rsidR="007524B8" w:rsidRPr="001D641F">
        <w:rPr>
          <w:rFonts w:cs="Calibri"/>
        </w:rPr>
        <w:t>s submitted by the c</w:t>
      </w:r>
      <w:r w:rsidR="00E21A02">
        <w:rPr>
          <w:rFonts w:cs="Calibri"/>
        </w:rPr>
        <w:t>o-chairs of the CWG-Stewardship</w:t>
      </w:r>
      <w:r w:rsidR="007524B8" w:rsidRPr="001D641F">
        <w:rPr>
          <w:rFonts w:cs="Calibri"/>
        </w:rPr>
        <w:t xml:space="preserve"> </w:t>
      </w:r>
      <w:r w:rsidR="007524B8">
        <w:rPr>
          <w:rFonts w:cs="Calibri"/>
        </w:rPr>
        <w:t xml:space="preserve">and the text </w:t>
      </w:r>
      <w:r w:rsidR="00E21A02">
        <w:rPr>
          <w:rFonts w:cs="Calibri"/>
        </w:rPr>
        <w:t xml:space="preserve">proposed </w:t>
      </w:r>
      <w:bookmarkStart w:id="0" w:name="_GoBack"/>
      <w:bookmarkEnd w:id="0"/>
      <w:r w:rsidR="007524B8">
        <w:rPr>
          <w:rFonts w:cs="Calibri"/>
        </w:rPr>
        <w:t xml:space="preserve">is supported by the ccTLD representatives on the CWG-Stewardship. </w:t>
      </w:r>
    </w:p>
    <w:p w14:paraId="6E4E9C8D" w14:textId="77777777" w:rsidR="00A40BC2" w:rsidRPr="001D641F" w:rsidRDefault="00A40BC2" w:rsidP="00B41EAB">
      <w:pPr>
        <w:rPr>
          <w:rFonts w:cs="Calibri"/>
        </w:rPr>
      </w:pPr>
    </w:p>
    <w:p w14:paraId="58D8B8F8" w14:textId="3E9838C5" w:rsidR="00A40BC2" w:rsidRPr="001D641F" w:rsidRDefault="0098170D" w:rsidP="00B41EAB">
      <w:pPr>
        <w:rPr>
          <w:rFonts w:cs="Calibri"/>
        </w:rPr>
      </w:pPr>
      <w:r w:rsidRPr="001D641F">
        <w:rPr>
          <w:rFonts w:cs="Calibri"/>
        </w:rPr>
        <w:t>The</w:t>
      </w:r>
      <w:r w:rsidR="007524B8">
        <w:rPr>
          <w:rFonts w:cs="Calibri"/>
        </w:rPr>
        <w:t>refore,</w:t>
      </w:r>
      <w:r w:rsidRPr="001D641F">
        <w:rPr>
          <w:rFonts w:cs="Calibri"/>
        </w:rPr>
        <w:t xml:space="preserve"> </w:t>
      </w:r>
      <w:r w:rsidR="007524B8">
        <w:rPr>
          <w:rFonts w:cs="Calibri"/>
        </w:rPr>
        <w:t xml:space="preserve">the </w:t>
      </w:r>
      <w:r w:rsidRPr="001D641F">
        <w:rPr>
          <w:rFonts w:cs="Calibri"/>
        </w:rPr>
        <w:t xml:space="preserve">ccNSO Council </w:t>
      </w:r>
      <w:r w:rsidR="00A40BC2" w:rsidRPr="001D641F">
        <w:rPr>
          <w:rFonts w:cs="Calibri"/>
        </w:rPr>
        <w:t xml:space="preserve">fully supports the amendments proposed by the CWG-Stewardship with respect to the issues identified by the </w:t>
      </w:r>
      <w:r w:rsidR="009C3CA2" w:rsidRPr="001D641F">
        <w:rPr>
          <w:rFonts w:cs="Calibri"/>
        </w:rPr>
        <w:t>ccT</w:t>
      </w:r>
      <w:r w:rsidR="00A40BC2" w:rsidRPr="001D641F">
        <w:rPr>
          <w:rFonts w:cs="Calibri"/>
        </w:rPr>
        <w:t>L</w:t>
      </w:r>
      <w:r w:rsidR="009C3CA2" w:rsidRPr="001D641F">
        <w:rPr>
          <w:rFonts w:cs="Calibri"/>
        </w:rPr>
        <w:t>D</w:t>
      </w:r>
      <w:r w:rsidR="00A40BC2" w:rsidRPr="001D641F">
        <w:rPr>
          <w:rFonts w:cs="Calibri"/>
        </w:rPr>
        <w:t xml:space="preserve"> members and participants. The ccNSO Council trusts these suggested changes will be included in </w:t>
      </w:r>
      <w:r w:rsidR="002F1252" w:rsidRPr="001D641F">
        <w:rPr>
          <w:rFonts w:cs="Calibri"/>
        </w:rPr>
        <w:t>the final and effective version of the IANA Naming Function Agreement</w:t>
      </w:r>
      <w:r w:rsidR="00A40BC2" w:rsidRPr="001D641F">
        <w:rPr>
          <w:rFonts w:cs="Calibri"/>
        </w:rPr>
        <w:t xml:space="preserve">. </w:t>
      </w:r>
    </w:p>
    <w:p w14:paraId="0D3CE3BB" w14:textId="77777777" w:rsidR="001D641F" w:rsidRDefault="001D641F" w:rsidP="00411F19">
      <w:pPr>
        <w:rPr>
          <w:rFonts w:cs="Calibri"/>
        </w:rPr>
      </w:pPr>
    </w:p>
    <w:p w14:paraId="37E8B328" w14:textId="70C6B441" w:rsidR="001D641F" w:rsidRDefault="001D641F" w:rsidP="00411F19">
      <w:pPr>
        <w:rPr>
          <w:rFonts w:cs="Calibri"/>
        </w:rPr>
      </w:pPr>
      <w:r>
        <w:rPr>
          <w:rFonts w:cs="Calibri"/>
        </w:rPr>
        <w:t>Finally</w:t>
      </w:r>
      <w:r w:rsidR="007524B8">
        <w:rPr>
          <w:rFonts w:cs="Calibri"/>
        </w:rPr>
        <w:t>,</w:t>
      </w:r>
      <w:r>
        <w:rPr>
          <w:rFonts w:cs="Calibri"/>
        </w:rPr>
        <w:t xml:space="preserve"> the ccNSO Council congratulates the members and participants in the CWG-Stewardship, its legal advisers, and the ICANN Implementation team with the achieved result to date, despite the pressures from a tight timeline, and difficulty of dealing with parallel processes.</w:t>
      </w:r>
    </w:p>
    <w:p w14:paraId="752DD46E" w14:textId="77777777" w:rsidR="001D641F" w:rsidRDefault="001D641F" w:rsidP="00411F19">
      <w:pPr>
        <w:rPr>
          <w:rFonts w:cs="Calibri"/>
        </w:rPr>
      </w:pPr>
    </w:p>
    <w:p w14:paraId="7A3B6410" w14:textId="77777777" w:rsidR="001D641F" w:rsidRDefault="001D641F" w:rsidP="00411F19">
      <w:pPr>
        <w:rPr>
          <w:rFonts w:cs="Calibri"/>
        </w:rPr>
      </w:pPr>
      <w:r>
        <w:rPr>
          <w:rFonts w:cs="Calibri"/>
        </w:rPr>
        <w:t>On behalf of the ccNSO Council</w:t>
      </w:r>
    </w:p>
    <w:p w14:paraId="537AAD6D" w14:textId="77777777" w:rsidR="001D641F" w:rsidRDefault="001D641F" w:rsidP="00411F19">
      <w:pPr>
        <w:rPr>
          <w:rFonts w:cs="Calibri"/>
        </w:rPr>
      </w:pPr>
    </w:p>
    <w:p w14:paraId="245C12EE" w14:textId="77777777" w:rsidR="001D641F" w:rsidRDefault="001D641F" w:rsidP="00411F19">
      <w:pPr>
        <w:rPr>
          <w:rFonts w:cs="Calibri"/>
        </w:rPr>
      </w:pPr>
    </w:p>
    <w:p w14:paraId="7B4EF040" w14:textId="77777777" w:rsidR="001D641F" w:rsidRDefault="001D641F" w:rsidP="00411F19">
      <w:pPr>
        <w:rPr>
          <w:rFonts w:cs="Calibri"/>
        </w:rPr>
      </w:pPr>
      <w:r>
        <w:rPr>
          <w:rFonts w:cs="Calibri"/>
        </w:rPr>
        <w:t>Katrina Sataki</w:t>
      </w:r>
    </w:p>
    <w:p w14:paraId="1E63C582" w14:textId="77777777" w:rsidR="001D641F" w:rsidRDefault="001D641F" w:rsidP="001D641F">
      <w:r>
        <w:rPr>
          <w:rFonts w:cs="Calibri"/>
        </w:rPr>
        <w:t xml:space="preserve"> (chair)   </w:t>
      </w:r>
    </w:p>
    <w:p w14:paraId="11FE27E3" w14:textId="77777777" w:rsidR="007524B8" w:rsidRDefault="007524B8" w:rsidP="001D641F">
      <w:pPr>
        <w:rPr>
          <w:rFonts w:cs="Cambria"/>
          <w:b/>
          <w:bCs/>
        </w:rPr>
      </w:pPr>
    </w:p>
    <w:p w14:paraId="749CC23F" w14:textId="77777777" w:rsidR="0072642E" w:rsidRPr="001D641F" w:rsidRDefault="0072642E" w:rsidP="001D641F">
      <w:r w:rsidRPr="001D641F">
        <w:rPr>
          <w:rFonts w:cs="Cambria"/>
          <w:b/>
          <w:bCs/>
        </w:rPr>
        <w:lastRenderedPageBreak/>
        <w:t>Annex A</w:t>
      </w:r>
    </w:p>
    <w:p w14:paraId="3CD4E9AA" w14:textId="77777777" w:rsidR="0072642E" w:rsidRPr="001D641F" w:rsidRDefault="0072642E" w:rsidP="0072642E">
      <w:pPr>
        <w:widowControl w:val="0"/>
        <w:autoSpaceDE w:val="0"/>
        <w:autoSpaceDN w:val="0"/>
        <w:adjustRightInd w:val="0"/>
        <w:rPr>
          <w:rFonts w:cs="Cambria"/>
          <w:b/>
          <w:bCs/>
        </w:rPr>
      </w:pPr>
      <w:r w:rsidRPr="001D641F">
        <w:rPr>
          <w:rFonts w:cs="Cambria"/>
          <w:b/>
          <w:bCs/>
        </w:rPr>
        <w:t>Issues Identified by ccTLD members and participants CWG-Stewardship draft IANA Naming Function Agreement (</w:t>
      </w:r>
      <w:hyperlink r:id="rId5" w:history="1">
        <w:r w:rsidRPr="001D641F">
          <w:rPr>
            <w:rStyle w:val="Hyperlink"/>
            <w:rFonts w:cs="Cambria"/>
            <w:b/>
            <w:bCs/>
          </w:rPr>
          <w:t>https://www.icann.org/public-comments/iana-naming-function-agreement-2016-08-10-en)</w:t>
        </w:r>
      </w:hyperlink>
      <w:r w:rsidRPr="001D641F">
        <w:rPr>
          <w:rFonts w:cs="Cambria"/>
          <w:b/>
          <w:bCs/>
        </w:rPr>
        <w:t xml:space="preserve"> </w:t>
      </w:r>
    </w:p>
    <w:p w14:paraId="4F15057C" w14:textId="77777777" w:rsidR="0072642E" w:rsidRPr="001D641F" w:rsidRDefault="0072642E" w:rsidP="0072642E">
      <w:pPr>
        <w:widowControl w:val="0"/>
        <w:autoSpaceDE w:val="0"/>
        <w:autoSpaceDN w:val="0"/>
        <w:adjustRightInd w:val="0"/>
        <w:rPr>
          <w:rFonts w:cs="Cambria"/>
          <w:b/>
          <w:bCs/>
        </w:rPr>
      </w:pPr>
    </w:p>
    <w:p w14:paraId="74804102" w14:textId="77777777" w:rsidR="0072642E" w:rsidRPr="001D641F" w:rsidRDefault="0072642E" w:rsidP="0072642E">
      <w:pPr>
        <w:widowControl w:val="0"/>
        <w:autoSpaceDE w:val="0"/>
        <w:autoSpaceDN w:val="0"/>
        <w:adjustRightInd w:val="0"/>
        <w:rPr>
          <w:rFonts w:cs="Cambria"/>
        </w:rPr>
      </w:pPr>
      <w:r w:rsidRPr="001D641F">
        <w:rPr>
          <w:rFonts w:cs="Cambria"/>
          <w:b/>
          <w:bCs/>
        </w:rPr>
        <w:t>Section 1.1(oo).</w:t>
      </w:r>
      <w:r w:rsidRPr="001D641F">
        <w:rPr>
          <w:rFonts w:cs="Cambria"/>
        </w:rPr>
        <w:t>  In the definition of “Significantly Interested Parties,” the phrase “these parties include, without limitation” should be modified to read “these parties include, but are not limited to” in order to be consistent with the phrasing used in the final FOI report.</w:t>
      </w:r>
    </w:p>
    <w:p w14:paraId="774AD732"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0D2E818B" w14:textId="77777777" w:rsidR="0072642E" w:rsidRPr="001D641F" w:rsidRDefault="0072642E" w:rsidP="0072642E">
      <w:pPr>
        <w:widowControl w:val="0"/>
        <w:autoSpaceDE w:val="0"/>
        <w:autoSpaceDN w:val="0"/>
        <w:adjustRightInd w:val="0"/>
        <w:rPr>
          <w:rFonts w:cs="Cambria"/>
        </w:rPr>
      </w:pPr>
      <w:r w:rsidRPr="001D641F">
        <w:rPr>
          <w:rFonts w:cs="Cambria"/>
          <w:b/>
          <w:bCs/>
        </w:rPr>
        <w:t>Section 4.2</w:t>
      </w:r>
      <w:r w:rsidRPr="001D641F">
        <w:rPr>
          <w:rFonts w:cs="Cambria"/>
        </w:rPr>
        <w:t xml:space="preserve"> requires the Contractor to perform the IANA Naming Function in the US and to demonstrate that all primary operations and systems will remain within the US.  Is additional flexibility needed for remote personnel with operational responsibilities outside the US?</w:t>
      </w:r>
    </w:p>
    <w:p w14:paraId="4C2C6605"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5E52B451" w14:textId="77777777" w:rsidR="0072642E" w:rsidRPr="001D641F" w:rsidRDefault="0072642E" w:rsidP="0072642E">
      <w:pPr>
        <w:widowControl w:val="0"/>
        <w:autoSpaceDE w:val="0"/>
        <w:autoSpaceDN w:val="0"/>
        <w:adjustRightInd w:val="0"/>
        <w:rPr>
          <w:rFonts w:cs="Cambria"/>
        </w:rPr>
      </w:pPr>
      <w:r w:rsidRPr="001D641F">
        <w:rPr>
          <w:rFonts w:cs="Cambria"/>
          <w:b/>
          <w:bCs/>
        </w:rPr>
        <w:t>Section 4.5</w:t>
      </w:r>
      <w:r w:rsidRPr="001D641F">
        <w:rPr>
          <w:rFonts w:cs="Cambria"/>
        </w:rPr>
        <w:t xml:space="preserve"> has an internal reference to Section 12.3, but that section has been deleted.</w:t>
      </w:r>
    </w:p>
    <w:p w14:paraId="25DC73D9"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15551F4E" w14:textId="77777777" w:rsidR="0072642E" w:rsidRPr="001D641F" w:rsidRDefault="0072642E" w:rsidP="0072642E">
      <w:pPr>
        <w:widowControl w:val="0"/>
        <w:autoSpaceDE w:val="0"/>
        <w:autoSpaceDN w:val="0"/>
        <w:adjustRightInd w:val="0"/>
        <w:rPr>
          <w:rFonts w:cs="Cambria"/>
        </w:rPr>
      </w:pPr>
      <w:r w:rsidRPr="001D641F">
        <w:rPr>
          <w:rFonts w:cs="Cambria"/>
          <w:b/>
          <w:bCs/>
        </w:rPr>
        <w:t>Section 4.7</w:t>
      </w:r>
      <w:r w:rsidRPr="001D641F">
        <w:rPr>
          <w:rFonts w:cs="Cambria"/>
        </w:rPr>
        <w:t>.  For the avoidance of doubt, we propose two modest changes:</w:t>
      </w:r>
    </w:p>
    <w:p w14:paraId="7D9EB425"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4C71F437" w14:textId="77777777" w:rsidR="0072642E" w:rsidRPr="001D641F" w:rsidRDefault="0072642E" w:rsidP="0072642E">
      <w:pPr>
        <w:widowControl w:val="0"/>
        <w:autoSpaceDE w:val="0"/>
        <w:autoSpaceDN w:val="0"/>
        <w:adjustRightInd w:val="0"/>
        <w:rPr>
          <w:rFonts w:cs="Cambria"/>
        </w:rPr>
      </w:pPr>
      <w:r w:rsidRPr="001D641F">
        <w:rPr>
          <w:rFonts w:cs="Cambria"/>
        </w:rPr>
        <w:t>1.</w:t>
      </w:r>
      <w:r w:rsidRPr="001D641F">
        <w:rPr>
          <w:rFonts w:cs="Times New Roman"/>
        </w:rPr>
        <w:t xml:space="preserve">     </w:t>
      </w:r>
      <w:r w:rsidRPr="001D641F">
        <w:rPr>
          <w:rFonts w:cs="Cambria"/>
        </w:rPr>
        <w:t xml:space="preserve">The reference to the FOI should read: RFC 1591: </w:t>
      </w:r>
      <w:r w:rsidRPr="001D641F">
        <w:rPr>
          <w:rFonts w:cs="Cambria"/>
          <w:i/>
          <w:iCs/>
        </w:rPr>
        <w:t>Domain Name System Structure and Delegation</w:t>
      </w:r>
      <w:r w:rsidRPr="001D641F">
        <w:rPr>
          <w:rFonts w:cs="Cambria"/>
        </w:rPr>
        <w:t xml:space="preserve"> (“RFC 1591”) as interpreted by the Framework of Interpretation of Current Policies and Guidelines Pertaining to 7 the Delegation and Redelegation of Country-Code Top Level Domain Names, dated October 2014 (“FOI”).</w:t>
      </w:r>
    </w:p>
    <w:p w14:paraId="4AB2B6B9" w14:textId="77777777" w:rsidR="0072642E" w:rsidRPr="001D641F" w:rsidRDefault="0072642E" w:rsidP="0072642E">
      <w:pPr>
        <w:widowControl w:val="0"/>
        <w:autoSpaceDE w:val="0"/>
        <w:autoSpaceDN w:val="0"/>
        <w:adjustRightInd w:val="0"/>
        <w:ind w:left="960" w:hanging="960"/>
        <w:rPr>
          <w:rFonts w:cs="Cambria"/>
        </w:rPr>
      </w:pPr>
      <w:r w:rsidRPr="001D641F">
        <w:rPr>
          <w:rFonts w:cs="Times"/>
        </w:rPr>
        <w:t> </w:t>
      </w:r>
    </w:p>
    <w:p w14:paraId="4518C1C1"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Any subsequent references should read “RFC 1591 as interpreted by the FOI.”</w:t>
      </w:r>
    </w:p>
    <w:p w14:paraId="61CDEE31"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 </w:t>
      </w:r>
    </w:p>
    <w:p w14:paraId="3437A8EA"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2.</w:t>
      </w:r>
      <w:r w:rsidRPr="001D641F">
        <w:rPr>
          <w:rFonts w:cs="Times New Roman"/>
        </w:rPr>
        <w:t xml:space="preserve">     </w:t>
      </w:r>
      <w:r w:rsidRPr="001D641F">
        <w:rPr>
          <w:rFonts w:cs="Cambria"/>
        </w:rPr>
        <w:t>The reference to the GAC Principles should read: “Where applicable in accordance with Section 1.3 thereof, the 2005 Governmental Advisory Committee Principles and Guidelines for the Delgation and Administration of Country Code Top Level Domains (“GAC 2005 ccTLD Principles”).</w:t>
      </w:r>
    </w:p>
    <w:p w14:paraId="5657EE0D"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 </w:t>
      </w:r>
    </w:p>
    <w:p w14:paraId="065448C9"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Any subsequent reference to the GAC Principles should read, “where applicable in accordance with Section 1.3 thereof, the GAC 2005 ccTLD Principles.”</w:t>
      </w:r>
    </w:p>
    <w:p w14:paraId="6A78F53F" w14:textId="77777777" w:rsidR="0072642E" w:rsidRPr="001D641F" w:rsidRDefault="0072642E" w:rsidP="0072642E">
      <w:pPr>
        <w:widowControl w:val="0"/>
        <w:autoSpaceDE w:val="0"/>
        <w:autoSpaceDN w:val="0"/>
        <w:adjustRightInd w:val="0"/>
        <w:ind w:left="960" w:hanging="960"/>
        <w:rPr>
          <w:rFonts w:cs="Cambria"/>
        </w:rPr>
      </w:pPr>
      <w:r w:rsidRPr="001D641F">
        <w:rPr>
          <w:rFonts w:cs="Cambria"/>
        </w:rPr>
        <w:t> </w:t>
      </w:r>
    </w:p>
    <w:p w14:paraId="3D6574DD" w14:textId="77777777" w:rsidR="0072642E" w:rsidRPr="001D641F" w:rsidRDefault="0072642E" w:rsidP="0072642E">
      <w:pPr>
        <w:widowControl w:val="0"/>
        <w:autoSpaceDE w:val="0"/>
        <w:autoSpaceDN w:val="0"/>
        <w:adjustRightInd w:val="0"/>
        <w:rPr>
          <w:rFonts w:cs="Cambria"/>
        </w:rPr>
      </w:pPr>
      <w:r w:rsidRPr="001D641F">
        <w:rPr>
          <w:rFonts w:cs="Cambria"/>
          <w:b/>
          <w:bCs/>
        </w:rPr>
        <w:t>Section 4.10(a).</w:t>
      </w:r>
      <w:r w:rsidRPr="001D641F">
        <w:rPr>
          <w:rFonts w:cs="Cambria"/>
        </w:rPr>
        <w:t>  Is the prohibition on publication of posting of reports and other deliverables practical?  As a minimum, PTI should be permitted to post ordinary, scheduled reports in pre-approved formats without ICANN review.</w:t>
      </w:r>
    </w:p>
    <w:p w14:paraId="7841093D"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720C69E2" w14:textId="77777777" w:rsidR="0072642E" w:rsidRPr="001D641F" w:rsidRDefault="0072642E" w:rsidP="0072642E">
      <w:pPr>
        <w:widowControl w:val="0"/>
        <w:autoSpaceDE w:val="0"/>
        <w:autoSpaceDN w:val="0"/>
        <w:adjustRightInd w:val="0"/>
        <w:rPr>
          <w:rFonts w:cs="Cambria"/>
        </w:rPr>
      </w:pPr>
      <w:r w:rsidRPr="001D641F">
        <w:rPr>
          <w:rFonts w:cs="Cambria"/>
          <w:b/>
          <w:bCs/>
        </w:rPr>
        <w:t>Section 5.3(a)</w:t>
      </w:r>
      <w:r w:rsidRPr="001D641F">
        <w:rPr>
          <w:rFonts w:cs="Cambria"/>
        </w:rPr>
        <w:t xml:space="preserve"> prohibits the Contractor from modifying the zone file or associated information without written authorization from ICANN.  While that may make sense for some things (adding/deleting gTLDs, e.g.,) it can be - and in the past has been -  interpreted to prevent routine changes such as the addition of a new name server by an existing TLD operator.  This would obviously be very problematic</w:t>
      </w:r>
    </w:p>
    <w:p w14:paraId="614705B3"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7CB294F1" w14:textId="77777777" w:rsidR="0072642E" w:rsidRPr="001D641F" w:rsidRDefault="0072642E" w:rsidP="0072642E">
      <w:pPr>
        <w:widowControl w:val="0"/>
        <w:autoSpaceDE w:val="0"/>
        <w:autoSpaceDN w:val="0"/>
        <w:adjustRightInd w:val="0"/>
        <w:rPr>
          <w:rFonts w:cs="Cambria"/>
        </w:rPr>
      </w:pPr>
      <w:r w:rsidRPr="001D641F">
        <w:rPr>
          <w:rFonts w:cs="Cambria"/>
          <w:b/>
          <w:bCs/>
        </w:rPr>
        <w:t>Section 6.1(c)</w:t>
      </w:r>
      <w:r w:rsidRPr="001D641F">
        <w:rPr>
          <w:rFonts w:cs="Cambria"/>
        </w:rPr>
        <w:t xml:space="preserve"> permits the PTI to redact Board minutes containing material that “is subject to a legal obligation that the Contractor maintains its confidentiality.”  There have been recent examples where these kind of confidentiality provisions in ICANN’s contracts with its vendors and consultant prevented community access to information about consultant payments, etc.  Is there a way to minimize these kind of redactions?</w:t>
      </w:r>
    </w:p>
    <w:p w14:paraId="6A08D77C"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703FACA6" w14:textId="77777777" w:rsidR="0072642E" w:rsidRPr="001D641F" w:rsidRDefault="0072642E" w:rsidP="0072642E">
      <w:pPr>
        <w:widowControl w:val="0"/>
        <w:autoSpaceDE w:val="0"/>
        <w:autoSpaceDN w:val="0"/>
        <w:adjustRightInd w:val="0"/>
        <w:rPr>
          <w:rFonts w:cs="Cambria"/>
        </w:rPr>
      </w:pPr>
      <w:r w:rsidRPr="001D641F">
        <w:rPr>
          <w:rFonts w:cs="Cambria"/>
          <w:b/>
          <w:bCs/>
        </w:rPr>
        <w:t>Section 7.1</w:t>
      </w:r>
      <w:r w:rsidRPr="001D641F">
        <w:rPr>
          <w:rFonts w:cs="Cambria"/>
        </w:rPr>
        <w:t xml:space="preserve"> refers to “delegation, redelegation, and transfer of a TLD.  The term “redelegation” should not be used in the context of ccTLDs.  Under the FOI, the terms “Delegation,” “Revocation,” and “Transfer” are defined and used to refer to changes of this sort. </w:t>
      </w:r>
    </w:p>
    <w:p w14:paraId="55CF5F21"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0F815486" w14:textId="77777777" w:rsidR="0072642E" w:rsidRPr="001D641F" w:rsidRDefault="0072642E" w:rsidP="0072642E">
      <w:pPr>
        <w:widowControl w:val="0"/>
        <w:autoSpaceDE w:val="0"/>
        <w:autoSpaceDN w:val="0"/>
        <w:adjustRightInd w:val="0"/>
        <w:rPr>
          <w:rFonts w:cs="Cambria"/>
        </w:rPr>
      </w:pPr>
      <w:r w:rsidRPr="001D641F">
        <w:rPr>
          <w:rFonts w:cs="Cambria"/>
          <w:b/>
          <w:bCs/>
        </w:rPr>
        <w:t>Section 7.3(c)</w:t>
      </w:r>
      <w:r w:rsidRPr="001D641F">
        <w:rPr>
          <w:rFonts w:cs="Cambria"/>
        </w:rPr>
        <w:t xml:space="preserve"> refers to “SCWG,” which is not defined.</w:t>
      </w:r>
    </w:p>
    <w:p w14:paraId="6F9462DB"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2AA16505" w14:textId="77777777" w:rsidR="0072642E" w:rsidRPr="001D641F" w:rsidRDefault="0072642E" w:rsidP="0072642E">
      <w:pPr>
        <w:widowControl w:val="0"/>
        <w:autoSpaceDE w:val="0"/>
        <w:autoSpaceDN w:val="0"/>
        <w:adjustRightInd w:val="0"/>
        <w:rPr>
          <w:rFonts w:cs="Cambria"/>
        </w:rPr>
      </w:pPr>
      <w:r w:rsidRPr="001D641F">
        <w:rPr>
          <w:rFonts w:cs="Cambria"/>
          <w:b/>
          <w:bCs/>
        </w:rPr>
        <w:t>Section 8.1</w:t>
      </w:r>
      <w:r w:rsidRPr="001D641F">
        <w:rPr>
          <w:rFonts w:cs="Cambria"/>
        </w:rPr>
        <w:t xml:space="preserve"> has an internal reference to Section 8.2(a), which does not exist.</w:t>
      </w:r>
    </w:p>
    <w:p w14:paraId="0CAD353B" w14:textId="77777777" w:rsidR="0072642E" w:rsidRPr="001D641F" w:rsidRDefault="0072642E" w:rsidP="0072642E">
      <w:pPr>
        <w:widowControl w:val="0"/>
        <w:autoSpaceDE w:val="0"/>
        <w:autoSpaceDN w:val="0"/>
        <w:adjustRightInd w:val="0"/>
        <w:rPr>
          <w:rFonts w:cs="Cambria"/>
        </w:rPr>
      </w:pPr>
      <w:r w:rsidRPr="001D641F">
        <w:rPr>
          <w:rFonts w:cs="Cambria"/>
          <w:b/>
          <w:bCs/>
        </w:rPr>
        <w:t> </w:t>
      </w:r>
    </w:p>
    <w:p w14:paraId="6BDFC5B0" w14:textId="77777777" w:rsidR="0072642E" w:rsidRPr="001D641F" w:rsidRDefault="0072642E" w:rsidP="0072642E">
      <w:pPr>
        <w:widowControl w:val="0"/>
        <w:autoSpaceDE w:val="0"/>
        <w:autoSpaceDN w:val="0"/>
        <w:adjustRightInd w:val="0"/>
        <w:rPr>
          <w:rFonts w:cs="Cambria"/>
        </w:rPr>
      </w:pPr>
      <w:r w:rsidRPr="001D641F">
        <w:rPr>
          <w:rFonts w:cs="Cambria"/>
          <w:b/>
          <w:bCs/>
        </w:rPr>
        <w:t>Section 9.4</w:t>
      </w:r>
      <w:r w:rsidRPr="001D641F">
        <w:rPr>
          <w:rFonts w:cs="Cambria"/>
        </w:rPr>
        <w:t xml:space="preserve"> contains an internal reference to Section 14.16, which does not exist.</w:t>
      </w:r>
    </w:p>
    <w:p w14:paraId="02AFE60E"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311956F7" w14:textId="77777777" w:rsidR="0072642E" w:rsidRPr="001D641F" w:rsidRDefault="0072642E" w:rsidP="0072642E">
      <w:pPr>
        <w:widowControl w:val="0"/>
        <w:autoSpaceDE w:val="0"/>
        <w:autoSpaceDN w:val="0"/>
        <w:adjustRightInd w:val="0"/>
        <w:rPr>
          <w:rFonts w:cs="Cambria"/>
        </w:rPr>
      </w:pPr>
      <w:r w:rsidRPr="001D641F">
        <w:rPr>
          <w:rFonts w:cs="Cambria"/>
          <w:b/>
          <w:bCs/>
        </w:rPr>
        <w:t>Section 10.1(c)</w:t>
      </w:r>
      <w:r w:rsidRPr="001D641F">
        <w:rPr>
          <w:rFonts w:cs="Cambria"/>
        </w:rPr>
        <w:t xml:space="preserve"> appears to introduce the concept of user fees for IANA Naming Function Services.  How would this work, and are there adequate constraints on ICANN’s ability to approve and PTI’s ability to impose such fees?</w:t>
      </w:r>
    </w:p>
    <w:p w14:paraId="342A1E32" w14:textId="77777777" w:rsidR="0072642E" w:rsidRPr="001D641F" w:rsidRDefault="0072642E" w:rsidP="0072642E">
      <w:pPr>
        <w:widowControl w:val="0"/>
        <w:autoSpaceDE w:val="0"/>
        <w:autoSpaceDN w:val="0"/>
        <w:adjustRightInd w:val="0"/>
        <w:rPr>
          <w:rFonts w:cs="Cambria"/>
        </w:rPr>
      </w:pPr>
      <w:r w:rsidRPr="001D641F">
        <w:rPr>
          <w:rFonts w:cs="Cambria"/>
        </w:rPr>
        <w:t> </w:t>
      </w:r>
    </w:p>
    <w:p w14:paraId="4ED53430" w14:textId="77777777" w:rsidR="0072642E" w:rsidRPr="001D641F" w:rsidRDefault="0072642E" w:rsidP="0072642E">
      <w:pPr>
        <w:widowControl w:val="0"/>
        <w:autoSpaceDE w:val="0"/>
        <w:autoSpaceDN w:val="0"/>
        <w:adjustRightInd w:val="0"/>
        <w:rPr>
          <w:rFonts w:cs="Cambria"/>
        </w:rPr>
      </w:pPr>
      <w:r w:rsidRPr="001D641F">
        <w:rPr>
          <w:rFonts w:cs="Cambria"/>
          <w:b/>
          <w:bCs/>
        </w:rPr>
        <w:t>Section 12.1</w:t>
      </w:r>
      <w:r w:rsidRPr="001D641F">
        <w:rPr>
          <w:rFonts w:cs="Cambria"/>
        </w:rPr>
        <w:t xml:space="preserve"> Confidentiality.  This provision is extremely broad, covering everything ICANN gives Contractor and all data acquired or developed by Contractor in performing the agreement.   Why is this necessary and how can that be reconciled with ICANN’s obligations relating to transparency.  For example, it is not even clear that members of the PTI Board, members of the IFR teams, etc. will have access to PTI information.  In addition, the current draft deletes the previous Section 12.3 (Request for Information).  </w:t>
      </w:r>
    </w:p>
    <w:p w14:paraId="643FEEFA" w14:textId="77777777" w:rsidR="0072642E" w:rsidRPr="001D641F" w:rsidRDefault="0072642E"/>
    <w:sectPr w:rsidR="0072642E" w:rsidRPr="001D641F"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2E"/>
    <w:rsid w:val="001A19DA"/>
    <w:rsid w:val="001D641F"/>
    <w:rsid w:val="002F1252"/>
    <w:rsid w:val="00411F19"/>
    <w:rsid w:val="00451A53"/>
    <w:rsid w:val="004E4166"/>
    <w:rsid w:val="006B04F8"/>
    <w:rsid w:val="006F7D56"/>
    <w:rsid w:val="0072642E"/>
    <w:rsid w:val="007524B8"/>
    <w:rsid w:val="00855843"/>
    <w:rsid w:val="0098170D"/>
    <w:rsid w:val="009C3CA2"/>
    <w:rsid w:val="00A40BC2"/>
    <w:rsid w:val="00A83784"/>
    <w:rsid w:val="00B41EAB"/>
    <w:rsid w:val="00DF7843"/>
    <w:rsid w:val="00E06525"/>
    <w:rsid w:val="00E21A02"/>
    <w:rsid w:val="00E34201"/>
    <w:rsid w:val="00E5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85EF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cann.org/en/system/files/files/proposed-iana-naming-function-agreement-10aug16-en.pdf)" TargetMode="External"/><Relationship Id="rId5" Type="http://schemas.openxmlformats.org/officeDocument/2006/relationships/hyperlink" Target="https://www.icann.org/public-comments/iana-naming-function-agreement-2016-08-10-e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1027</Words>
  <Characters>5860</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dcterms:created xsi:type="dcterms:W3CDTF">2016-09-08T11:52:00Z</dcterms:created>
  <dcterms:modified xsi:type="dcterms:W3CDTF">2016-09-08T11:52:00Z</dcterms:modified>
</cp:coreProperties>
</file>