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87" w:rsidRDefault="00BE0487" w:rsidP="00C26C05">
      <w:pPr>
        <w:rPr>
          <w:szCs w:val="28"/>
          <w:lang w:val="en-US"/>
        </w:rPr>
      </w:pPr>
    </w:p>
    <w:p w:rsidR="00C26C05" w:rsidRPr="00C26C05" w:rsidRDefault="00C26C05" w:rsidP="00C26C05">
      <w:pPr>
        <w:rPr>
          <w:szCs w:val="28"/>
          <w:lang w:val="en-US"/>
        </w:rPr>
      </w:pPr>
      <w:r w:rsidRPr="00C26C05">
        <w:rPr>
          <w:szCs w:val="28"/>
          <w:lang w:val="en-US"/>
        </w:rPr>
        <w:t xml:space="preserve">To: </w:t>
      </w:r>
      <w:proofErr w:type="spellStart"/>
      <w:r w:rsidRPr="00C26C05">
        <w:rPr>
          <w:szCs w:val="28"/>
          <w:lang w:val="en-US"/>
        </w:rPr>
        <w:t>Cherine</w:t>
      </w:r>
      <w:proofErr w:type="spellEnd"/>
      <w:r w:rsidRPr="00C26C05">
        <w:rPr>
          <w:szCs w:val="28"/>
          <w:lang w:val="en-US"/>
        </w:rPr>
        <w:t xml:space="preserve"> </w:t>
      </w:r>
      <w:proofErr w:type="spellStart"/>
      <w:r w:rsidRPr="00C26C05">
        <w:rPr>
          <w:szCs w:val="28"/>
          <w:lang w:val="en-US"/>
        </w:rPr>
        <w:t>Chalaby</w:t>
      </w:r>
      <w:proofErr w:type="spellEnd"/>
      <w:r w:rsidRPr="00C26C05">
        <w:rPr>
          <w:szCs w:val="28"/>
          <w:lang w:val="en-US"/>
        </w:rPr>
        <w:t>, Chair of the ICANN Board of Directors</w:t>
      </w:r>
    </w:p>
    <w:p w:rsidR="00C26C05" w:rsidRPr="00C26C05" w:rsidRDefault="00C26C05" w:rsidP="00C26C05">
      <w:pPr>
        <w:rPr>
          <w:szCs w:val="28"/>
          <w:lang w:val="en-US"/>
        </w:rPr>
      </w:pPr>
    </w:p>
    <w:p w:rsidR="00C26C05" w:rsidRPr="00C26C05" w:rsidRDefault="00C26C05" w:rsidP="00C26C05">
      <w:pPr>
        <w:rPr>
          <w:szCs w:val="28"/>
          <w:lang w:val="en-US"/>
        </w:rPr>
      </w:pPr>
      <w:r w:rsidRPr="00C26C05">
        <w:rPr>
          <w:szCs w:val="28"/>
          <w:lang w:val="en-US"/>
        </w:rPr>
        <w:t xml:space="preserve">Cc: Chris Disspain, Mike Silber, </w:t>
      </w:r>
      <w:proofErr w:type="spellStart"/>
      <w:r w:rsidRPr="00C26C05">
        <w:rPr>
          <w:szCs w:val="28"/>
          <w:lang w:val="en-US"/>
        </w:rPr>
        <w:t>G</w:t>
      </w:r>
      <w:r>
        <w:rPr>
          <w:szCs w:val="28"/>
          <w:lang w:val="en-US"/>
        </w:rPr>
        <w:t>ö</w:t>
      </w:r>
      <w:r w:rsidRPr="00C26C05">
        <w:rPr>
          <w:szCs w:val="28"/>
          <w:lang w:val="en-US"/>
        </w:rPr>
        <w:t>ran</w:t>
      </w:r>
      <w:proofErr w:type="spellEnd"/>
      <w:r w:rsidRPr="00C26C05">
        <w:rPr>
          <w:szCs w:val="28"/>
          <w:lang w:val="en-US"/>
        </w:rPr>
        <w:t xml:space="preserve"> Marby</w:t>
      </w:r>
    </w:p>
    <w:p w:rsidR="00C26C05" w:rsidRDefault="00C26C05" w:rsidP="00C26C05">
      <w:pPr>
        <w:rPr>
          <w:szCs w:val="28"/>
          <w:lang w:val="en-US"/>
        </w:rPr>
      </w:pPr>
    </w:p>
    <w:p w:rsidR="00BE0487" w:rsidRDefault="00BE0487" w:rsidP="00C26C05">
      <w:pPr>
        <w:rPr>
          <w:szCs w:val="28"/>
          <w:lang w:val="en-US"/>
        </w:rPr>
      </w:pPr>
    </w:p>
    <w:p w:rsidR="00BE0487" w:rsidRPr="00C26C05" w:rsidRDefault="00BE0487" w:rsidP="00C26C05">
      <w:pPr>
        <w:rPr>
          <w:szCs w:val="28"/>
          <w:lang w:val="en-US"/>
        </w:rPr>
      </w:pPr>
    </w:p>
    <w:p w:rsidR="00C26C05" w:rsidRDefault="00C26C05" w:rsidP="00C26C05">
      <w:pPr>
        <w:rPr>
          <w:szCs w:val="28"/>
          <w:lang w:val="en-US"/>
        </w:rPr>
      </w:pPr>
      <w:r w:rsidRPr="00C26C05">
        <w:rPr>
          <w:szCs w:val="28"/>
          <w:lang w:val="en-US"/>
        </w:rPr>
        <w:t xml:space="preserve">Dear </w:t>
      </w:r>
      <w:proofErr w:type="spellStart"/>
      <w:r w:rsidRPr="00C26C05">
        <w:rPr>
          <w:szCs w:val="28"/>
          <w:lang w:val="en-US"/>
        </w:rPr>
        <w:t>Cherine</w:t>
      </w:r>
      <w:proofErr w:type="spellEnd"/>
      <w:r>
        <w:rPr>
          <w:szCs w:val="28"/>
          <w:lang w:val="en-US"/>
        </w:rPr>
        <w:t>:</w:t>
      </w:r>
    </w:p>
    <w:p w:rsidR="00C26C05" w:rsidRPr="00C26C05" w:rsidRDefault="00C26C05" w:rsidP="00C26C05">
      <w:pPr>
        <w:rPr>
          <w:szCs w:val="28"/>
          <w:lang w:val="en-US"/>
        </w:rPr>
      </w:pPr>
    </w:p>
    <w:p w:rsidR="00C26C05" w:rsidRDefault="00C26C05" w:rsidP="00C26C05">
      <w:pPr>
        <w:rPr>
          <w:szCs w:val="28"/>
          <w:lang w:val="en-US"/>
        </w:rPr>
      </w:pPr>
      <w:r w:rsidRPr="00C26C05">
        <w:rPr>
          <w:szCs w:val="28"/>
          <w:lang w:val="en-US"/>
        </w:rPr>
        <w:t xml:space="preserve">In response to the November 2017 Board resolution pertaining to the use of </w:t>
      </w:r>
      <w:r>
        <w:rPr>
          <w:szCs w:val="28"/>
          <w:lang w:val="en-US"/>
        </w:rPr>
        <w:t>e</w:t>
      </w:r>
      <w:r w:rsidRPr="00C26C05">
        <w:rPr>
          <w:szCs w:val="28"/>
          <w:lang w:val="en-US"/>
        </w:rPr>
        <w:t xml:space="preserve">moji as second level domains (See: </w:t>
      </w:r>
      <w:hyperlink r:id="rId5" w:anchor="1.e)" w:history="1">
        <w:r w:rsidRPr="00C26C05">
          <w:rPr>
            <w:rStyle w:val="Hyperlink"/>
            <w:szCs w:val="28"/>
            <w:lang w:val="en-US"/>
          </w:rPr>
          <w:t>https://www.icann.org/resources/board-material/resolutions-2017-11-02-en#1.e )</w:t>
        </w:r>
      </w:hyperlink>
      <w:r w:rsidRPr="00C26C05">
        <w:rPr>
          <w:szCs w:val="28"/>
          <w:lang w:val="en-US"/>
        </w:rPr>
        <w:t>, I am pleased to inform you that ccNSO Council has agreed to undertake the following actions:</w:t>
      </w:r>
    </w:p>
    <w:p w:rsidR="00BE0487" w:rsidRPr="00C26C05" w:rsidRDefault="00BE0487" w:rsidP="00C26C05">
      <w:pPr>
        <w:rPr>
          <w:szCs w:val="28"/>
          <w:lang w:val="en-US"/>
        </w:rPr>
      </w:pPr>
    </w:p>
    <w:p w:rsidR="00C26C05" w:rsidRPr="00C26C05" w:rsidRDefault="00C26C05" w:rsidP="00C26C05">
      <w:pPr>
        <w:numPr>
          <w:ilvl w:val="0"/>
          <w:numId w:val="1"/>
        </w:numPr>
        <w:rPr>
          <w:rFonts w:eastAsia="Times New Roman"/>
          <w:szCs w:val="28"/>
          <w:lang w:val="en-US"/>
        </w:rPr>
      </w:pPr>
      <w:r w:rsidRPr="00C26C05">
        <w:rPr>
          <w:rFonts w:eastAsia="Times New Roman"/>
          <w:szCs w:val="28"/>
          <w:lang w:val="en-US"/>
        </w:rPr>
        <w:t>Include a session on the ccNSO meeting agenda, and possibly Tech Day</w:t>
      </w:r>
      <w:r>
        <w:rPr>
          <w:rFonts w:eastAsia="Times New Roman"/>
          <w:szCs w:val="28"/>
          <w:lang w:val="en-US"/>
        </w:rPr>
        <w:t>,</w:t>
      </w:r>
      <w:r w:rsidRPr="00C26C05">
        <w:rPr>
          <w:rFonts w:eastAsia="Times New Roman"/>
          <w:szCs w:val="28"/>
          <w:lang w:val="en-US"/>
        </w:rPr>
        <w:t xml:space="preserve"> where SSAC will be invited to explain the risks on use of emoji as second level domains to the broader ccTLD community;</w:t>
      </w:r>
    </w:p>
    <w:p w:rsidR="00C26C05" w:rsidRPr="00C26C05" w:rsidRDefault="00C26C05" w:rsidP="00C26C05">
      <w:pPr>
        <w:numPr>
          <w:ilvl w:val="0"/>
          <w:numId w:val="2"/>
        </w:numPr>
        <w:rPr>
          <w:rFonts w:eastAsia="Times New Roman"/>
          <w:szCs w:val="28"/>
          <w:lang w:val="en-US"/>
        </w:rPr>
      </w:pPr>
      <w:r w:rsidRPr="00C26C05">
        <w:rPr>
          <w:rFonts w:eastAsia="Times New Roman"/>
          <w:szCs w:val="28"/>
          <w:lang w:val="en-US"/>
        </w:rPr>
        <w:t>Start process of establishing a study group, similar to the study group on wildcarding (</w:t>
      </w:r>
      <w:hyperlink r:id="rId6" w:history="1">
        <w:r w:rsidRPr="00C26C05">
          <w:rPr>
            <w:rStyle w:val="Hyperlink"/>
            <w:rFonts w:eastAsia="Times New Roman"/>
            <w:szCs w:val="28"/>
            <w:lang w:val="en-US"/>
          </w:rPr>
          <w:t>https://ccnso.icann.org/en/workinggroups/wildcardwg.htm</w:t>
        </w:r>
      </w:hyperlink>
      <w:r w:rsidRPr="00C26C05">
        <w:rPr>
          <w:rFonts w:eastAsia="Times New Roman"/>
          <w:szCs w:val="28"/>
          <w:lang w:val="en-US"/>
        </w:rPr>
        <w:t xml:space="preserve">), which effectively resulted in limiting the use of wildcarding by </w:t>
      </w:r>
      <w:proofErr w:type="spellStart"/>
      <w:r w:rsidRPr="00C26C05">
        <w:rPr>
          <w:rFonts w:eastAsia="Times New Roman"/>
          <w:szCs w:val="28"/>
          <w:lang w:val="en-US"/>
        </w:rPr>
        <w:t>ccTLDs</w:t>
      </w:r>
      <w:proofErr w:type="spellEnd"/>
      <w:r>
        <w:rPr>
          <w:rFonts w:eastAsia="Times New Roman"/>
          <w:szCs w:val="28"/>
          <w:lang w:val="en-US"/>
        </w:rPr>
        <w:t>;</w:t>
      </w:r>
    </w:p>
    <w:p w:rsidR="00C26C05" w:rsidRPr="00C26C05" w:rsidRDefault="00C26C05" w:rsidP="00C26C05">
      <w:pPr>
        <w:numPr>
          <w:ilvl w:val="0"/>
          <w:numId w:val="2"/>
        </w:numPr>
        <w:rPr>
          <w:rFonts w:eastAsia="Times New Roman"/>
          <w:szCs w:val="28"/>
          <w:lang w:val="en-US"/>
        </w:rPr>
      </w:pPr>
      <w:r w:rsidRPr="00C26C05">
        <w:rPr>
          <w:rFonts w:eastAsia="Times New Roman"/>
          <w:szCs w:val="28"/>
          <w:lang w:val="en-US"/>
        </w:rPr>
        <w:t xml:space="preserve">Check the references in the current Fast Track documentation and overall recommended policy to understand if and how references to relevant RFCs </w:t>
      </w:r>
      <w:r>
        <w:rPr>
          <w:rFonts w:eastAsia="Times New Roman"/>
          <w:szCs w:val="28"/>
          <w:lang w:val="en-US"/>
        </w:rPr>
        <w:t>are</w:t>
      </w:r>
      <w:r w:rsidRPr="00C26C05">
        <w:rPr>
          <w:rFonts w:eastAsia="Times New Roman"/>
          <w:szCs w:val="28"/>
          <w:lang w:val="en-US"/>
        </w:rPr>
        <w:t xml:space="preserve"> included and need to </w:t>
      </w:r>
      <w:r>
        <w:rPr>
          <w:rFonts w:eastAsia="Times New Roman"/>
          <w:szCs w:val="28"/>
          <w:lang w:val="en-US"/>
        </w:rPr>
        <w:t xml:space="preserve">be </w:t>
      </w:r>
      <w:r w:rsidRPr="00C26C05">
        <w:rPr>
          <w:rFonts w:eastAsia="Times New Roman"/>
          <w:szCs w:val="28"/>
          <w:lang w:val="en-US"/>
        </w:rPr>
        <w:t xml:space="preserve">aligned. </w:t>
      </w:r>
    </w:p>
    <w:p w:rsidR="00BE0487" w:rsidRDefault="00BE0487" w:rsidP="00C26C05">
      <w:pPr>
        <w:rPr>
          <w:szCs w:val="28"/>
          <w:lang w:val="en-US"/>
        </w:rPr>
      </w:pPr>
    </w:p>
    <w:p w:rsidR="00BE0487" w:rsidRDefault="00BE0487" w:rsidP="00C26C05">
      <w:pPr>
        <w:rPr>
          <w:szCs w:val="28"/>
          <w:lang w:val="en-US"/>
        </w:rPr>
      </w:pPr>
    </w:p>
    <w:p w:rsidR="00C26C05" w:rsidRPr="00C26C05" w:rsidRDefault="00C26C05" w:rsidP="00C26C05">
      <w:pPr>
        <w:rPr>
          <w:szCs w:val="28"/>
          <w:lang w:val="en-US"/>
        </w:rPr>
      </w:pPr>
      <w:bookmarkStart w:id="0" w:name="_GoBack"/>
      <w:bookmarkEnd w:id="0"/>
      <w:r w:rsidRPr="00C26C05">
        <w:rPr>
          <w:szCs w:val="28"/>
          <w:lang w:val="en-US"/>
        </w:rPr>
        <w:t>  </w:t>
      </w:r>
    </w:p>
    <w:p w:rsidR="00C26C05" w:rsidRPr="00C26C05" w:rsidRDefault="00C26C05" w:rsidP="00C26C05">
      <w:pPr>
        <w:rPr>
          <w:szCs w:val="28"/>
          <w:lang w:val="en-US"/>
        </w:rPr>
      </w:pPr>
      <w:r w:rsidRPr="00C26C05">
        <w:rPr>
          <w:szCs w:val="28"/>
          <w:lang w:val="en-US"/>
        </w:rPr>
        <w:t>On behalf of the ccNSO</w:t>
      </w:r>
      <w:r>
        <w:rPr>
          <w:szCs w:val="28"/>
          <w:lang w:val="en-US"/>
        </w:rPr>
        <w:t xml:space="preserve"> Council,</w:t>
      </w:r>
    </w:p>
    <w:p w:rsidR="00C26C05" w:rsidRPr="00C26C05" w:rsidRDefault="00C26C05" w:rsidP="00C26C05">
      <w:pPr>
        <w:rPr>
          <w:szCs w:val="28"/>
          <w:lang w:val="en-US"/>
        </w:rPr>
      </w:pPr>
      <w:r w:rsidRPr="00C26C05">
        <w:rPr>
          <w:szCs w:val="28"/>
          <w:lang w:val="en-US"/>
        </w:rPr>
        <w:t> </w:t>
      </w:r>
    </w:p>
    <w:p w:rsidR="00C26C05" w:rsidRPr="00C26C05" w:rsidRDefault="00C26C05" w:rsidP="00C26C05">
      <w:pPr>
        <w:rPr>
          <w:szCs w:val="28"/>
          <w:lang w:val="en-US"/>
        </w:rPr>
      </w:pPr>
      <w:r w:rsidRPr="00C26C05">
        <w:rPr>
          <w:szCs w:val="28"/>
          <w:lang w:val="en-US"/>
        </w:rPr>
        <w:t> </w:t>
      </w:r>
    </w:p>
    <w:p w:rsidR="00C26C05" w:rsidRPr="00C26C05" w:rsidRDefault="00C26C05" w:rsidP="00C26C05">
      <w:pPr>
        <w:rPr>
          <w:szCs w:val="28"/>
          <w:lang w:val="en-US"/>
        </w:rPr>
      </w:pPr>
      <w:r w:rsidRPr="00C26C05">
        <w:rPr>
          <w:szCs w:val="28"/>
          <w:lang w:val="en-US"/>
        </w:rPr>
        <w:t>Katrina Sataki,</w:t>
      </w:r>
    </w:p>
    <w:p w:rsidR="00C26C05" w:rsidRPr="00C26C05" w:rsidRDefault="00C26C05" w:rsidP="00C26C05">
      <w:pPr>
        <w:rPr>
          <w:szCs w:val="28"/>
          <w:lang w:val="en-US"/>
        </w:rPr>
      </w:pPr>
      <w:r w:rsidRPr="00C26C05">
        <w:rPr>
          <w:szCs w:val="28"/>
          <w:lang w:val="en-US"/>
        </w:rPr>
        <w:t>Chair</w:t>
      </w:r>
    </w:p>
    <w:p w:rsidR="00C26C05" w:rsidRDefault="00C26C05" w:rsidP="00C26C05">
      <w:pPr>
        <w:rPr>
          <w:szCs w:val="28"/>
          <w:lang w:val="en-US"/>
        </w:rPr>
      </w:pPr>
    </w:p>
    <w:p w:rsidR="00C26C05" w:rsidRDefault="00C26C05" w:rsidP="00C26C05">
      <w:pPr>
        <w:rPr>
          <w:szCs w:val="28"/>
          <w:lang w:val="en-US"/>
        </w:rPr>
      </w:pPr>
    </w:p>
    <w:sectPr w:rsidR="00C26C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3496D"/>
    <w:multiLevelType w:val="hybridMultilevel"/>
    <w:tmpl w:val="4C58398A"/>
    <w:lvl w:ilvl="0" w:tplc="3B1C26D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C19F6"/>
    <w:multiLevelType w:val="hybridMultilevel"/>
    <w:tmpl w:val="2C30B250"/>
    <w:lvl w:ilvl="0" w:tplc="3B1C26D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05"/>
    <w:rsid w:val="00410705"/>
    <w:rsid w:val="006D5A6E"/>
    <w:rsid w:val="00BE0487"/>
    <w:rsid w:val="00C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FE37D-6B2E-4D94-A3FC-C9DAFE21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C05"/>
    <w:pPr>
      <w:spacing w:after="0" w:line="240" w:lineRule="auto"/>
    </w:pPr>
    <w:rPr>
      <w:rFonts w:ascii="Calibri" w:hAnsi="Calibri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6C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nso.icann.org/en/workinggroups/wildcardwg.htm" TargetMode="External"/><Relationship Id="rId5" Type="http://schemas.openxmlformats.org/officeDocument/2006/relationships/hyperlink" Target="https://www.icann.org/resources/board-material/resolutions-2017-11-02-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Sataki</dc:creator>
  <cp:keywords/>
  <dc:description/>
  <cp:lastModifiedBy>Katrina Sataki</cp:lastModifiedBy>
  <cp:revision>2</cp:revision>
  <dcterms:created xsi:type="dcterms:W3CDTF">2018-01-08T16:42:00Z</dcterms:created>
  <dcterms:modified xsi:type="dcterms:W3CDTF">2018-01-09T10:08:00Z</dcterms:modified>
</cp:coreProperties>
</file>