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5AEE4" w14:textId="77777777" w:rsidR="00DA46D3" w:rsidRPr="00CF57B9" w:rsidRDefault="00DA46D3" w:rsidP="00DA46D3">
      <w:pPr>
        <w:spacing w:after="0"/>
        <w:rPr>
          <w:b/>
          <w:bCs/>
          <w:color w:val="000000"/>
        </w:rPr>
      </w:pPr>
      <w:r w:rsidRPr="00CF57B9">
        <w:rPr>
          <w:b/>
          <w:bCs/>
          <w:color w:val="000000"/>
        </w:rPr>
        <w:t xml:space="preserve">To be sent: </w:t>
      </w:r>
      <w:r w:rsidR="00065946">
        <w:rPr>
          <w:b/>
          <w:bCs/>
          <w:color w:val="000000"/>
        </w:rPr>
        <w:t>2/5/2018</w:t>
      </w:r>
    </w:p>
    <w:p w14:paraId="70034A79" w14:textId="77777777" w:rsidR="00DA46D3" w:rsidRPr="00CF57B9" w:rsidRDefault="00DA46D3" w:rsidP="00DA46D3">
      <w:pPr>
        <w:spacing w:after="0"/>
        <w:rPr>
          <w:color w:val="000000"/>
        </w:rPr>
      </w:pPr>
      <w:r w:rsidRPr="00CF57B9">
        <w:rPr>
          <w:b/>
          <w:bCs/>
          <w:color w:val="000000"/>
        </w:rPr>
        <w:t>Subject</w:t>
      </w:r>
      <w:r w:rsidRPr="00CF57B9">
        <w:rPr>
          <w:color w:val="000000"/>
        </w:rPr>
        <w:t xml:space="preserve">: </w:t>
      </w:r>
      <w:r>
        <w:rPr>
          <w:color w:val="000000"/>
        </w:rPr>
        <w:t>Notification - Upcoming SLA Monitoring System API</w:t>
      </w:r>
    </w:p>
    <w:p w14:paraId="494D0881" w14:textId="77777777" w:rsidR="00DA46D3" w:rsidRPr="00CF57B9" w:rsidRDefault="00DA46D3" w:rsidP="00DA46D3">
      <w:pPr>
        <w:spacing w:after="0"/>
        <w:rPr>
          <w:color w:val="000000"/>
        </w:rPr>
      </w:pPr>
      <w:r w:rsidRPr="00CF57B9">
        <w:rPr>
          <w:b/>
          <w:bCs/>
          <w:color w:val="000000"/>
        </w:rPr>
        <w:t>Recipients</w:t>
      </w:r>
      <w:r w:rsidRPr="00CF57B9">
        <w:rPr>
          <w:color w:val="000000"/>
        </w:rPr>
        <w:t xml:space="preserve">: </w:t>
      </w:r>
      <w:r w:rsidR="002A2420">
        <w:rPr>
          <w:color w:val="000000"/>
        </w:rPr>
        <w:t>ccTLD Mailing List</w:t>
      </w:r>
    </w:p>
    <w:p w14:paraId="2B4C2324" w14:textId="77777777" w:rsidR="00D2343D" w:rsidRDefault="00D2343D" w:rsidP="00D2343D">
      <w:pPr>
        <w:spacing w:after="0" w:line="100" w:lineRule="atLeast"/>
        <w:rPr>
          <w:color w:val="000000"/>
        </w:rPr>
      </w:pPr>
    </w:p>
    <w:p w14:paraId="22ECF399" w14:textId="77777777" w:rsidR="00D2343D" w:rsidRDefault="00D2343D" w:rsidP="00D2343D">
      <w:pPr>
        <w:spacing w:after="0" w:line="100" w:lineRule="atLeast"/>
      </w:pPr>
      <w:r>
        <w:rPr>
          <w:color w:val="000000"/>
        </w:rPr>
        <w:t xml:space="preserve">Dear </w:t>
      </w:r>
      <w:r w:rsidR="00DA46D3">
        <w:rPr>
          <w:color w:val="000000"/>
        </w:rPr>
        <w:t>Colleague</w:t>
      </w:r>
      <w:r>
        <w:rPr>
          <w:color w:val="000000"/>
        </w:rPr>
        <w:t>,</w:t>
      </w:r>
    </w:p>
    <w:p w14:paraId="7749EE0D" w14:textId="77777777" w:rsidR="00D2343D" w:rsidRDefault="00D2343D" w:rsidP="00D2343D">
      <w:pPr>
        <w:spacing w:after="0" w:line="100" w:lineRule="atLeast"/>
      </w:pPr>
    </w:p>
    <w:p w14:paraId="6A3E4EC6" w14:textId="77777777" w:rsidR="00CD0F10" w:rsidRDefault="00077AF1" w:rsidP="00DA46D3">
      <w:r>
        <w:t xml:space="preserve">This is to notify you of a new </w:t>
      </w:r>
      <w:r w:rsidR="00D2343D">
        <w:t xml:space="preserve">ICANN Monitoring System API (MoSAPI) for generic and country code top-level domain (gTLD/ccTLD) registries </w:t>
      </w:r>
      <w:r>
        <w:t>planned for launch during the</w:t>
      </w:r>
      <w:r w:rsidR="00056C99">
        <w:t xml:space="preserve"> first half of</w:t>
      </w:r>
      <w:r w:rsidR="00D2343D">
        <w:t xml:space="preserve"> 2018.</w:t>
      </w:r>
      <w:r w:rsidR="00CD0F10">
        <w:t xml:space="preserve"> You may </w:t>
      </w:r>
      <w:r w:rsidR="002217E6">
        <w:t>consider</w:t>
      </w:r>
      <w:r w:rsidR="00CD0F10">
        <w:t xml:space="preserve"> using this service to </w:t>
      </w:r>
      <w:r w:rsidR="00DA46D3">
        <w:t xml:space="preserve">monitor </w:t>
      </w:r>
      <w:r w:rsidR="002A2420">
        <w:t>the health of your ccTLD</w:t>
      </w:r>
      <w:r w:rsidR="002D59F7">
        <w:t xml:space="preserve"> DNS service</w:t>
      </w:r>
      <w:r w:rsidR="00F31F3C">
        <w:t xml:space="preserve"> in near real-time</w:t>
      </w:r>
      <w:r>
        <w:t>.</w:t>
      </w:r>
    </w:p>
    <w:p w14:paraId="7360EB0D" w14:textId="77777777" w:rsidR="00D2343D" w:rsidRDefault="00CD0F10" w:rsidP="00CF3150">
      <w:r>
        <w:t>The measurements are based on</w:t>
      </w:r>
      <w:r w:rsidR="009C1836">
        <w:t xml:space="preserve"> DNS service availability </w:t>
      </w:r>
      <w:r>
        <w:t xml:space="preserve">as </w:t>
      </w:r>
      <w:r w:rsidR="009C1836">
        <w:t>defin</w:t>
      </w:r>
      <w:r>
        <w:t>ed</w:t>
      </w:r>
      <w:r w:rsidR="009C1836">
        <w:t xml:space="preserve"> in Specification 10 of the </w:t>
      </w:r>
      <w:hyperlink r:id="rId5" w:history="1">
        <w:r w:rsidR="009C1836" w:rsidRPr="009C1836">
          <w:rPr>
            <w:rStyle w:val="Hyperlink"/>
          </w:rPr>
          <w:t>gTLD Base Registry Agreement</w:t>
        </w:r>
      </w:hyperlink>
      <w:r w:rsidR="00AD5BA1">
        <w:t xml:space="preserve"> (</w:t>
      </w:r>
      <w:r w:rsidR="00AD5BA1" w:rsidRPr="00AD5BA1">
        <w:t>for example, the DNS service is considered to be up when all the IP addresses of at least two of the name servers for a given TLD are considered to be up</w:t>
      </w:r>
      <w:r w:rsidR="00AD5BA1">
        <w:t>)</w:t>
      </w:r>
      <w:r w:rsidR="00554B4A">
        <w:t xml:space="preserve">. </w:t>
      </w:r>
      <w:r w:rsidR="003A6EC1">
        <w:t>We</w:t>
      </w:r>
      <w:r w:rsidR="00554B4A" w:rsidRPr="00554B4A">
        <w:t xml:space="preserve"> recognize the gTLD Base Registry Agreement does not apply to ccTLDs, but as a service to the community, the </w:t>
      </w:r>
      <w:r w:rsidR="00554B4A">
        <w:t xml:space="preserve">monitoring </w:t>
      </w:r>
      <w:r w:rsidR="00554B4A" w:rsidRPr="00554B4A">
        <w:t>data</w:t>
      </w:r>
      <w:r w:rsidR="00554B4A">
        <w:t xml:space="preserve"> of the ccTLD</w:t>
      </w:r>
      <w:r w:rsidR="00554B4A" w:rsidRPr="00554B4A">
        <w:t xml:space="preserve"> is available to the ccTLD operator.</w:t>
      </w:r>
    </w:p>
    <w:p w14:paraId="68264BDB" w14:textId="77777777" w:rsidR="00D2343D" w:rsidRDefault="007553D8" w:rsidP="00D2343D">
      <w:pPr>
        <w:spacing w:after="0" w:line="100" w:lineRule="atLeast"/>
      </w:pPr>
      <w:r>
        <w:t>The MoSAPI</w:t>
      </w:r>
      <w:r w:rsidR="00D2343D">
        <w:t xml:space="preserve"> will include the ability to: </w:t>
      </w:r>
    </w:p>
    <w:p w14:paraId="2038ED66" w14:textId="77777777" w:rsidR="00D2343D" w:rsidRDefault="00D2343D" w:rsidP="00D2343D">
      <w:pPr>
        <w:spacing w:after="0" w:line="100" w:lineRule="atLeast"/>
      </w:pPr>
    </w:p>
    <w:p w14:paraId="42F8178E" w14:textId="77777777" w:rsidR="00DA46D3" w:rsidRDefault="00DA46D3" w:rsidP="00DA46D3">
      <w:pPr>
        <w:pStyle w:val="ListParagraph"/>
        <w:numPr>
          <w:ilvl w:val="0"/>
          <w:numId w:val="6"/>
        </w:numPr>
        <w:suppressAutoHyphens w:val="0"/>
        <w:overflowPunct/>
        <w:autoSpaceDE/>
        <w:autoSpaceDN/>
        <w:adjustRightInd/>
        <w:spacing w:line="259" w:lineRule="auto"/>
        <w:contextualSpacing/>
      </w:pPr>
      <w:r>
        <w:t>Monitor the state of a TLD.</w:t>
      </w:r>
    </w:p>
    <w:p w14:paraId="42AC7096" w14:textId="77777777" w:rsidR="00DA46D3" w:rsidRDefault="00DA46D3" w:rsidP="00DA46D3">
      <w:pPr>
        <w:pStyle w:val="ListParagraph"/>
        <w:numPr>
          <w:ilvl w:val="0"/>
          <w:numId w:val="6"/>
        </w:numPr>
        <w:suppressAutoHyphens w:val="0"/>
        <w:overflowPunct/>
        <w:autoSpaceDE/>
        <w:autoSpaceDN/>
        <w:adjustRightInd/>
        <w:spacing w:line="259" w:lineRule="auto"/>
        <w:contextualSpacing/>
      </w:pPr>
      <w:r>
        <w:t>Monitor the alarm status of a service.</w:t>
      </w:r>
    </w:p>
    <w:p w14:paraId="6C6807B3" w14:textId="77777777" w:rsidR="00DA46D3" w:rsidRDefault="00DA46D3" w:rsidP="002217E6">
      <w:pPr>
        <w:pStyle w:val="ListParagraph"/>
        <w:numPr>
          <w:ilvl w:val="0"/>
          <w:numId w:val="6"/>
        </w:numPr>
        <w:suppressAutoHyphens w:val="0"/>
        <w:overflowPunct/>
        <w:autoSpaceDE/>
        <w:autoSpaceDN/>
        <w:adjustRightInd/>
        <w:spacing w:line="259" w:lineRule="auto"/>
        <w:contextualSpacing/>
      </w:pPr>
      <w:r>
        <w:t>Monitor the availability of a service.</w:t>
      </w:r>
    </w:p>
    <w:p w14:paraId="6DFC5CBB" w14:textId="77777777" w:rsidR="00DA46D3" w:rsidRDefault="00DA46D3" w:rsidP="00DA46D3">
      <w:pPr>
        <w:pStyle w:val="ListParagraph"/>
        <w:numPr>
          <w:ilvl w:val="0"/>
          <w:numId w:val="6"/>
        </w:numPr>
        <w:suppressAutoHyphens w:val="0"/>
        <w:overflowPunct/>
        <w:autoSpaceDE/>
        <w:autoSpaceDN/>
        <w:adjustRightInd/>
        <w:spacing w:line="259" w:lineRule="auto"/>
        <w:contextualSpacing/>
      </w:pPr>
      <w:r>
        <w:t>Monitor the state of a particular incident.</w:t>
      </w:r>
    </w:p>
    <w:p w14:paraId="057E51C5" w14:textId="77777777" w:rsidR="00DA46D3" w:rsidRDefault="00DA46D3" w:rsidP="00DA46D3">
      <w:pPr>
        <w:pStyle w:val="ListParagraph"/>
        <w:numPr>
          <w:ilvl w:val="0"/>
          <w:numId w:val="6"/>
        </w:numPr>
        <w:suppressAutoHyphens w:val="0"/>
        <w:overflowPunct/>
        <w:autoSpaceDE/>
        <w:autoSpaceDN/>
        <w:adjustRightInd/>
        <w:spacing w:line="259" w:lineRule="auto"/>
        <w:contextualSpacing/>
      </w:pPr>
      <w:r>
        <w:t>Monitor the false positive flag of an incident.</w:t>
      </w:r>
    </w:p>
    <w:p w14:paraId="5A13B254" w14:textId="77777777" w:rsidR="002217E6" w:rsidRDefault="002217E6" w:rsidP="00DA46D3">
      <w:pPr>
        <w:pStyle w:val="ListParagraph"/>
        <w:numPr>
          <w:ilvl w:val="0"/>
          <w:numId w:val="6"/>
        </w:numPr>
        <w:suppressAutoHyphens w:val="0"/>
        <w:overflowPunct/>
        <w:autoSpaceDE/>
        <w:autoSpaceDN/>
        <w:adjustRightInd/>
        <w:spacing w:line="259" w:lineRule="auto"/>
        <w:contextualSpacing/>
      </w:pPr>
      <w:r>
        <w:t>Query a list of incidents for a service.</w:t>
      </w:r>
    </w:p>
    <w:p w14:paraId="40AD3075" w14:textId="77777777" w:rsidR="00DA46D3" w:rsidRDefault="00DA46D3" w:rsidP="00DA46D3">
      <w:pPr>
        <w:pStyle w:val="ListParagraph"/>
        <w:numPr>
          <w:ilvl w:val="0"/>
          <w:numId w:val="6"/>
        </w:numPr>
        <w:suppressAutoHyphens w:val="0"/>
        <w:overflowPunct/>
        <w:autoSpaceDE/>
        <w:autoSpaceDN/>
        <w:adjustRightInd/>
        <w:spacing w:line="259" w:lineRule="auto"/>
        <w:contextualSpacing/>
      </w:pPr>
      <w:r>
        <w:t>Query the list of measurements for an incident.</w:t>
      </w:r>
    </w:p>
    <w:p w14:paraId="4F28E094" w14:textId="77777777" w:rsidR="00DA46D3" w:rsidRDefault="00DA46D3" w:rsidP="00DA46D3">
      <w:pPr>
        <w:pStyle w:val="ListParagraph"/>
        <w:numPr>
          <w:ilvl w:val="0"/>
          <w:numId w:val="6"/>
        </w:numPr>
        <w:suppressAutoHyphens w:val="0"/>
        <w:overflowPunct/>
        <w:autoSpaceDE/>
        <w:autoSpaceDN/>
        <w:adjustRightInd/>
        <w:spacing w:line="259" w:lineRule="auto"/>
        <w:contextualSpacing/>
      </w:pPr>
      <w:r>
        <w:t>Query the details of a particular measurement.</w:t>
      </w:r>
    </w:p>
    <w:p w14:paraId="6E3C7311" w14:textId="77777777" w:rsidR="00DA46D3" w:rsidRDefault="00DA46D3" w:rsidP="00DA46D3">
      <w:pPr>
        <w:pStyle w:val="ListParagraph"/>
        <w:numPr>
          <w:ilvl w:val="0"/>
          <w:numId w:val="6"/>
        </w:numPr>
        <w:suppressAutoHyphens w:val="0"/>
        <w:overflowPunct/>
        <w:autoSpaceDE/>
        <w:autoSpaceDN/>
        <w:adjustRightInd/>
        <w:spacing w:line="259" w:lineRule="auto"/>
        <w:contextualSpacing/>
      </w:pPr>
      <w:r>
        <w:t xml:space="preserve">Retrieve </w:t>
      </w:r>
      <w:r w:rsidR="007A7C36">
        <w:t xml:space="preserve">the </w:t>
      </w:r>
      <w:r>
        <w:t xml:space="preserve">list of </w:t>
      </w:r>
      <w:r w:rsidR="001C3281">
        <w:t xml:space="preserve">IP addresses used in </w:t>
      </w:r>
      <w:r>
        <w:t>the probe node network.</w:t>
      </w:r>
    </w:p>
    <w:p w14:paraId="20174332" w14:textId="62F5D7F8" w:rsidR="00F31F3C" w:rsidRDefault="00056C99" w:rsidP="00012AEE">
      <w:pPr>
        <w:spacing w:after="0" w:line="100" w:lineRule="atLeast"/>
      </w:pPr>
      <w:r>
        <w:t xml:space="preserve">Beta </w:t>
      </w:r>
      <w:r w:rsidR="00012AEE">
        <w:t xml:space="preserve">testing of the </w:t>
      </w:r>
      <w:r w:rsidR="00012AEE" w:rsidRPr="00A74CA1">
        <w:t>new</w:t>
      </w:r>
      <w:r w:rsidR="00012AEE">
        <w:t xml:space="preserve"> MoSAPI platform </w:t>
      </w:r>
      <w:r w:rsidR="00942535">
        <w:t>began</w:t>
      </w:r>
      <w:r w:rsidR="00946024">
        <w:t xml:space="preserve"> </w:t>
      </w:r>
      <w:r w:rsidR="00FE55A2">
        <w:t>13</w:t>
      </w:r>
      <w:r>
        <w:t xml:space="preserve"> January 2018</w:t>
      </w:r>
      <w:r w:rsidR="00F31F3C">
        <w:t xml:space="preserve"> with pilot users</w:t>
      </w:r>
      <w:r w:rsidR="00012AEE">
        <w:t xml:space="preserve">. </w:t>
      </w:r>
      <w:r w:rsidR="00F31F3C">
        <w:t xml:space="preserve">Participation in the beta program is open to all registries. </w:t>
      </w:r>
      <w:r w:rsidR="00701B02">
        <w:t xml:space="preserve">The technical specification of the system is </w:t>
      </w:r>
      <w:hyperlink r:id="rId6" w:history="1">
        <w:r w:rsidR="00701B02" w:rsidRPr="002C0D3D">
          <w:rPr>
            <w:rStyle w:val="Hyperlink"/>
          </w:rPr>
          <w:t>here</w:t>
        </w:r>
      </w:hyperlink>
      <w:r w:rsidR="002C0D3D">
        <w:t>.</w:t>
      </w:r>
    </w:p>
    <w:p w14:paraId="37799DEC" w14:textId="77777777" w:rsidR="00F31F3C" w:rsidRDefault="00F31F3C" w:rsidP="00012AEE">
      <w:pPr>
        <w:spacing w:after="0" w:line="100" w:lineRule="atLeast"/>
      </w:pPr>
    </w:p>
    <w:p w14:paraId="4FAC2885" w14:textId="77777777" w:rsidR="00012AEE" w:rsidRDefault="00012AEE" w:rsidP="00012AEE">
      <w:pPr>
        <w:spacing w:after="0" w:line="100" w:lineRule="atLeast"/>
      </w:pPr>
      <w:r>
        <w:t xml:space="preserve">The </w:t>
      </w:r>
      <w:r w:rsidR="00056C99">
        <w:t xml:space="preserve">beta </w:t>
      </w:r>
      <w:r w:rsidR="00CE1D1E">
        <w:t>program</w:t>
      </w:r>
      <w:r>
        <w:t xml:space="preserve"> is intended </w:t>
      </w:r>
      <w:r w:rsidR="002217E6">
        <w:t>for</w:t>
      </w:r>
      <w:r>
        <w:t xml:space="preserve"> users to test the new interface. </w:t>
      </w:r>
      <w:bookmarkStart w:id="0" w:name="_GoBack"/>
      <w:r>
        <w:t xml:space="preserve">Feedback from the </w:t>
      </w:r>
      <w:r w:rsidR="00885109">
        <w:t xml:space="preserve">beta program </w:t>
      </w:r>
      <w:r>
        <w:t xml:space="preserve">will be used to address issues uncovered during testing prior to </w:t>
      </w:r>
      <w:r w:rsidR="00942535">
        <w:t xml:space="preserve">the production version </w:t>
      </w:r>
      <w:r>
        <w:t>launch</w:t>
      </w:r>
      <w:r w:rsidR="00942535">
        <w:t>.</w:t>
      </w:r>
    </w:p>
    <w:bookmarkEnd w:id="0"/>
    <w:p w14:paraId="1A9B6297" w14:textId="77777777" w:rsidR="00B329B8" w:rsidRDefault="00B329B8" w:rsidP="00B329B8">
      <w:pPr>
        <w:spacing w:after="0" w:line="100" w:lineRule="atLeast"/>
      </w:pPr>
    </w:p>
    <w:p w14:paraId="4E221E43" w14:textId="4767C297" w:rsidR="00FE55A2" w:rsidRDefault="00041111" w:rsidP="002E38BA">
      <w:pPr>
        <w:spacing w:after="0" w:line="100" w:lineRule="atLeast"/>
      </w:pPr>
      <w:r>
        <w:t xml:space="preserve">To </w:t>
      </w:r>
      <w:r w:rsidR="00942535">
        <w:t>request</w:t>
      </w:r>
      <w:r>
        <w:t xml:space="preserve"> </w:t>
      </w:r>
      <w:r w:rsidR="003A6B7D">
        <w:t xml:space="preserve">access </w:t>
      </w:r>
      <w:r w:rsidR="00942535">
        <w:t>for</w:t>
      </w:r>
      <w:r w:rsidR="003A6B7D">
        <w:t xml:space="preserve"> the MoSAPI</w:t>
      </w:r>
      <w:r w:rsidR="00942535">
        <w:t xml:space="preserve"> beta program</w:t>
      </w:r>
      <w:r w:rsidR="00B0485B">
        <w:t>,</w:t>
      </w:r>
      <w:r w:rsidR="003A6B7D">
        <w:t xml:space="preserve"> please </w:t>
      </w:r>
      <w:r w:rsidR="002A2420">
        <w:t>contact the ICANN Global Support Center</w:t>
      </w:r>
      <w:r>
        <w:t xml:space="preserve"> using the contact details below</w:t>
      </w:r>
      <w:r w:rsidR="00F31F3C">
        <w:t>.</w:t>
      </w:r>
      <w:r w:rsidR="003953D4">
        <w:t xml:space="preserve"> Please state the ccTLD for which you are requesting access. ICANN will contact the administrative and technical contacts of the ccTLD </w:t>
      </w:r>
      <w:r w:rsidR="00701B02">
        <w:t>as listed in the IANA Root Database to validate the information and provide access.</w:t>
      </w:r>
    </w:p>
    <w:p w14:paraId="72A10567" w14:textId="77777777" w:rsidR="00930D38" w:rsidRDefault="00930D38" w:rsidP="002E38BA">
      <w:pPr>
        <w:spacing w:after="0" w:line="100" w:lineRule="atLeast"/>
      </w:pPr>
    </w:p>
    <w:p w14:paraId="437C94C3" w14:textId="77777777" w:rsidR="002E38BA" w:rsidRDefault="00EE637C" w:rsidP="002E38BA">
      <w:pPr>
        <w:spacing w:after="0" w:line="100" w:lineRule="atLeast"/>
        <w:rPr>
          <w:color w:val="008080"/>
        </w:rPr>
      </w:pPr>
      <w:r>
        <w:t xml:space="preserve">More information about </w:t>
      </w:r>
      <w:r w:rsidR="002E38BA">
        <w:t xml:space="preserve">MoSAPI </w:t>
      </w:r>
      <w:r>
        <w:t xml:space="preserve">is available by viewing this </w:t>
      </w:r>
      <w:r w:rsidR="002E38BA">
        <w:t xml:space="preserve">presentation </w:t>
      </w:r>
      <w:r>
        <w:t xml:space="preserve">and </w:t>
      </w:r>
      <w:r w:rsidR="002E38BA">
        <w:t xml:space="preserve">audio recording from the ICANN60 session </w:t>
      </w:r>
      <w:hyperlink r:id="rId7" w:history="1">
        <w:r w:rsidR="002E38BA" w:rsidRPr="00EE637C">
          <w:rPr>
            <w:rStyle w:val="Hyperlink"/>
          </w:rPr>
          <w:t>here</w:t>
        </w:r>
      </w:hyperlink>
      <w:r w:rsidR="002E38BA">
        <w:rPr>
          <w:color w:val="008080"/>
        </w:rPr>
        <w:t>.</w:t>
      </w:r>
    </w:p>
    <w:p w14:paraId="1D63D5EF" w14:textId="77777777" w:rsidR="00D2343D" w:rsidRDefault="00D2343D" w:rsidP="00D2343D">
      <w:pPr>
        <w:spacing w:after="0" w:line="100" w:lineRule="atLeast"/>
        <w:rPr>
          <w:color w:val="008080"/>
        </w:rPr>
      </w:pPr>
    </w:p>
    <w:p w14:paraId="1A12E42E" w14:textId="77777777" w:rsidR="00CF3150" w:rsidRDefault="00CF3150" w:rsidP="00CF3150">
      <w:pPr>
        <w:spacing w:after="0" w:line="240" w:lineRule="auto"/>
        <w:rPr>
          <w:color w:val="000000"/>
        </w:rPr>
      </w:pPr>
      <w:r>
        <w:t>If you have questions or would like to provide beta testing feedback</w:t>
      </w:r>
      <w:r w:rsidR="008265BF">
        <w:t>,</w:t>
      </w:r>
      <w:r>
        <w:t xml:space="preserve"> </w:t>
      </w:r>
      <w:r>
        <w:rPr>
          <w:color w:val="000000"/>
        </w:rPr>
        <w:t xml:space="preserve">please contact ICANN’s Global Support Center by </w:t>
      </w:r>
      <w:hyperlink r:id="rId8" w:history="1">
        <w:r w:rsidRPr="00CD146A">
          <w:rPr>
            <w:rStyle w:val="Hyperlink"/>
          </w:rPr>
          <w:t>email</w:t>
        </w:r>
      </w:hyperlink>
      <w:r>
        <w:rPr>
          <w:color w:val="000000"/>
        </w:rPr>
        <w:t xml:space="preserve"> or at one of the phone numbers found </w:t>
      </w:r>
      <w:hyperlink r:id="rId9" w:history="1">
        <w:r w:rsidRPr="009A35B8">
          <w:rPr>
            <w:rStyle w:val="Hyperlink"/>
          </w:rPr>
          <w:t>here</w:t>
        </w:r>
      </w:hyperlink>
      <w:r>
        <w:rPr>
          <w:color w:val="000000"/>
        </w:rPr>
        <w:t>.</w:t>
      </w:r>
    </w:p>
    <w:p w14:paraId="61C86E95" w14:textId="77777777" w:rsidR="00D2343D" w:rsidRDefault="00D2343D" w:rsidP="00D2343D">
      <w:pPr>
        <w:spacing w:after="0" w:line="100" w:lineRule="atLeast"/>
        <w:rPr>
          <w:color w:val="008080"/>
        </w:rPr>
      </w:pPr>
    </w:p>
    <w:p w14:paraId="61473AF8" w14:textId="77777777" w:rsidR="00D2343D" w:rsidRDefault="00D2343D" w:rsidP="00D2343D">
      <w:pPr>
        <w:spacing w:after="0" w:line="100" w:lineRule="atLeast"/>
        <w:rPr>
          <w:color w:val="000000"/>
        </w:rPr>
      </w:pPr>
      <w:r>
        <w:rPr>
          <w:color w:val="000000"/>
        </w:rPr>
        <w:t>Best regards</w:t>
      </w:r>
      <w:r w:rsidR="00885109">
        <w:rPr>
          <w:color w:val="000000"/>
        </w:rPr>
        <w:t>,</w:t>
      </w:r>
    </w:p>
    <w:p w14:paraId="04AE2B11" w14:textId="77777777" w:rsidR="00D2343D" w:rsidRDefault="00D2343D" w:rsidP="00D2343D">
      <w:pPr>
        <w:spacing w:after="0" w:line="100" w:lineRule="atLeast"/>
        <w:rPr>
          <w:color w:val="000000"/>
        </w:rPr>
      </w:pPr>
      <w:r>
        <w:rPr>
          <w:color w:val="000000"/>
        </w:rPr>
        <w:t> </w:t>
      </w:r>
    </w:p>
    <w:p w14:paraId="28B6DF07" w14:textId="77777777" w:rsidR="00D2343D" w:rsidRDefault="00D2343D" w:rsidP="00D2343D">
      <w:pPr>
        <w:spacing w:after="0" w:line="100" w:lineRule="atLeast"/>
        <w:rPr>
          <w:color w:val="000000"/>
        </w:rPr>
      </w:pPr>
      <w:r>
        <w:rPr>
          <w:color w:val="000000"/>
        </w:rPr>
        <w:lastRenderedPageBreak/>
        <w:t>GDD Technical Services and Registry Services Teams</w:t>
      </w:r>
    </w:p>
    <w:p w14:paraId="0A96DDB2" w14:textId="77777777" w:rsidR="00D2343D" w:rsidRDefault="00D2343D" w:rsidP="00D2343D">
      <w:pPr>
        <w:spacing w:after="0" w:line="100" w:lineRule="atLeast"/>
        <w:rPr>
          <w:color w:val="000000"/>
        </w:rPr>
      </w:pPr>
      <w:r>
        <w:rPr>
          <w:color w:val="000000"/>
        </w:rPr>
        <w:t>Global Domains Division</w:t>
      </w:r>
    </w:p>
    <w:p w14:paraId="58C3BA72" w14:textId="77777777" w:rsidR="00D2343D" w:rsidRDefault="00D2343D" w:rsidP="00D2343D">
      <w:r>
        <w:rPr>
          <w:color w:val="000000"/>
        </w:rPr>
        <w:t>ICANN</w:t>
      </w:r>
    </w:p>
    <w:sectPr w:rsidR="00D23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948263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321638B2"/>
    <w:multiLevelType w:val="hybridMultilevel"/>
    <w:tmpl w:val="A962B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867BF"/>
    <w:multiLevelType w:val="hybridMultilevel"/>
    <w:tmpl w:val="96A4B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26FE2"/>
    <w:multiLevelType w:val="hybridMultilevel"/>
    <w:tmpl w:val="25546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QyMjG1NLMwMzU2tDBT0lEKTi0uzszPAykwrAUArag4fywAAAA="/>
  </w:docVars>
  <w:rsids>
    <w:rsidRoot w:val="00D2343D"/>
    <w:rsid w:val="00012AEE"/>
    <w:rsid w:val="00014680"/>
    <w:rsid w:val="000402E8"/>
    <w:rsid w:val="00041111"/>
    <w:rsid w:val="00056C99"/>
    <w:rsid w:val="00065946"/>
    <w:rsid w:val="00077AF1"/>
    <w:rsid w:val="00082016"/>
    <w:rsid w:val="00085FAE"/>
    <w:rsid w:val="000B4A6A"/>
    <w:rsid w:val="000D0CDD"/>
    <w:rsid w:val="000E250B"/>
    <w:rsid w:val="001252BF"/>
    <w:rsid w:val="00132C46"/>
    <w:rsid w:val="0017219A"/>
    <w:rsid w:val="001C3281"/>
    <w:rsid w:val="001C455E"/>
    <w:rsid w:val="001D7B4D"/>
    <w:rsid w:val="002217E6"/>
    <w:rsid w:val="0023680A"/>
    <w:rsid w:val="00274332"/>
    <w:rsid w:val="00275CB1"/>
    <w:rsid w:val="002821B5"/>
    <w:rsid w:val="002A2420"/>
    <w:rsid w:val="002B58C8"/>
    <w:rsid w:val="002C0D3D"/>
    <w:rsid w:val="002D59F7"/>
    <w:rsid w:val="002E38BA"/>
    <w:rsid w:val="002E44B8"/>
    <w:rsid w:val="00301FF8"/>
    <w:rsid w:val="00326FFE"/>
    <w:rsid w:val="00391AE9"/>
    <w:rsid w:val="003953D4"/>
    <w:rsid w:val="003A6B7D"/>
    <w:rsid w:val="003A6EC1"/>
    <w:rsid w:val="00493616"/>
    <w:rsid w:val="004B5108"/>
    <w:rsid w:val="004F1FF2"/>
    <w:rsid w:val="00554B4A"/>
    <w:rsid w:val="005D34E6"/>
    <w:rsid w:val="005E5B2C"/>
    <w:rsid w:val="005E6D0C"/>
    <w:rsid w:val="005F7B01"/>
    <w:rsid w:val="00642182"/>
    <w:rsid w:val="006663A0"/>
    <w:rsid w:val="006811A7"/>
    <w:rsid w:val="00691C76"/>
    <w:rsid w:val="006C2874"/>
    <w:rsid w:val="006F15F3"/>
    <w:rsid w:val="006F7089"/>
    <w:rsid w:val="00701B02"/>
    <w:rsid w:val="007553D8"/>
    <w:rsid w:val="00766803"/>
    <w:rsid w:val="00796DBE"/>
    <w:rsid w:val="007A48F7"/>
    <w:rsid w:val="007A6763"/>
    <w:rsid w:val="007A7C36"/>
    <w:rsid w:val="007B3D91"/>
    <w:rsid w:val="007B60F4"/>
    <w:rsid w:val="007C0DB0"/>
    <w:rsid w:val="007C7185"/>
    <w:rsid w:val="007D4FA0"/>
    <w:rsid w:val="007F55EE"/>
    <w:rsid w:val="00803959"/>
    <w:rsid w:val="00810DDB"/>
    <w:rsid w:val="008265BF"/>
    <w:rsid w:val="00885109"/>
    <w:rsid w:val="00893269"/>
    <w:rsid w:val="008B17CB"/>
    <w:rsid w:val="008D12D0"/>
    <w:rsid w:val="00904D1E"/>
    <w:rsid w:val="00930D38"/>
    <w:rsid w:val="00942535"/>
    <w:rsid w:val="00946024"/>
    <w:rsid w:val="00954A21"/>
    <w:rsid w:val="00996AFC"/>
    <w:rsid w:val="009C1836"/>
    <w:rsid w:val="009F16AA"/>
    <w:rsid w:val="00A070AD"/>
    <w:rsid w:val="00A07ED0"/>
    <w:rsid w:val="00A23D15"/>
    <w:rsid w:val="00A30D17"/>
    <w:rsid w:val="00A35D5E"/>
    <w:rsid w:val="00A64557"/>
    <w:rsid w:val="00A74CA1"/>
    <w:rsid w:val="00A7596C"/>
    <w:rsid w:val="00AB4398"/>
    <w:rsid w:val="00AD5BA1"/>
    <w:rsid w:val="00AD76F0"/>
    <w:rsid w:val="00B0485B"/>
    <w:rsid w:val="00B108EC"/>
    <w:rsid w:val="00B272DD"/>
    <w:rsid w:val="00B329B8"/>
    <w:rsid w:val="00B62862"/>
    <w:rsid w:val="00BF3B37"/>
    <w:rsid w:val="00C0606D"/>
    <w:rsid w:val="00C22B86"/>
    <w:rsid w:val="00C713FB"/>
    <w:rsid w:val="00C716DF"/>
    <w:rsid w:val="00CD0F10"/>
    <w:rsid w:val="00CE1D1E"/>
    <w:rsid w:val="00CE76BC"/>
    <w:rsid w:val="00CF3150"/>
    <w:rsid w:val="00D2343D"/>
    <w:rsid w:val="00D4096E"/>
    <w:rsid w:val="00D506A5"/>
    <w:rsid w:val="00D65A4B"/>
    <w:rsid w:val="00D760C9"/>
    <w:rsid w:val="00DA2FAD"/>
    <w:rsid w:val="00DA46D3"/>
    <w:rsid w:val="00DB4ABF"/>
    <w:rsid w:val="00DE3DDA"/>
    <w:rsid w:val="00E04A67"/>
    <w:rsid w:val="00E34DBE"/>
    <w:rsid w:val="00E4165F"/>
    <w:rsid w:val="00EA6628"/>
    <w:rsid w:val="00EB393C"/>
    <w:rsid w:val="00EE0FC0"/>
    <w:rsid w:val="00EE637C"/>
    <w:rsid w:val="00F31F3C"/>
    <w:rsid w:val="00F9416F"/>
    <w:rsid w:val="00FD7AAC"/>
    <w:rsid w:val="00FE55A2"/>
    <w:rsid w:val="00FF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F58B06"/>
  <w15:chartTrackingRefBased/>
  <w15:docId w15:val="{9618BD69-AF1A-4F72-AB5A-99C164E7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343D"/>
    <w:pPr>
      <w:suppressAutoHyphens/>
      <w:overflowPunct w:val="0"/>
      <w:autoSpaceDE w:val="0"/>
      <w:autoSpaceDN w:val="0"/>
      <w:adjustRightInd w:val="0"/>
      <w:spacing w:line="252" w:lineRule="auto"/>
    </w:pPr>
    <w:rPr>
      <w:rFonts w:ascii="Calibri" w:eastAsia="Times New Roman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2343D"/>
    <w:rPr>
      <w:noProof w:val="0"/>
      <w:color w:val="008080"/>
      <w:u w:val="single"/>
    </w:rPr>
  </w:style>
  <w:style w:type="paragraph" w:styleId="ListParagraph">
    <w:name w:val="List Paragraph"/>
    <w:basedOn w:val="Normal"/>
    <w:uiPriority w:val="34"/>
    <w:qFormat/>
    <w:rsid w:val="00D2343D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A759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596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596C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9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96C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96C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0DB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46024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C1836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301FF8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D3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1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obalsupport@icann.org?subject=Probe%20Node%20IP%20Address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edule.icann.org/event/CbFm/icann-gdd-monitoring-system-api-mosapi-for-registr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ann.org/en/system/files/files/mosapi-pilot-28nov17-en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gtlds.icann.org/sites/default/files/agreements/agreement-approved-31jul17-en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cann.org/resources/pages/customer-support-2015-06-22-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 Champagne</dc:creator>
  <cp:keywords/>
  <dc:description/>
  <cp:lastModifiedBy>Joke Braeken</cp:lastModifiedBy>
  <cp:revision>2</cp:revision>
  <cp:lastPrinted>2018-02-05T23:11:00Z</cp:lastPrinted>
  <dcterms:created xsi:type="dcterms:W3CDTF">2018-02-07T13:23:00Z</dcterms:created>
  <dcterms:modified xsi:type="dcterms:W3CDTF">2018-02-07T13:23:00Z</dcterms:modified>
</cp:coreProperties>
</file>