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C3199" w14:textId="68C5AE34" w:rsidR="00B47C55" w:rsidRDefault="00CB03D7">
      <w:pPr>
        <w:jc w:val="center"/>
        <w:rPr>
          <w:b/>
          <w:sz w:val="32"/>
          <w:szCs w:val="32"/>
        </w:rPr>
      </w:pPr>
      <w:r>
        <w:rPr>
          <w:b/>
          <w:sz w:val="32"/>
          <w:szCs w:val="32"/>
        </w:rPr>
        <w:t xml:space="preserve">ICANN Nominating Committee </w:t>
      </w:r>
      <w:r>
        <w:rPr>
          <w:b/>
          <w:sz w:val="32"/>
          <w:szCs w:val="32"/>
        </w:rPr>
        <w:t>Delegates</w:t>
      </w:r>
    </w:p>
    <w:p w14:paraId="16776FB6" w14:textId="77777777" w:rsidR="00B47C55" w:rsidRDefault="00CB03D7">
      <w:pPr>
        <w:jc w:val="center"/>
        <w:rPr>
          <w:b/>
          <w:sz w:val="32"/>
          <w:szCs w:val="32"/>
        </w:rPr>
      </w:pPr>
      <w:r>
        <w:rPr>
          <w:b/>
          <w:sz w:val="32"/>
          <w:szCs w:val="32"/>
        </w:rPr>
        <w:t xml:space="preserve">2021 Job Description </w:t>
      </w:r>
    </w:p>
    <w:p w14:paraId="7F054446" w14:textId="77777777" w:rsidR="00B47C55" w:rsidRDefault="00B47C55">
      <w:pPr>
        <w:jc w:val="center"/>
        <w:rPr>
          <w:b/>
          <w:sz w:val="32"/>
          <w:szCs w:val="32"/>
        </w:rPr>
      </w:pPr>
    </w:p>
    <w:p w14:paraId="08192340" w14:textId="335C45E8" w:rsidR="00B47C55" w:rsidRDefault="00CB03D7">
      <w:pPr>
        <w:rPr>
          <w:b/>
          <w:sz w:val="22"/>
          <w:szCs w:val="22"/>
        </w:rPr>
      </w:pPr>
      <w:r>
        <w:rPr>
          <w:b/>
          <w:sz w:val="22"/>
          <w:szCs w:val="22"/>
        </w:rPr>
        <w:t xml:space="preserve">The ICANN Nominating Committee consists of </w:t>
      </w:r>
      <w:r>
        <w:rPr>
          <w:b/>
          <w:sz w:val="22"/>
          <w:szCs w:val="22"/>
        </w:rPr>
        <w:t>15 voting and 6 non-voting delegates</w:t>
      </w:r>
      <w:r>
        <w:rPr>
          <w:b/>
          <w:sz w:val="22"/>
          <w:szCs w:val="22"/>
        </w:rPr>
        <w:t xml:space="preserve"> appointed </w:t>
      </w:r>
      <w:r>
        <w:rPr>
          <w:b/>
          <w:sz w:val="22"/>
          <w:szCs w:val="22"/>
        </w:rPr>
        <w:t xml:space="preserve">by various ICANN Supporting Organizations and Constituencies.  </w:t>
      </w:r>
    </w:p>
    <w:p w14:paraId="4769FE6E" w14:textId="77777777" w:rsidR="00B47C55" w:rsidRDefault="00B47C55"/>
    <w:p w14:paraId="485293EF" w14:textId="77777777" w:rsidR="00B47C55" w:rsidRDefault="00CB03D7">
      <w:pPr>
        <w:pBdr>
          <w:top w:val="nil"/>
          <w:left w:val="nil"/>
          <w:bottom w:val="nil"/>
          <w:right w:val="nil"/>
          <w:between w:val="nil"/>
        </w:pBdr>
        <w:rPr>
          <w:color w:val="000000"/>
          <w:sz w:val="28"/>
          <w:szCs w:val="28"/>
        </w:rPr>
      </w:pPr>
      <w:r>
        <w:rPr>
          <w:b/>
          <w:color w:val="000000"/>
          <w:sz w:val="28"/>
          <w:szCs w:val="28"/>
        </w:rPr>
        <w:t>About the Nominating Committee</w:t>
      </w:r>
    </w:p>
    <w:p w14:paraId="230206BA" w14:textId="77777777" w:rsidR="00B47C55" w:rsidRDefault="00B47C55">
      <w:pPr>
        <w:rPr>
          <w:sz w:val="22"/>
          <w:szCs w:val="22"/>
        </w:rPr>
      </w:pPr>
    </w:p>
    <w:p w14:paraId="1FC8CB50" w14:textId="77777777" w:rsidR="00B47C55" w:rsidRDefault="00CB03D7">
      <w:pPr>
        <w:rPr>
          <w:sz w:val="22"/>
          <w:szCs w:val="22"/>
        </w:rPr>
      </w:pPr>
      <w:r>
        <w:rPr>
          <w:sz w:val="22"/>
          <w:szCs w:val="22"/>
        </w:rPr>
        <w:t xml:space="preserve">Per the </w:t>
      </w:r>
      <w:hyperlink r:id="rId5" w:anchor="article8.1">
        <w:r>
          <w:rPr>
            <w:color w:val="0563C1"/>
            <w:sz w:val="22"/>
            <w:szCs w:val="22"/>
            <w:u w:val="single"/>
          </w:rPr>
          <w:t>ICANN Bylaws article 8.1</w:t>
        </w:r>
      </w:hyperlink>
      <w:r>
        <w:rPr>
          <w:sz w:val="22"/>
          <w:szCs w:val="22"/>
        </w:rPr>
        <w:t>, there shall be a Nominating Committee of ICANN ("</w:t>
      </w:r>
      <w:r>
        <w:rPr>
          <w:b/>
          <w:sz w:val="22"/>
          <w:szCs w:val="22"/>
        </w:rPr>
        <w:t>Nominating Committee</w:t>
      </w:r>
      <w:r>
        <w:rPr>
          <w:sz w:val="22"/>
          <w:szCs w:val="22"/>
        </w:rPr>
        <w:t>"), responsible for nominating all Directors except the President and those Directors nominated by Decisional Participants; for nominating two directors of PTI (in accordance with the articles of incorporation and bylaws of the Public Technical Identifiers</w:t>
      </w:r>
      <w:r>
        <w:rPr>
          <w:sz w:val="22"/>
          <w:szCs w:val="22"/>
        </w:rPr>
        <w:t xml:space="preserve"> body); and for such other selections as are set forth in these Bylaws. Notification of the Nominating Committee's Director nominations shall be given by the Nominating Committee Chair in writing to the EC </w:t>
      </w:r>
      <w:r>
        <w:rPr>
          <w:sz w:val="22"/>
          <w:szCs w:val="22"/>
        </w:rPr>
        <w:t xml:space="preserve">(Empowered </w:t>
      </w:r>
      <w:proofErr w:type="gramStart"/>
      <w:r>
        <w:rPr>
          <w:sz w:val="22"/>
          <w:szCs w:val="22"/>
        </w:rPr>
        <w:t>Community) </w:t>
      </w:r>
      <w:r>
        <w:rPr>
          <w:sz w:val="22"/>
          <w:szCs w:val="22"/>
        </w:rPr>
        <w:t> Administration</w:t>
      </w:r>
      <w:proofErr w:type="gramEnd"/>
      <w:r>
        <w:rPr>
          <w:sz w:val="22"/>
          <w:szCs w:val="22"/>
        </w:rPr>
        <w:t>, with a copy</w:t>
      </w:r>
      <w:r>
        <w:rPr>
          <w:sz w:val="22"/>
          <w:szCs w:val="22"/>
        </w:rPr>
        <w:t xml:space="preserve"> to the Secretary, and the EC shall promptly act on it as provided in </w:t>
      </w:r>
      <w:r>
        <w:rPr>
          <w:sz w:val="22"/>
          <w:szCs w:val="22"/>
          <w:u w:val="single"/>
        </w:rPr>
        <w:t>Section 7.25</w:t>
      </w:r>
      <w:r>
        <w:rPr>
          <w:sz w:val="22"/>
          <w:szCs w:val="22"/>
        </w:rPr>
        <w:t>. Notification of the Nominating Committee's PTI director nomination shall be given to the Secretary.</w:t>
      </w:r>
    </w:p>
    <w:p w14:paraId="752C8950" w14:textId="77777777" w:rsidR="00B47C55" w:rsidRDefault="00B47C55">
      <w:pPr>
        <w:rPr>
          <w:sz w:val="22"/>
          <w:szCs w:val="22"/>
        </w:rPr>
      </w:pPr>
    </w:p>
    <w:p w14:paraId="489CA651" w14:textId="77777777" w:rsidR="00B47C55" w:rsidRDefault="00CB03D7">
      <w:pPr>
        <w:rPr>
          <w:color w:val="000000"/>
          <w:sz w:val="22"/>
          <w:szCs w:val="22"/>
        </w:rPr>
      </w:pPr>
      <w:r>
        <w:rPr>
          <w:color w:val="000000"/>
          <w:sz w:val="22"/>
          <w:szCs w:val="22"/>
        </w:rPr>
        <w:t>Specific criteria and requirements regarding the Nominating Committee (</w:t>
      </w:r>
      <w:r>
        <w:rPr>
          <w:color w:val="000000"/>
          <w:sz w:val="22"/>
          <w:szCs w:val="22"/>
        </w:rPr>
        <w:t xml:space="preserve">“NomCom”) composition and NomCom delegates are outlined in the ICANN Bylaws in </w:t>
      </w:r>
      <w:hyperlink r:id="rId6" w:anchor="article8">
        <w:r>
          <w:rPr>
            <w:color w:val="0563C1"/>
            <w:sz w:val="22"/>
            <w:szCs w:val="22"/>
            <w:u w:val="single"/>
          </w:rPr>
          <w:t>Article 8, Sections 8.2 and 8.4 </w:t>
        </w:r>
      </w:hyperlink>
      <w:r>
        <w:rPr>
          <w:color w:val="000000"/>
          <w:sz w:val="22"/>
          <w:szCs w:val="22"/>
        </w:rPr>
        <w:t>, which are incorporated below in the job descriptio</w:t>
      </w:r>
      <w:r>
        <w:rPr>
          <w:color w:val="000000"/>
          <w:sz w:val="22"/>
          <w:szCs w:val="22"/>
        </w:rPr>
        <w:t>n.</w:t>
      </w:r>
    </w:p>
    <w:p w14:paraId="3CA54CC4" w14:textId="77777777" w:rsidR="00B47C55" w:rsidRDefault="00B47C55">
      <w:pPr>
        <w:rPr>
          <w:color w:val="000000"/>
          <w:sz w:val="22"/>
          <w:szCs w:val="22"/>
        </w:rPr>
      </w:pPr>
    </w:p>
    <w:p w14:paraId="2C7EBECA" w14:textId="1717E8E8" w:rsidR="00B47C55" w:rsidRDefault="00CB03D7">
      <w:pPr>
        <w:rPr>
          <w:sz w:val="22"/>
          <w:szCs w:val="22"/>
        </w:rPr>
      </w:pPr>
      <w:r>
        <w:rPr>
          <w:sz w:val="22"/>
          <w:szCs w:val="22"/>
        </w:rPr>
        <w:t>The NomCom</w:t>
      </w:r>
      <w:r>
        <w:rPr>
          <w:sz w:val="22"/>
          <w:szCs w:val="22"/>
        </w:rPr>
        <w:t xml:space="preserve"> also has a </w:t>
      </w:r>
      <w:hyperlink r:id="rId7" w:history="1">
        <w:r>
          <w:rPr>
            <w:color w:val="1155CC"/>
            <w:sz w:val="22"/>
            <w:szCs w:val="22"/>
            <w:u w:val="single"/>
          </w:rPr>
          <w:t>procedure </w:t>
        </w:r>
      </w:hyperlink>
      <w:r>
        <w:rPr>
          <w:sz w:val="22"/>
          <w:szCs w:val="22"/>
        </w:rPr>
        <w:t xml:space="preserve">document for reference that provides additional information about the work of the NomCom. </w:t>
      </w:r>
    </w:p>
    <w:p w14:paraId="156A1F15" w14:textId="77777777" w:rsidR="00B47C55" w:rsidRDefault="00B47C55">
      <w:pPr>
        <w:rPr>
          <w:sz w:val="22"/>
          <w:szCs w:val="22"/>
        </w:rPr>
      </w:pPr>
    </w:p>
    <w:p w14:paraId="233717FC" w14:textId="0B4EBA0E" w:rsidR="00B47C55" w:rsidRDefault="00CB03D7">
      <w:pPr>
        <w:rPr>
          <w:sz w:val="22"/>
          <w:szCs w:val="22"/>
        </w:rPr>
      </w:pPr>
      <w:r>
        <w:rPr>
          <w:sz w:val="22"/>
          <w:szCs w:val="22"/>
        </w:rPr>
        <w:t>The 202</w:t>
      </w:r>
      <w:r>
        <w:rPr>
          <w:sz w:val="22"/>
          <w:szCs w:val="22"/>
        </w:rPr>
        <w:t>2</w:t>
      </w:r>
      <w:r>
        <w:rPr>
          <w:sz w:val="22"/>
          <w:szCs w:val="22"/>
        </w:rPr>
        <w:t xml:space="preserve"> NomCom will be selecting </w:t>
      </w:r>
      <w:r>
        <w:rPr>
          <w:i/>
          <w:sz w:val="22"/>
          <w:szCs w:val="22"/>
        </w:rPr>
        <w:t>X-ICANN Board, X-PTI Board, X-ALAC, X-GNSO, and X-</w:t>
      </w:r>
      <w:proofErr w:type="spellStart"/>
      <w:r>
        <w:rPr>
          <w:i/>
          <w:sz w:val="22"/>
          <w:szCs w:val="22"/>
        </w:rPr>
        <w:t>ccNSO</w:t>
      </w:r>
      <w:proofErr w:type="spellEnd"/>
      <w:r>
        <w:rPr>
          <w:i/>
          <w:sz w:val="22"/>
          <w:szCs w:val="22"/>
        </w:rPr>
        <w:t>.</w:t>
      </w:r>
    </w:p>
    <w:p w14:paraId="139FF099" w14:textId="77777777" w:rsidR="00B47C55" w:rsidRDefault="00B47C55">
      <w:pPr>
        <w:rPr>
          <w:sz w:val="22"/>
          <w:szCs w:val="22"/>
        </w:rPr>
      </w:pPr>
    </w:p>
    <w:p w14:paraId="79DDCD15" w14:textId="77777777" w:rsidR="00B47C55" w:rsidRDefault="00CB03D7">
      <w:pPr>
        <w:pBdr>
          <w:top w:val="nil"/>
          <w:left w:val="nil"/>
          <w:bottom w:val="nil"/>
          <w:right w:val="nil"/>
          <w:between w:val="nil"/>
        </w:pBdr>
        <w:rPr>
          <w:color w:val="000000"/>
          <w:sz w:val="28"/>
          <w:szCs w:val="28"/>
        </w:rPr>
      </w:pPr>
      <w:r>
        <w:rPr>
          <w:b/>
          <w:color w:val="000000"/>
          <w:sz w:val="28"/>
          <w:szCs w:val="28"/>
        </w:rPr>
        <w:t xml:space="preserve">Term of </w:t>
      </w:r>
      <w:r>
        <w:rPr>
          <w:b/>
          <w:sz w:val="28"/>
          <w:szCs w:val="28"/>
        </w:rPr>
        <w:t>E</w:t>
      </w:r>
      <w:r>
        <w:rPr>
          <w:b/>
          <w:color w:val="000000"/>
          <w:sz w:val="28"/>
          <w:szCs w:val="28"/>
        </w:rPr>
        <w:t>ligibility</w:t>
      </w:r>
    </w:p>
    <w:p w14:paraId="4D11A4FA" w14:textId="77777777" w:rsidR="00B47C55" w:rsidRDefault="00B47C55">
      <w:pPr>
        <w:rPr>
          <w:sz w:val="22"/>
          <w:szCs w:val="22"/>
        </w:rPr>
      </w:pPr>
    </w:p>
    <w:p w14:paraId="38F2D886" w14:textId="66447500" w:rsidR="00B47C55" w:rsidRDefault="00CB03D7">
      <w:pPr>
        <w:numPr>
          <w:ilvl w:val="0"/>
          <w:numId w:val="2"/>
        </w:numPr>
        <w:pBdr>
          <w:top w:val="nil"/>
          <w:left w:val="nil"/>
          <w:bottom w:val="nil"/>
          <w:right w:val="nil"/>
          <w:between w:val="nil"/>
        </w:pBdr>
        <w:rPr>
          <w:color w:val="000000"/>
          <w:sz w:val="22"/>
          <w:szCs w:val="22"/>
        </w:rPr>
      </w:pPr>
      <w:r>
        <w:rPr>
          <w:sz w:val="22"/>
          <w:szCs w:val="22"/>
        </w:rPr>
        <w:t xml:space="preserve">NomCom </w:t>
      </w:r>
      <w:r>
        <w:rPr>
          <w:sz w:val="22"/>
          <w:szCs w:val="22"/>
        </w:rPr>
        <w:t>voting delegates</w:t>
      </w:r>
      <w:r>
        <w:rPr>
          <w:color w:val="000000"/>
          <w:sz w:val="22"/>
          <w:szCs w:val="22"/>
        </w:rPr>
        <w:t xml:space="preserve"> </w:t>
      </w:r>
      <w:r>
        <w:rPr>
          <w:color w:val="000000"/>
          <w:sz w:val="22"/>
          <w:szCs w:val="22"/>
        </w:rPr>
        <w:t>shall serve one-year terms and may serve at most two successive one-year terms, after which at least two years must elapse before the individual is eligible to serve another term.</w:t>
      </w:r>
    </w:p>
    <w:p w14:paraId="57694E04" w14:textId="77777777" w:rsidR="00B47C55" w:rsidRDefault="00CB03D7">
      <w:pPr>
        <w:numPr>
          <w:ilvl w:val="0"/>
          <w:numId w:val="2"/>
        </w:numPr>
        <w:pBdr>
          <w:top w:val="nil"/>
          <w:left w:val="nil"/>
          <w:bottom w:val="nil"/>
          <w:right w:val="nil"/>
          <w:between w:val="nil"/>
        </w:pBdr>
        <w:rPr>
          <w:sz w:val="20"/>
          <w:szCs w:val="20"/>
        </w:rPr>
      </w:pPr>
      <w:r>
        <w:rPr>
          <w:color w:val="000000"/>
          <w:sz w:val="22"/>
          <w:szCs w:val="22"/>
        </w:rPr>
        <w:t>Non-voting liaisons shall serve during the term designated by the entity that appoints them. The Chair, the Chair-Elect, and any Associate Chair shall serve as such until the conclusion of the next ICANN annual meeting.</w:t>
      </w:r>
    </w:p>
    <w:p w14:paraId="028FFA0F" w14:textId="75716A8E" w:rsidR="00B47C55" w:rsidRPr="00CB03D7" w:rsidRDefault="00B47C55" w:rsidP="00CB03D7">
      <w:pPr>
        <w:pBdr>
          <w:top w:val="nil"/>
          <w:left w:val="nil"/>
          <w:bottom w:val="nil"/>
          <w:right w:val="nil"/>
          <w:between w:val="nil"/>
        </w:pBdr>
        <w:ind w:left="360"/>
        <w:rPr>
          <w:color w:val="000000"/>
          <w:sz w:val="22"/>
          <w:szCs w:val="22"/>
        </w:rPr>
      </w:pPr>
    </w:p>
    <w:p w14:paraId="6878B20A" w14:textId="77777777" w:rsidR="00B47C55" w:rsidRDefault="00CB03D7">
      <w:pPr>
        <w:pBdr>
          <w:top w:val="nil"/>
          <w:left w:val="nil"/>
          <w:bottom w:val="nil"/>
          <w:right w:val="nil"/>
          <w:between w:val="nil"/>
        </w:pBdr>
        <w:rPr>
          <w:color w:val="000000"/>
          <w:sz w:val="28"/>
          <w:szCs w:val="28"/>
        </w:rPr>
      </w:pPr>
      <w:r>
        <w:rPr>
          <w:b/>
          <w:color w:val="000000"/>
          <w:sz w:val="28"/>
          <w:szCs w:val="28"/>
        </w:rPr>
        <w:t>Key Responsibilities and Duties</w:t>
      </w:r>
    </w:p>
    <w:p w14:paraId="79532A5C" w14:textId="77777777" w:rsidR="00B47C55" w:rsidRDefault="00B47C55">
      <w:pPr>
        <w:rPr>
          <w:sz w:val="22"/>
          <w:szCs w:val="22"/>
        </w:rPr>
      </w:pPr>
    </w:p>
    <w:p w14:paraId="068CFE84" w14:textId="77777777" w:rsidR="00B47C55" w:rsidRDefault="00CB03D7">
      <w:pPr>
        <w:numPr>
          <w:ilvl w:val="0"/>
          <w:numId w:val="2"/>
        </w:numPr>
        <w:rPr>
          <w:sz w:val="22"/>
          <w:szCs w:val="22"/>
        </w:rPr>
      </w:pPr>
      <w:r>
        <w:rPr>
          <w:sz w:val="22"/>
          <w:szCs w:val="22"/>
        </w:rPr>
        <w:t>Act independently and in the larger public inte</w:t>
      </w:r>
      <w:r>
        <w:rPr>
          <w:sz w:val="22"/>
          <w:szCs w:val="22"/>
        </w:rPr>
        <w:t>rest and not act as representatives of, nor lobby or advance the interest of any particular Organization, Group or Committee, in particular with respect to the assessment and selection of candidates</w:t>
      </w:r>
    </w:p>
    <w:p w14:paraId="6A0CC16D" w14:textId="77777777" w:rsidR="00B47C55" w:rsidRDefault="00CB03D7">
      <w:pPr>
        <w:numPr>
          <w:ilvl w:val="0"/>
          <w:numId w:val="2"/>
        </w:numPr>
        <w:rPr>
          <w:sz w:val="22"/>
          <w:szCs w:val="22"/>
        </w:rPr>
      </w:pPr>
      <w:r>
        <w:rPr>
          <w:sz w:val="22"/>
          <w:szCs w:val="22"/>
        </w:rPr>
        <w:t>Engage in outreach, recruitment, and information gatherin</w:t>
      </w:r>
      <w:r>
        <w:rPr>
          <w:sz w:val="22"/>
          <w:szCs w:val="22"/>
        </w:rPr>
        <w:t>g</w:t>
      </w:r>
    </w:p>
    <w:p w14:paraId="06656AA3" w14:textId="12F17760" w:rsidR="00B47C55" w:rsidRDefault="00CB03D7">
      <w:pPr>
        <w:numPr>
          <w:ilvl w:val="0"/>
          <w:numId w:val="2"/>
        </w:numPr>
        <w:rPr>
          <w:sz w:val="22"/>
          <w:szCs w:val="22"/>
        </w:rPr>
      </w:pPr>
      <w:r>
        <w:rPr>
          <w:sz w:val="22"/>
          <w:szCs w:val="22"/>
        </w:rPr>
        <w:t xml:space="preserve">Read the submitted and gathered information about each candidate under consideration; to participate in both deliberations about individual candidates and construction of slates of candidates that will fulfill the requirements for each of the leadership </w:t>
      </w:r>
      <w:r>
        <w:rPr>
          <w:sz w:val="22"/>
          <w:szCs w:val="22"/>
        </w:rPr>
        <w:t xml:space="preserve">bodies for which the NomCom selects </w:t>
      </w:r>
      <w:r>
        <w:rPr>
          <w:sz w:val="22"/>
          <w:szCs w:val="22"/>
        </w:rPr>
        <w:t>delegates</w:t>
      </w:r>
    </w:p>
    <w:p w14:paraId="7BB8A23D" w14:textId="77777777" w:rsidR="00B47C55" w:rsidRDefault="00CB03D7">
      <w:pPr>
        <w:numPr>
          <w:ilvl w:val="0"/>
          <w:numId w:val="2"/>
        </w:numPr>
        <w:rPr>
          <w:sz w:val="22"/>
          <w:szCs w:val="22"/>
        </w:rPr>
      </w:pPr>
      <w:r>
        <w:rPr>
          <w:sz w:val="22"/>
          <w:szCs w:val="22"/>
        </w:rPr>
        <w:t>Participate in NomCom teleconferences</w:t>
      </w:r>
    </w:p>
    <w:p w14:paraId="7534F2BF" w14:textId="77777777" w:rsidR="00B47C55" w:rsidRDefault="00CB03D7">
      <w:pPr>
        <w:numPr>
          <w:ilvl w:val="0"/>
          <w:numId w:val="2"/>
        </w:numPr>
        <w:rPr>
          <w:sz w:val="22"/>
          <w:szCs w:val="22"/>
        </w:rPr>
      </w:pPr>
      <w:r>
        <w:rPr>
          <w:sz w:val="22"/>
          <w:szCs w:val="22"/>
        </w:rPr>
        <w:t>Work diligently with NomCom colleagues toward an overall consensus on the best possible group of candidates to be selected</w:t>
      </w:r>
    </w:p>
    <w:p w14:paraId="0B517B82" w14:textId="77777777" w:rsidR="00B47C55" w:rsidRDefault="00CB03D7">
      <w:pPr>
        <w:numPr>
          <w:ilvl w:val="0"/>
          <w:numId w:val="2"/>
        </w:numPr>
        <w:rPr>
          <w:sz w:val="22"/>
          <w:szCs w:val="22"/>
        </w:rPr>
      </w:pPr>
      <w:r>
        <w:rPr>
          <w:sz w:val="22"/>
          <w:szCs w:val="22"/>
        </w:rPr>
        <w:lastRenderedPageBreak/>
        <w:t>Adhere to the ICANN Code of Conduct</w:t>
      </w:r>
    </w:p>
    <w:p w14:paraId="4FFBCFEA" w14:textId="77777777" w:rsidR="00B47C55" w:rsidRDefault="00CB03D7">
      <w:pPr>
        <w:numPr>
          <w:ilvl w:val="0"/>
          <w:numId w:val="2"/>
        </w:numPr>
        <w:pBdr>
          <w:top w:val="nil"/>
          <w:left w:val="nil"/>
          <w:bottom w:val="nil"/>
          <w:right w:val="nil"/>
          <w:between w:val="nil"/>
        </w:pBdr>
        <w:rPr>
          <w:color w:val="000000"/>
          <w:sz w:val="22"/>
          <w:szCs w:val="22"/>
        </w:rPr>
      </w:pPr>
      <w:r>
        <w:rPr>
          <w:color w:val="000000"/>
          <w:sz w:val="22"/>
          <w:szCs w:val="22"/>
        </w:rPr>
        <w:t>Provid</w:t>
      </w:r>
      <w:r>
        <w:rPr>
          <w:color w:val="000000"/>
          <w:sz w:val="22"/>
          <w:szCs w:val="22"/>
        </w:rPr>
        <w:t xml:space="preserve">e brief reports to its respective </w:t>
      </w:r>
      <w:r>
        <w:rPr>
          <w:i/>
          <w:color w:val="000000"/>
          <w:sz w:val="22"/>
          <w:szCs w:val="22"/>
        </w:rPr>
        <w:t>SO/AC</w:t>
      </w:r>
      <w:r>
        <w:rPr>
          <w:color w:val="000000"/>
          <w:sz w:val="22"/>
          <w:szCs w:val="22"/>
        </w:rPr>
        <w:t xml:space="preserve"> on relevant issues considered by the Nominating Committee, as Nominating Committee confidentiality permits.</w:t>
      </w:r>
    </w:p>
    <w:p w14:paraId="0A642BDD" w14:textId="77777777" w:rsidR="00B47C55" w:rsidRDefault="00B47C55">
      <w:pPr>
        <w:rPr>
          <w:sz w:val="22"/>
          <w:szCs w:val="22"/>
        </w:rPr>
      </w:pPr>
    </w:p>
    <w:p w14:paraId="3FF36752" w14:textId="77777777" w:rsidR="00B47C55" w:rsidRDefault="00CB03D7">
      <w:pPr>
        <w:pBdr>
          <w:top w:val="nil"/>
          <w:left w:val="nil"/>
          <w:bottom w:val="nil"/>
          <w:right w:val="nil"/>
          <w:between w:val="nil"/>
        </w:pBdr>
        <w:rPr>
          <w:b/>
          <w:color w:val="000000"/>
          <w:sz w:val="22"/>
          <w:szCs w:val="22"/>
        </w:rPr>
      </w:pPr>
      <w:r>
        <w:rPr>
          <w:b/>
          <w:sz w:val="28"/>
          <w:szCs w:val="28"/>
        </w:rPr>
        <w:t>Time Commitment</w:t>
      </w:r>
    </w:p>
    <w:p w14:paraId="77CF8ACE" w14:textId="77777777" w:rsidR="00B47C55" w:rsidRDefault="00B47C55">
      <w:pPr>
        <w:pBdr>
          <w:top w:val="nil"/>
          <w:left w:val="nil"/>
          <w:bottom w:val="nil"/>
          <w:right w:val="nil"/>
          <w:between w:val="nil"/>
        </w:pBdr>
        <w:ind w:left="360" w:hanging="720"/>
        <w:rPr>
          <w:color w:val="000000"/>
          <w:sz w:val="22"/>
          <w:szCs w:val="22"/>
        </w:rPr>
      </w:pPr>
    </w:p>
    <w:p w14:paraId="700CEEC1" w14:textId="77777777" w:rsidR="00B47C55" w:rsidRDefault="00CB03D7">
      <w:pPr>
        <w:numPr>
          <w:ilvl w:val="0"/>
          <w:numId w:val="2"/>
        </w:numPr>
        <w:pBdr>
          <w:top w:val="nil"/>
          <w:left w:val="nil"/>
          <w:bottom w:val="nil"/>
          <w:right w:val="nil"/>
          <w:between w:val="nil"/>
        </w:pBdr>
        <w:rPr>
          <w:color w:val="000000"/>
          <w:sz w:val="22"/>
          <w:szCs w:val="22"/>
        </w:rPr>
      </w:pPr>
      <w:r>
        <w:rPr>
          <w:color w:val="000000"/>
          <w:sz w:val="22"/>
          <w:szCs w:val="22"/>
        </w:rPr>
        <w:t xml:space="preserve">The </w:t>
      </w:r>
      <w:r>
        <w:rPr>
          <w:sz w:val="22"/>
          <w:szCs w:val="22"/>
        </w:rPr>
        <w:t xml:space="preserve">member </w:t>
      </w:r>
      <w:r>
        <w:rPr>
          <w:color w:val="000000"/>
          <w:sz w:val="22"/>
          <w:szCs w:val="22"/>
        </w:rPr>
        <w:t>should be able to join monthly teleconferences (typically 15:00 or 16:00 UTC).  Note that the committee's workload usually increases significantly during Apr/May/June when the candidate assessment process will be at its busiest. Conference calls are held m</w:t>
      </w:r>
      <w:r>
        <w:rPr>
          <w:color w:val="000000"/>
          <w:sz w:val="22"/>
          <w:szCs w:val="22"/>
        </w:rPr>
        <w:t>ore frequently (typically weekly and the duration of the calls may last up to 3 hours) during this time as well.</w:t>
      </w:r>
    </w:p>
    <w:p w14:paraId="6D6AA5A9" w14:textId="29FEC7EF" w:rsidR="00B47C55" w:rsidRDefault="00CB03D7" w:rsidP="00CB03D7">
      <w:pPr>
        <w:numPr>
          <w:ilvl w:val="0"/>
          <w:numId w:val="2"/>
        </w:numPr>
        <w:pBdr>
          <w:top w:val="nil"/>
          <w:left w:val="nil"/>
          <w:bottom w:val="nil"/>
          <w:right w:val="nil"/>
          <w:between w:val="nil"/>
        </w:pBdr>
        <w:rPr>
          <w:color w:val="000000"/>
          <w:sz w:val="22"/>
          <w:szCs w:val="22"/>
        </w:rPr>
      </w:pPr>
      <w:r>
        <w:rPr>
          <w:color w:val="000000"/>
          <w:sz w:val="22"/>
          <w:szCs w:val="22"/>
        </w:rPr>
        <w:t xml:space="preserve">All </w:t>
      </w:r>
      <w:r>
        <w:rPr>
          <w:color w:val="000000"/>
          <w:sz w:val="22"/>
          <w:szCs w:val="22"/>
        </w:rPr>
        <w:t xml:space="preserve">NomCom </w:t>
      </w:r>
      <w:r>
        <w:rPr>
          <w:color w:val="000000"/>
          <w:sz w:val="22"/>
          <w:szCs w:val="22"/>
        </w:rPr>
        <w:t>delegates</w:t>
      </w:r>
      <w:r>
        <w:rPr>
          <w:color w:val="000000"/>
          <w:sz w:val="22"/>
          <w:szCs w:val="22"/>
        </w:rPr>
        <w:t xml:space="preserve"> should be able to attend </w:t>
      </w:r>
      <w:r>
        <w:rPr>
          <w:color w:val="000000"/>
          <w:sz w:val="22"/>
          <w:szCs w:val="22"/>
        </w:rPr>
        <w:t xml:space="preserve">all </w:t>
      </w:r>
      <w:r>
        <w:rPr>
          <w:color w:val="000000"/>
          <w:sz w:val="22"/>
          <w:szCs w:val="22"/>
        </w:rPr>
        <w:t xml:space="preserve">ICANN meetings </w:t>
      </w:r>
      <w:r>
        <w:rPr>
          <w:color w:val="000000"/>
          <w:sz w:val="22"/>
          <w:szCs w:val="22"/>
        </w:rPr>
        <w:t xml:space="preserve">and all officially scheduled NomCom committee meetings  </w:t>
      </w:r>
    </w:p>
    <w:p w14:paraId="2F6236D0" w14:textId="77777777" w:rsidR="00B47C55" w:rsidRDefault="00B47C55">
      <w:pPr>
        <w:ind w:left="360"/>
        <w:rPr>
          <w:sz w:val="22"/>
          <w:szCs w:val="22"/>
        </w:rPr>
      </w:pPr>
    </w:p>
    <w:p w14:paraId="65DD8B1F" w14:textId="77777777" w:rsidR="00B47C55" w:rsidRDefault="00CB03D7">
      <w:pPr>
        <w:ind w:left="720"/>
        <w:rPr>
          <w:sz w:val="22"/>
          <w:szCs w:val="22"/>
          <w:u w:val="single"/>
        </w:rPr>
      </w:pPr>
      <w:r>
        <w:rPr>
          <w:sz w:val="22"/>
          <w:szCs w:val="22"/>
          <w:u w:val="single"/>
        </w:rPr>
        <w:t xml:space="preserve">When attending ICANN Meetings, attendance at scheduled NomCom meetings is mandatory.  </w:t>
      </w:r>
      <w:r>
        <w:rPr>
          <w:sz w:val="22"/>
          <w:szCs w:val="22"/>
          <w:u w:val="single"/>
        </w:rPr>
        <w:t xml:space="preserve">In the event of schedule conflicts with other volunteer </w:t>
      </w:r>
      <w:r>
        <w:rPr>
          <w:sz w:val="22"/>
          <w:szCs w:val="22"/>
          <w:u w:val="single"/>
        </w:rPr>
        <w:t>activities</w:t>
      </w:r>
      <w:r>
        <w:rPr>
          <w:sz w:val="22"/>
          <w:szCs w:val="22"/>
          <w:u w:val="single"/>
        </w:rPr>
        <w:t>, priority should be given to the NomCom meetings.</w:t>
      </w:r>
    </w:p>
    <w:p w14:paraId="7F2F21FD" w14:textId="77777777" w:rsidR="00B47C55" w:rsidRDefault="00CB03D7">
      <w:pPr>
        <w:rPr>
          <w:sz w:val="22"/>
          <w:szCs w:val="22"/>
        </w:rPr>
      </w:pPr>
      <w:r>
        <w:rPr>
          <w:b/>
          <w:sz w:val="22"/>
          <w:szCs w:val="22"/>
        </w:rPr>
        <w:t> </w:t>
      </w:r>
    </w:p>
    <w:p w14:paraId="4E37DF2B" w14:textId="77777777" w:rsidR="00B47C55" w:rsidRDefault="00CB03D7">
      <w:pPr>
        <w:pBdr>
          <w:top w:val="nil"/>
          <w:left w:val="nil"/>
          <w:bottom w:val="nil"/>
          <w:right w:val="nil"/>
          <w:between w:val="nil"/>
        </w:pBdr>
        <w:rPr>
          <w:color w:val="000000"/>
          <w:sz w:val="22"/>
          <w:szCs w:val="22"/>
        </w:rPr>
      </w:pPr>
      <w:r>
        <w:rPr>
          <w:b/>
          <w:sz w:val="28"/>
          <w:szCs w:val="28"/>
        </w:rPr>
        <w:t>Required Knowledge, Skills and Abilities (KSAs)</w:t>
      </w:r>
    </w:p>
    <w:p w14:paraId="507962FD" w14:textId="77777777" w:rsidR="00B47C55" w:rsidRDefault="00CB03D7">
      <w:pPr>
        <w:rPr>
          <w:sz w:val="22"/>
          <w:szCs w:val="22"/>
        </w:rPr>
      </w:pPr>
      <w:r>
        <w:rPr>
          <w:b/>
          <w:sz w:val="22"/>
          <w:szCs w:val="22"/>
        </w:rPr>
        <w:t> </w:t>
      </w:r>
    </w:p>
    <w:p w14:paraId="5BD7731A" w14:textId="77777777" w:rsidR="00B47C55" w:rsidRDefault="00CB03D7">
      <w:pPr>
        <w:rPr>
          <w:sz w:val="22"/>
          <w:szCs w:val="22"/>
        </w:rPr>
      </w:pPr>
      <w:r>
        <w:rPr>
          <w:sz w:val="22"/>
          <w:szCs w:val="22"/>
        </w:rPr>
        <w:t xml:space="preserve">As outlined in the </w:t>
      </w:r>
      <w:hyperlink r:id="rId8" w:anchor="article8">
        <w:r>
          <w:rPr>
            <w:color w:val="0563C1"/>
            <w:sz w:val="22"/>
            <w:szCs w:val="22"/>
            <w:u w:val="single"/>
          </w:rPr>
          <w:t>ICANN Bylaws article 8.4</w:t>
        </w:r>
      </w:hyperlink>
      <w:r>
        <w:rPr>
          <w:sz w:val="22"/>
          <w:szCs w:val="22"/>
        </w:rPr>
        <w:t>, delegates to the ICANN Nominating Committee shall be:</w:t>
      </w:r>
    </w:p>
    <w:p w14:paraId="73679B90" w14:textId="77777777" w:rsidR="00B47C55" w:rsidRDefault="00B47C55">
      <w:pPr>
        <w:rPr>
          <w:sz w:val="22"/>
          <w:szCs w:val="22"/>
        </w:rPr>
      </w:pPr>
    </w:p>
    <w:p w14:paraId="68C7CB76" w14:textId="77777777" w:rsidR="00B47C55" w:rsidRDefault="00CB03D7">
      <w:pPr>
        <w:numPr>
          <w:ilvl w:val="0"/>
          <w:numId w:val="3"/>
        </w:numPr>
        <w:rPr>
          <w:color w:val="000000"/>
          <w:sz w:val="22"/>
          <w:szCs w:val="22"/>
        </w:rPr>
      </w:pPr>
      <w:r>
        <w:rPr>
          <w:sz w:val="22"/>
          <w:szCs w:val="22"/>
        </w:rPr>
        <w:t xml:space="preserve">Accomplished </w:t>
      </w:r>
      <w:r>
        <w:rPr>
          <w:sz w:val="22"/>
          <w:szCs w:val="22"/>
        </w:rPr>
        <w:t>persons of integrity, objectivity, and intelligence, with reputations for sound judgment and open minds, and with experience and competence with collegial large group decision-making</w:t>
      </w:r>
    </w:p>
    <w:p w14:paraId="53D55A4A" w14:textId="77777777" w:rsidR="00B47C55" w:rsidRDefault="00CB03D7">
      <w:pPr>
        <w:numPr>
          <w:ilvl w:val="0"/>
          <w:numId w:val="3"/>
        </w:numPr>
        <w:rPr>
          <w:color w:val="000000"/>
          <w:sz w:val="22"/>
          <w:szCs w:val="22"/>
        </w:rPr>
      </w:pPr>
      <w:r>
        <w:rPr>
          <w:sz w:val="22"/>
          <w:szCs w:val="22"/>
        </w:rPr>
        <w:t>Persons with a high-level network contacts</w:t>
      </w:r>
      <w:r>
        <w:t xml:space="preserve"> </w:t>
      </w:r>
      <w:r>
        <w:rPr>
          <w:sz w:val="22"/>
          <w:szCs w:val="22"/>
        </w:rPr>
        <w:t>essential to candidate recruit</w:t>
      </w:r>
      <w:r>
        <w:rPr>
          <w:sz w:val="22"/>
          <w:szCs w:val="22"/>
        </w:rPr>
        <w:t>ment, broad experience in the Internet community, and a commitment to the success of ICANN</w:t>
      </w:r>
    </w:p>
    <w:p w14:paraId="3AF59C5B" w14:textId="77777777" w:rsidR="00B47C55" w:rsidRDefault="00CB03D7">
      <w:pPr>
        <w:numPr>
          <w:ilvl w:val="0"/>
          <w:numId w:val="3"/>
        </w:numPr>
        <w:rPr>
          <w:color w:val="000000"/>
          <w:sz w:val="22"/>
          <w:szCs w:val="22"/>
        </w:rPr>
      </w:pPr>
      <w:r>
        <w:rPr>
          <w:sz w:val="22"/>
          <w:szCs w:val="22"/>
        </w:rPr>
        <w:t>Persons whom the selecting body is confident will consult widely and accept input in carrying out their responsibilities</w:t>
      </w:r>
    </w:p>
    <w:p w14:paraId="7B7C0FDE" w14:textId="77777777" w:rsidR="00B47C55" w:rsidRDefault="00CB03D7">
      <w:pPr>
        <w:numPr>
          <w:ilvl w:val="0"/>
          <w:numId w:val="3"/>
        </w:numPr>
        <w:rPr>
          <w:color w:val="000000"/>
          <w:sz w:val="22"/>
          <w:szCs w:val="22"/>
        </w:rPr>
      </w:pPr>
      <w:r>
        <w:rPr>
          <w:sz w:val="22"/>
          <w:szCs w:val="22"/>
        </w:rPr>
        <w:t>Persons who are neutral and objective, witho</w:t>
      </w:r>
      <w:r>
        <w:rPr>
          <w:sz w:val="22"/>
          <w:szCs w:val="22"/>
        </w:rPr>
        <w:t>ut any fixed personal commitments to particular individuals, organizations, or commercial objectives in carrying out their Nominating Committee responsibilities</w:t>
      </w:r>
    </w:p>
    <w:p w14:paraId="6179BC6B" w14:textId="77777777" w:rsidR="00B47C55" w:rsidRDefault="00CB03D7">
      <w:pPr>
        <w:numPr>
          <w:ilvl w:val="0"/>
          <w:numId w:val="3"/>
        </w:numPr>
        <w:rPr>
          <w:color w:val="000000"/>
          <w:sz w:val="22"/>
          <w:szCs w:val="22"/>
        </w:rPr>
      </w:pPr>
      <w:r>
        <w:rPr>
          <w:sz w:val="22"/>
          <w:szCs w:val="22"/>
        </w:rPr>
        <w:t>Persons with an understanding of ICANN's mission and the potential impact of ICANN's activities</w:t>
      </w:r>
      <w:r>
        <w:rPr>
          <w:sz w:val="22"/>
          <w:szCs w:val="22"/>
        </w:rPr>
        <w:t xml:space="preserve"> on the broader Internet community</w:t>
      </w:r>
    </w:p>
    <w:p w14:paraId="163E4FFB" w14:textId="77777777" w:rsidR="00B47C55" w:rsidRDefault="00CB03D7">
      <w:pPr>
        <w:numPr>
          <w:ilvl w:val="0"/>
          <w:numId w:val="3"/>
        </w:numPr>
        <w:rPr>
          <w:color w:val="000000"/>
          <w:sz w:val="22"/>
          <w:szCs w:val="22"/>
        </w:rPr>
      </w:pPr>
      <w:r>
        <w:rPr>
          <w:sz w:val="22"/>
          <w:szCs w:val="22"/>
        </w:rPr>
        <w:t xml:space="preserve">Familiarity with the ICANN groups to which the NomCom appoints (Board, ALAC, GNSO, </w:t>
      </w:r>
      <w:proofErr w:type="spellStart"/>
      <w:r>
        <w:rPr>
          <w:sz w:val="22"/>
          <w:szCs w:val="22"/>
        </w:rPr>
        <w:t>ccNSO</w:t>
      </w:r>
      <w:proofErr w:type="spellEnd"/>
      <w:r>
        <w:rPr>
          <w:sz w:val="22"/>
          <w:szCs w:val="22"/>
        </w:rPr>
        <w:t>)</w:t>
      </w:r>
    </w:p>
    <w:p w14:paraId="6F8F145E" w14:textId="77777777" w:rsidR="00B47C55" w:rsidRDefault="00CB03D7">
      <w:pPr>
        <w:numPr>
          <w:ilvl w:val="0"/>
          <w:numId w:val="3"/>
        </w:numPr>
        <w:rPr>
          <w:color w:val="000000"/>
          <w:sz w:val="22"/>
          <w:szCs w:val="22"/>
        </w:rPr>
      </w:pPr>
      <w:r>
        <w:rPr>
          <w:sz w:val="22"/>
          <w:szCs w:val="22"/>
        </w:rPr>
        <w:t>An understanding of Non-profit Board Governance</w:t>
      </w:r>
    </w:p>
    <w:p w14:paraId="5F0D3F3A" w14:textId="77777777" w:rsidR="00B47C55" w:rsidRDefault="00CB03D7">
      <w:pPr>
        <w:numPr>
          <w:ilvl w:val="0"/>
          <w:numId w:val="3"/>
        </w:numPr>
        <w:rPr>
          <w:color w:val="000000"/>
          <w:sz w:val="22"/>
          <w:szCs w:val="22"/>
        </w:rPr>
      </w:pPr>
      <w:r>
        <w:rPr>
          <w:sz w:val="22"/>
          <w:szCs w:val="22"/>
        </w:rPr>
        <w:t>Are willing to serve as volunteers, without compensation other than the reimbursement of certain expenses; and</w:t>
      </w:r>
    </w:p>
    <w:p w14:paraId="1A3F6F43" w14:textId="77777777" w:rsidR="00B47C55" w:rsidRDefault="00CB03D7">
      <w:pPr>
        <w:numPr>
          <w:ilvl w:val="0"/>
          <w:numId w:val="3"/>
        </w:numPr>
        <w:rPr>
          <w:color w:val="000000"/>
          <w:sz w:val="22"/>
          <w:szCs w:val="22"/>
        </w:rPr>
      </w:pPr>
      <w:r>
        <w:rPr>
          <w:sz w:val="22"/>
          <w:szCs w:val="22"/>
        </w:rPr>
        <w:t>Persons who are able to work and communicate in written and spoken English</w:t>
      </w:r>
    </w:p>
    <w:p w14:paraId="0E9C12FE" w14:textId="77777777" w:rsidR="00B47C55" w:rsidRDefault="00CB03D7">
      <w:pPr>
        <w:numPr>
          <w:ilvl w:val="0"/>
          <w:numId w:val="3"/>
        </w:numPr>
        <w:rPr>
          <w:color w:val="000000"/>
          <w:sz w:val="22"/>
          <w:szCs w:val="22"/>
        </w:rPr>
      </w:pPr>
      <w:r>
        <w:rPr>
          <w:sz w:val="22"/>
          <w:szCs w:val="22"/>
        </w:rPr>
        <w:t>Prior experience in executive recruiting and Human Resources is a plus</w:t>
      </w:r>
      <w:r>
        <w:rPr>
          <w:sz w:val="22"/>
          <w:szCs w:val="22"/>
        </w:rPr>
        <w:t>.</w:t>
      </w:r>
    </w:p>
    <w:p w14:paraId="14914FDA" w14:textId="77777777" w:rsidR="00B47C55" w:rsidRDefault="00B47C55">
      <w:pPr>
        <w:pBdr>
          <w:top w:val="nil"/>
          <w:left w:val="nil"/>
          <w:bottom w:val="nil"/>
          <w:right w:val="nil"/>
          <w:between w:val="nil"/>
        </w:pBdr>
        <w:ind w:left="360"/>
        <w:rPr>
          <w:sz w:val="22"/>
          <w:szCs w:val="22"/>
        </w:rPr>
      </w:pPr>
    </w:p>
    <w:p w14:paraId="25B10CCD" w14:textId="77777777" w:rsidR="00B47C55" w:rsidRDefault="00CB03D7">
      <w:pPr>
        <w:pBdr>
          <w:top w:val="nil"/>
          <w:left w:val="nil"/>
          <w:bottom w:val="nil"/>
          <w:right w:val="nil"/>
          <w:between w:val="nil"/>
        </w:pBdr>
        <w:rPr>
          <w:b/>
          <w:color w:val="000000"/>
          <w:sz w:val="22"/>
          <w:szCs w:val="22"/>
        </w:rPr>
      </w:pPr>
      <w:r>
        <w:rPr>
          <w:b/>
          <w:sz w:val="28"/>
          <w:szCs w:val="28"/>
        </w:rPr>
        <w:t>Eligibility Exception</w:t>
      </w:r>
    </w:p>
    <w:p w14:paraId="1444ED91" w14:textId="77777777" w:rsidR="00B47C55" w:rsidRDefault="00B47C55">
      <w:pPr>
        <w:rPr>
          <w:sz w:val="22"/>
          <w:szCs w:val="22"/>
        </w:rPr>
      </w:pPr>
    </w:p>
    <w:p w14:paraId="335A8607" w14:textId="77777777" w:rsidR="00B47C55" w:rsidRDefault="00CB03D7">
      <w:pPr>
        <w:shd w:val="clear" w:color="auto" w:fill="FFFFFF"/>
        <w:rPr>
          <w:sz w:val="22"/>
          <w:szCs w:val="22"/>
        </w:rPr>
      </w:pPr>
      <w:r>
        <w:rPr>
          <w:color w:val="000000"/>
          <w:sz w:val="22"/>
          <w:szCs w:val="22"/>
        </w:rPr>
        <w:t>No person who is an employee of or paid consultant to ICANN (including the Ombudsman) shall simultaneously serve on the Nominating Committee.</w:t>
      </w:r>
    </w:p>
    <w:p w14:paraId="32D496C8" w14:textId="77777777" w:rsidR="00B47C55" w:rsidRDefault="00B47C55">
      <w:pPr>
        <w:shd w:val="clear" w:color="auto" w:fill="FFFFFF"/>
        <w:rPr>
          <w:sz w:val="22"/>
          <w:szCs w:val="22"/>
        </w:rPr>
      </w:pPr>
    </w:p>
    <w:p w14:paraId="20A94123" w14:textId="77777777" w:rsidR="00B47C55" w:rsidRDefault="00CB03D7">
      <w:pPr>
        <w:pBdr>
          <w:top w:val="nil"/>
          <w:left w:val="nil"/>
          <w:bottom w:val="nil"/>
          <w:right w:val="nil"/>
          <w:between w:val="nil"/>
        </w:pBdr>
        <w:rPr>
          <w:b/>
          <w:color w:val="000000"/>
          <w:sz w:val="22"/>
          <w:szCs w:val="22"/>
        </w:rPr>
      </w:pPr>
      <w:r>
        <w:rPr>
          <w:b/>
          <w:sz w:val="28"/>
          <w:szCs w:val="28"/>
        </w:rPr>
        <w:t>Diversity</w:t>
      </w:r>
    </w:p>
    <w:p w14:paraId="1834A453" w14:textId="77777777" w:rsidR="00B47C55" w:rsidRDefault="00CB03D7">
      <w:pPr>
        <w:rPr>
          <w:sz w:val="22"/>
          <w:szCs w:val="22"/>
        </w:rPr>
      </w:pPr>
      <w:r>
        <w:rPr>
          <w:sz w:val="22"/>
          <w:szCs w:val="22"/>
        </w:rPr>
        <w:t xml:space="preserve"> </w:t>
      </w:r>
    </w:p>
    <w:p w14:paraId="3690B801" w14:textId="77777777" w:rsidR="00B47C55" w:rsidRDefault="00CB03D7">
      <w:pPr>
        <w:rPr>
          <w:sz w:val="22"/>
          <w:szCs w:val="22"/>
        </w:rPr>
      </w:pPr>
      <w:r>
        <w:rPr>
          <w:sz w:val="22"/>
          <w:szCs w:val="22"/>
        </w:rPr>
        <w:t xml:space="preserve">The ICANN community is diverse and the composition of NomCom should reflect this in order to fulfill </w:t>
      </w:r>
      <w:r>
        <w:rPr>
          <w:sz w:val="22"/>
          <w:szCs w:val="22"/>
        </w:rPr>
        <w:t>its mission.</w:t>
      </w:r>
    </w:p>
    <w:p w14:paraId="68EFCC83" w14:textId="77777777" w:rsidR="00B47C55" w:rsidRDefault="00CB03D7">
      <w:pPr>
        <w:rPr>
          <w:sz w:val="22"/>
          <w:szCs w:val="22"/>
        </w:rPr>
      </w:pPr>
      <w:r>
        <w:rPr>
          <w:sz w:val="22"/>
          <w:szCs w:val="22"/>
        </w:rPr>
        <w:lastRenderedPageBreak/>
        <w:t xml:space="preserve"> </w:t>
      </w:r>
    </w:p>
    <w:p w14:paraId="5285A8BD" w14:textId="77777777" w:rsidR="00B47C55" w:rsidRDefault="00CB03D7">
      <w:pPr>
        <w:rPr>
          <w:sz w:val="22"/>
          <w:szCs w:val="22"/>
        </w:rPr>
      </w:pPr>
      <w:r>
        <w:rPr>
          <w:sz w:val="22"/>
          <w:szCs w:val="22"/>
        </w:rPr>
        <w:t>NomCom believes that all persons are entitled to equal employment opportunity and does not discriminate against qualified applicants because of race, color, religion, sex, pregnancy, childbirth or related medical conditions, family care stat</w:t>
      </w:r>
      <w:r>
        <w:rPr>
          <w:sz w:val="22"/>
          <w:szCs w:val="22"/>
        </w:rPr>
        <w:t>us, national origin, ancestry, citizenship, age, marital status, physical disability, mental disability, medical condition, sexual orientation, or any other characteristic protected by applicable local law.</w:t>
      </w:r>
    </w:p>
    <w:p w14:paraId="6CA72AC2" w14:textId="77777777" w:rsidR="00B47C55" w:rsidRDefault="00CB03D7">
      <w:pPr>
        <w:rPr>
          <w:sz w:val="22"/>
          <w:szCs w:val="22"/>
        </w:rPr>
      </w:pPr>
      <w:r>
        <w:rPr>
          <w:sz w:val="22"/>
          <w:szCs w:val="22"/>
        </w:rPr>
        <w:t xml:space="preserve"> </w:t>
      </w:r>
    </w:p>
    <w:p w14:paraId="642034FB" w14:textId="77777777" w:rsidR="00B47C55" w:rsidRDefault="00CB03D7">
      <w:pPr>
        <w:rPr>
          <w:sz w:val="22"/>
          <w:szCs w:val="22"/>
        </w:rPr>
      </w:pPr>
      <w:r>
        <w:rPr>
          <w:sz w:val="22"/>
          <w:szCs w:val="22"/>
        </w:rPr>
        <w:t xml:space="preserve">NomCom will make reasonable accommodations for </w:t>
      </w:r>
      <w:r>
        <w:rPr>
          <w:sz w:val="22"/>
          <w:szCs w:val="22"/>
        </w:rPr>
        <w:t>the known physical or mental limitations of an otherwise qualified individual with a disability who is a NomCom member unless undue hardship would result.</w:t>
      </w:r>
    </w:p>
    <w:p w14:paraId="429D7F96" w14:textId="77777777" w:rsidR="00B47C55" w:rsidRDefault="00B47C55">
      <w:pPr>
        <w:rPr>
          <w:sz w:val="22"/>
          <w:szCs w:val="22"/>
        </w:rPr>
      </w:pPr>
    </w:p>
    <w:p w14:paraId="2F3487BE" w14:textId="77777777" w:rsidR="00B47C55" w:rsidRDefault="00CB03D7">
      <w:pPr>
        <w:pBdr>
          <w:top w:val="nil"/>
          <w:left w:val="nil"/>
          <w:bottom w:val="nil"/>
          <w:right w:val="nil"/>
          <w:between w:val="nil"/>
        </w:pBdr>
        <w:rPr>
          <w:b/>
          <w:color w:val="000000"/>
          <w:sz w:val="22"/>
          <w:szCs w:val="22"/>
        </w:rPr>
      </w:pPr>
      <w:r>
        <w:rPr>
          <w:b/>
          <w:sz w:val="28"/>
          <w:szCs w:val="28"/>
        </w:rPr>
        <w:t>Deadline</w:t>
      </w:r>
    </w:p>
    <w:p w14:paraId="0D484D3B" w14:textId="77777777" w:rsidR="00B47C55" w:rsidRDefault="00B47C55">
      <w:pPr>
        <w:rPr>
          <w:sz w:val="22"/>
          <w:szCs w:val="22"/>
        </w:rPr>
      </w:pPr>
    </w:p>
    <w:p w14:paraId="29C795AB" w14:textId="5A14440A" w:rsidR="00B47C55" w:rsidRDefault="00CB03D7">
      <w:pPr>
        <w:rPr>
          <w:sz w:val="22"/>
          <w:szCs w:val="22"/>
        </w:rPr>
      </w:pPr>
      <w:r>
        <w:rPr>
          <w:sz w:val="22"/>
          <w:szCs w:val="22"/>
        </w:rPr>
        <w:t xml:space="preserve">Please send the name of the XXXX delegate no later than </w:t>
      </w:r>
      <w:r>
        <w:rPr>
          <w:sz w:val="22"/>
          <w:szCs w:val="22"/>
        </w:rPr>
        <w:t>[required deadline]</w:t>
      </w:r>
      <w:r>
        <w:rPr>
          <w:sz w:val="22"/>
          <w:szCs w:val="22"/>
        </w:rPr>
        <w:t xml:space="preserve"> to NomCom Operations Staff at </w:t>
      </w:r>
      <w:hyperlink r:id="rId9">
        <w:r>
          <w:rPr>
            <w:color w:val="0563C1"/>
            <w:sz w:val="22"/>
            <w:szCs w:val="22"/>
            <w:u w:val="single"/>
          </w:rPr>
          <w:t>nomcom-ops-team@icann.org</w:t>
        </w:r>
      </w:hyperlink>
      <w:r>
        <w:rPr>
          <w:sz w:val="22"/>
          <w:szCs w:val="22"/>
        </w:rPr>
        <w:t>.</w:t>
      </w:r>
    </w:p>
    <w:p w14:paraId="68C594AA" w14:textId="77777777" w:rsidR="00B47C55" w:rsidRDefault="00CB03D7">
      <w:pPr>
        <w:jc w:val="center"/>
        <w:rPr>
          <w:b/>
          <w:sz w:val="36"/>
          <w:szCs w:val="36"/>
          <w:u w:val="single"/>
        </w:rPr>
      </w:pPr>
      <w:r>
        <w:br w:type="page"/>
      </w:r>
      <w:r>
        <w:rPr>
          <w:b/>
          <w:sz w:val="36"/>
          <w:szCs w:val="36"/>
          <w:u w:val="single"/>
        </w:rPr>
        <w:lastRenderedPageBreak/>
        <w:t>Appendix</w:t>
      </w:r>
    </w:p>
    <w:p w14:paraId="7EE52BE6" w14:textId="77777777" w:rsidR="00B47C55" w:rsidRDefault="00B47C55">
      <w:pPr>
        <w:jc w:val="center"/>
        <w:rPr>
          <w:b/>
          <w:sz w:val="36"/>
          <w:szCs w:val="36"/>
          <w:u w:val="single"/>
        </w:rPr>
      </w:pPr>
    </w:p>
    <w:p w14:paraId="38D21735" w14:textId="56832B4B" w:rsidR="00B47C55" w:rsidRDefault="00CB03D7">
      <w:pPr>
        <w:jc w:val="center"/>
        <w:rPr>
          <w:b/>
          <w:sz w:val="36"/>
          <w:szCs w:val="36"/>
        </w:rPr>
      </w:pPr>
      <w:r>
        <w:rPr>
          <w:b/>
          <w:sz w:val="36"/>
          <w:szCs w:val="36"/>
        </w:rPr>
        <w:t xml:space="preserve">List of Bodies appointing </w:t>
      </w:r>
      <w:r>
        <w:rPr>
          <w:b/>
          <w:sz w:val="36"/>
          <w:szCs w:val="36"/>
        </w:rPr>
        <w:t>delegates</w:t>
      </w:r>
    </w:p>
    <w:p w14:paraId="6ED12172" w14:textId="77777777" w:rsidR="00B47C55" w:rsidRDefault="00CB03D7">
      <w:pPr>
        <w:jc w:val="center"/>
        <w:rPr>
          <w:b/>
          <w:sz w:val="36"/>
          <w:szCs w:val="36"/>
        </w:rPr>
      </w:pPr>
      <w:r>
        <w:rPr>
          <w:b/>
          <w:sz w:val="36"/>
          <w:szCs w:val="36"/>
        </w:rPr>
        <w:t>to the Nominating Committee</w:t>
      </w:r>
    </w:p>
    <w:p w14:paraId="67FD0068" w14:textId="77777777" w:rsidR="00B47C55" w:rsidRDefault="00B47C55">
      <w:pPr>
        <w:rPr>
          <w:b/>
          <w:sz w:val="36"/>
          <w:szCs w:val="36"/>
        </w:rPr>
      </w:pPr>
    </w:p>
    <w:p w14:paraId="7005887E" w14:textId="77777777" w:rsidR="00B47C55" w:rsidRDefault="00CB03D7">
      <w:pPr>
        <w:numPr>
          <w:ilvl w:val="0"/>
          <w:numId w:val="1"/>
        </w:numPr>
        <w:rPr>
          <w:sz w:val="22"/>
          <w:szCs w:val="22"/>
        </w:rPr>
      </w:pPr>
      <w:r>
        <w:rPr>
          <w:sz w:val="22"/>
          <w:szCs w:val="22"/>
        </w:rPr>
        <w:t>Address Supporting Organization (ASO)</w:t>
      </w:r>
    </w:p>
    <w:p w14:paraId="1F524D80" w14:textId="77777777" w:rsidR="00B47C55" w:rsidRDefault="00CB03D7">
      <w:pPr>
        <w:numPr>
          <w:ilvl w:val="0"/>
          <w:numId w:val="1"/>
        </w:numPr>
        <w:rPr>
          <w:sz w:val="22"/>
          <w:szCs w:val="22"/>
        </w:rPr>
      </w:pPr>
      <w:r>
        <w:rPr>
          <w:sz w:val="22"/>
          <w:szCs w:val="22"/>
        </w:rPr>
        <w:t>Country Code Names Suppo</w:t>
      </w:r>
      <w:r>
        <w:rPr>
          <w:sz w:val="22"/>
          <w:szCs w:val="22"/>
        </w:rPr>
        <w:t>rting Organization (</w:t>
      </w:r>
      <w:proofErr w:type="spellStart"/>
      <w:r>
        <w:rPr>
          <w:sz w:val="22"/>
          <w:szCs w:val="22"/>
        </w:rPr>
        <w:t>ccNSO</w:t>
      </w:r>
      <w:proofErr w:type="spellEnd"/>
      <w:r>
        <w:rPr>
          <w:sz w:val="22"/>
          <w:szCs w:val="22"/>
        </w:rPr>
        <w:t>)</w:t>
      </w:r>
    </w:p>
    <w:p w14:paraId="3373E791" w14:textId="77777777" w:rsidR="00B47C55" w:rsidRDefault="00CB03D7">
      <w:pPr>
        <w:numPr>
          <w:ilvl w:val="0"/>
          <w:numId w:val="1"/>
        </w:numPr>
        <w:rPr>
          <w:sz w:val="22"/>
          <w:szCs w:val="22"/>
        </w:rPr>
      </w:pPr>
      <w:r>
        <w:rPr>
          <w:sz w:val="22"/>
          <w:szCs w:val="22"/>
        </w:rPr>
        <w:t>Generic Names Supporting Organization (GNSO)</w:t>
      </w:r>
    </w:p>
    <w:p w14:paraId="008764C5" w14:textId="77777777" w:rsidR="00B47C55" w:rsidRDefault="00CB03D7">
      <w:pPr>
        <w:numPr>
          <w:ilvl w:val="1"/>
          <w:numId w:val="1"/>
        </w:numPr>
        <w:rPr>
          <w:sz w:val="22"/>
          <w:szCs w:val="22"/>
        </w:rPr>
      </w:pPr>
      <w:r>
        <w:rPr>
          <w:sz w:val="22"/>
          <w:szCs w:val="22"/>
        </w:rPr>
        <w:t>Registries Stakeholder Group (RySG)</w:t>
      </w:r>
    </w:p>
    <w:p w14:paraId="65318ACB" w14:textId="77777777" w:rsidR="00B47C55" w:rsidRDefault="00CB03D7">
      <w:pPr>
        <w:numPr>
          <w:ilvl w:val="1"/>
          <w:numId w:val="1"/>
        </w:numPr>
        <w:rPr>
          <w:sz w:val="22"/>
          <w:szCs w:val="22"/>
        </w:rPr>
      </w:pPr>
      <w:r>
        <w:rPr>
          <w:sz w:val="22"/>
          <w:szCs w:val="22"/>
        </w:rPr>
        <w:t>Registrars Stakeholder Group (RrSG)</w:t>
      </w:r>
    </w:p>
    <w:p w14:paraId="38A6748D" w14:textId="77777777" w:rsidR="00B47C55" w:rsidRDefault="00CB03D7">
      <w:pPr>
        <w:numPr>
          <w:ilvl w:val="1"/>
          <w:numId w:val="1"/>
        </w:numPr>
        <w:rPr>
          <w:sz w:val="22"/>
          <w:szCs w:val="22"/>
        </w:rPr>
      </w:pPr>
      <w:r>
        <w:rPr>
          <w:sz w:val="22"/>
          <w:szCs w:val="22"/>
        </w:rPr>
        <w:t>Business Users Constituency (BUC)</w:t>
      </w:r>
    </w:p>
    <w:p w14:paraId="64D20C41" w14:textId="77777777" w:rsidR="00B47C55" w:rsidRPr="00CB03D7" w:rsidRDefault="00CB03D7">
      <w:pPr>
        <w:numPr>
          <w:ilvl w:val="1"/>
          <w:numId w:val="1"/>
        </w:numPr>
        <w:rPr>
          <w:sz w:val="22"/>
          <w:szCs w:val="22"/>
          <w:lang w:val="fr-FR"/>
        </w:rPr>
      </w:pPr>
      <w:r w:rsidRPr="00CB03D7">
        <w:rPr>
          <w:sz w:val="22"/>
          <w:szCs w:val="22"/>
          <w:lang w:val="fr-FR"/>
        </w:rPr>
        <w:t xml:space="preserve">Non-Commercial </w:t>
      </w:r>
      <w:proofErr w:type="spellStart"/>
      <w:r w:rsidRPr="00CB03D7">
        <w:rPr>
          <w:sz w:val="22"/>
          <w:szCs w:val="22"/>
          <w:lang w:val="fr-FR"/>
        </w:rPr>
        <w:t>Users</w:t>
      </w:r>
      <w:proofErr w:type="spellEnd"/>
      <w:r w:rsidRPr="00CB03D7">
        <w:rPr>
          <w:sz w:val="22"/>
          <w:szCs w:val="22"/>
          <w:lang w:val="fr-FR"/>
        </w:rPr>
        <w:t xml:space="preserve"> </w:t>
      </w:r>
      <w:proofErr w:type="spellStart"/>
      <w:r w:rsidRPr="00CB03D7">
        <w:rPr>
          <w:sz w:val="22"/>
          <w:szCs w:val="22"/>
          <w:lang w:val="fr-FR"/>
        </w:rPr>
        <w:t>Constituency</w:t>
      </w:r>
      <w:proofErr w:type="spellEnd"/>
      <w:r w:rsidRPr="00CB03D7">
        <w:rPr>
          <w:sz w:val="22"/>
          <w:szCs w:val="22"/>
          <w:lang w:val="fr-FR"/>
        </w:rPr>
        <w:t xml:space="preserve"> (NCUC)</w:t>
      </w:r>
    </w:p>
    <w:p w14:paraId="692CFAF1" w14:textId="77777777" w:rsidR="00B47C55" w:rsidRDefault="00CB03D7">
      <w:pPr>
        <w:numPr>
          <w:ilvl w:val="1"/>
          <w:numId w:val="1"/>
        </w:numPr>
        <w:rPr>
          <w:sz w:val="22"/>
          <w:szCs w:val="22"/>
        </w:rPr>
      </w:pPr>
      <w:r>
        <w:rPr>
          <w:sz w:val="22"/>
          <w:szCs w:val="22"/>
        </w:rPr>
        <w:t>Internet Service Providers Constituency (ISPCPC)</w:t>
      </w:r>
    </w:p>
    <w:p w14:paraId="7DA3EDE0" w14:textId="77777777" w:rsidR="00B47C55" w:rsidRDefault="00CB03D7">
      <w:pPr>
        <w:numPr>
          <w:ilvl w:val="1"/>
          <w:numId w:val="1"/>
        </w:numPr>
        <w:rPr>
          <w:sz w:val="22"/>
          <w:szCs w:val="22"/>
        </w:rPr>
      </w:pPr>
      <w:r>
        <w:rPr>
          <w:sz w:val="22"/>
          <w:szCs w:val="22"/>
        </w:rPr>
        <w:t>Intellectual Property Constituency (IPC)</w:t>
      </w:r>
    </w:p>
    <w:p w14:paraId="14E9B405" w14:textId="77777777" w:rsidR="00B47C55" w:rsidRDefault="00CB03D7">
      <w:pPr>
        <w:numPr>
          <w:ilvl w:val="0"/>
          <w:numId w:val="1"/>
        </w:numPr>
        <w:rPr>
          <w:sz w:val="22"/>
          <w:szCs w:val="22"/>
        </w:rPr>
      </w:pPr>
      <w:r>
        <w:rPr>
          <w:sz w:val="22"/>
          <w:szCs w:val="22"/>
        </w:rPr>
        <w:t>Internet Architecture Board (</w:t>
      </w:r>
      <w:proofErr w:type="gramStart"/>
      <w:r>
        <w:rPr>
          <w:sz w:val="22"/>
          <w:szCs w:val="22"/>
        </w:rPr>
        <w:t>IAB)  for</w:t>
      </w:r>
      <w:proofErr w:type="gramEnd"/>
      <w:r>
        <w:rPr>
          <w:sz w:val="22"/>
          <w:szCs w:val="22"/>
        </w:rPr>
        <w:t xml:space="preserve"> Internet Engineering Task Force (IETF)</w:t>
      </w:r>
    </w:p>
    <w:p w14:paraId="64ABF137" w14:textId="77777777" w:rsidR="00B47C55" w:rsidRDefault="00CB03D7">
      <w:pPr>
        <w:numPr>
          <w:ilvl w:val="0"/>
          <w:numId w:val="1"/>
        </w:numPr>
        <w:rPr>
          <w:sz w:val="22"/>
          <w:szCs w:val="22"/>
        </w:rPr>
      </w:pPr>
      <w:r>
        <w:rPr>
          <w:sz w:val="22"/>
          <w:szCs w:val="22"/>
        </w:rPr>
        <w:t>At-Large Advisory Committee (ALAC)</w:t>
      </w:r>
    </w:p>
    <w:p w14:paraId="3351BD2C" w14:textId="77777777" w:rsidR="00B47C55" w:rsidRDefault="00CB03D7">
      <w:pPr>
        <w:numPr>
          <w:ilvl w:val="1"/>
          <w:numId w:val="1"/>
        </w:numPr>
        <w:rPr>
          <w:sz w:val="22"/>
          <w:szCs w:val="22"/>
        </w:rPr>
      </w:pPr>
      <w:r>
        <w:rPr>
          <w:sz w:val="22"/>
          <w:szCs w:val="22"/>
        </w:rPr>
        <w:t>Africa Regio</w:t>
      </w:r>
      <w:r>
        <w:rPr>
          <w:sz w:val="22"/>
          <w:szCs w:val="22"/>
        </w:rPr>
        <w:t>n</w:t>
      </w:r>
    </w:p>
    <w:p w14:paraId="61D313EE" w14:textId="77777777" w:rsidR="00B47C55" w:rsidRDefault="00CB03D7">
      <w:pPr>
        <w:numPr>
          <w:ilvl w:val="1"/>
          <w:numId w:val="1"/>
        </w:numPr>
        <w:rPr>
          <w:sz w:val="22"/>
          <w:szCs w:val="22"/>
        </w:rPr>
      </w:pPr>
      <w:r>
        <w:rPr>
          <w:sz w:val="22"/>
          <w:szCs w:val="22"/>
        </w:rPr>
        <w:t>Asia Pacific Region</w:t>
      </w:r>
    </w:p>
    <w:p w14:paraId="79B06E38" w14:textId="77777777" w:rsidR="00B47C55" w:rsidRDefault="00CB03D7">
      <w:pPr>
        <w:numPr>
          <w:ilvl w:val="1"/>
          <w:numId w:val="1"/>
        </w:numPr>
        <w:rPr>
          <w:sz w:val="22"/>
          <w:szCs w:val="22"/>
        </w:rPr>
      </w:pPr>
      <w:r>
        <w:rPr>
          <w:sz w:val="22"/>
          <w:szCs w:val="22"/>
        </w:rPr>
        <w:t>Europe Region</w:t>
      </w:r>
    </w:p>
    <w:p w14:paraId="0081559B" w14:textId="77777777" w:rsidR="00B47C55" w:rsidRDefault="00CB03D7">
      <w:pPr>
        <w:numPr>
          <w:ilvl w:val="1"/>
          <w:numId w:val="1"/>
        </w:numPr>
        <w:rPr>
          <w:sz w:val="22"/>
          <w:szCs w:val="22"/>
        </w:rPr>
      </w:pPr>
      <w:r>
        <w:rPr>
          <w:sz w:val="22"/>
          <w:szCs w:val="22"/>
        </w:rPr>
        <w:t>Latin America and the Caribbean Region</w:t>
      </w:r>
    </w:p>
    <w:p w14:paraId="7CBDC723" w14:textId="77777777" w:rsidR="00B47C55" w:rsidRDefault="00CB03D7">
      <w:pPr>
        <w:numPr>
          <w:ilvl w:val="1"/>
          <w:numId w:val="1"/>
        </w:numPr>
        <w:rPr>
          <w:sz w:val="22"/>
          <w:szCs w:val="22"/>
        </w:rPr>
      </w:pPr>
      <w:r>
        <w:rPr>
          <w:sz w:val="22"/>
          <w:szCs w:val="22"/>
        </w:rPr>
        <w:t>North America Region</w:t>
      </w:r>
    </w:p>
    <w:p w14:paraId="178D93E3" w14:textId="77777777" w:rsidR="00B47C55" w:rsidRDefault="00CB03D7">
      <w:pPr>
        <w:numPr>
          <w:ilvl w:val="0"/>
          <w:numId w:val="1"/>
        </w:numPr>
        <w:rPr>
          <w:sz w:val="22"/>
          <w:szCs w:val="22"/>
        </w:rPr>
      </w:pPr>
      <w:r>
        <w:rPr>
          <w:sz w:val="22"/>
          <w:szCs w:val="22"/>
        </w:rPr>
        <w:t>Government Advisory Committee (GAC) (not active)</w:t>
      </w:r>
    </w:p>
    <w:p w14:paraId="2D6F2862" w14:textId="77777777" w:rsidR="00B47C55" w:rsidRDefault="00CB03D7">
      <w:pPr>
        <w:numPr>
          <w:ilvl w:val="0"/>
          <w:numId w:val="1"/>
        </w:numPr>
        <w:rPr>
          <w:sz w:val="22"/>
          <w:szCs w:val="22"/>
        </w:rPr>
      </w:pPr>
      <w:r>
        <w:rPr>
          <w:sz w:val="22"/>
          <w:szCs w:val="22"/>
        </w:rPr>
        <w:t>Root Server System Advisory Committee (RSSAC)</w:t>
      </w:r>
    </w:p>
    <w:p w14:paraId="6E108D28" w14:textId="6E280EAA" w:rsidR="00B47C55" w:rsidRPr="00CB03D7" w:rsidRDefault="00CB03D7" w:rsidP="00CB03D7">
      <w:pPr>
        <w:numPr>
          <w:ilvl w:val="0"/>
          <w:numId w:val="1"/>
        </w:numPr>
        <w:rPr>
          <w:sz w:val="22"/>
          <w:szCs w:val="22"/>
        </w:rPr>
      </w:pPr>
      <w:r>
        <w:rPr>
          <w:sz w:val="22"/>
          <w:szCs w:val="22"/>
        </w:rPr>
        <w:t>Security and Stability Advisory Committee (SSAC)</w:t>
      </w:r>
    </w:p>
    <w:sectPr w:rsidR="00B47C55" w:rsidRPr="00CB03D7">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76988"/>
    <w:multiLevelType w:val="multilevel"/>
    <w:tmpl w:val="C576C718"/>
    <w:lvl w:ilvl="0">
      <w:start w:val="1"/>
      <w:numFmt w:val="bullet"/>
      <w:lvlText w:val="▪"/>
      <w:lvlJc w:val="left"/>
      <w:pPr>
        <w:ind w:left="360" w:hanging="360"/>
      </w:pPr>
      <w:rPr>
        <w:rFonts w:ascii="Noto Sans Symbols" w:eastAsia="Noto Sans Symbols" w:hAnsi="Noto Sans Symbols" w:cs="Noto Sans Symbols"/>
        <w:color w:val="0C3063"/>
      </w:rPr>
    </w:lvl>
    <w:lvl w:ilvl="1">
      <w:start w:val="1"/>
      <w:numFmt w:val="bullet"/>
      <w:lvlText w:val="🞈"/>
      <w:lvlJc w:val="left"/>
      <w:pPr>
        <w:ind w:left="360" w:hanging="360"/>
      </w:pPr>
      <w:rPr>
        <w:rFonts w:ascii="Noto Sans Symbols" w:eastAsia="Noto Sans Symbols" w:hAnsi="Noto Sans Symbols" w:cs="Noto Sans Symbols"/>
        <w:color w:val="ED7D31"/>
      </w:rPr>
    </w:lvl>
    <w:lvl w:ilvl="2">
      <w:start w:val="1"/>
      <w:numFmt w:val="bullet"/>
      <w:lvlText w:val="▪"/>
      <w:lvlJc w:val="left"/>
      <w:pPr>
        <w:ind w:left="720" w:hanging="360"/>
      </w:pPr>
      <w:rPr>
        <w:rFonts w:ascii="Noto Sans Symbols" w:eastAsia="Noto Sans Symbols" w:hAnsi="Noto Sans Symbols" w:cs="Noto Sans Symbols"/>
        <w:color w:val="000000"/>
      </w:rPr>
    </w:lvl>
    <w:lvl w:ilvl="3">
      <w:start w:val="1"/>
      <w:numFmt w:val="bullet"/>
      <w:lvlText w:val="⚪"/>
      <w:lvlJc w:val="left"/>
      <w:pPr>
        <w:ind w:left="1080" w:hanging="360"/>
      </w:pPr>
      <w:rPr>
        <w:rFonts w:ascii="Noto Sans Symbols" w:eastAsia="Noto Sans Symbols" w:hAnsi="Noto Sans Symbols" w:cs="Noto Sans Symbols"/>
        <w:b w:val="0"/>
        <w:i w:val="0"/>
        <w:color w:val="ED7D31"/>
      </w:rPr>
    </w:lvl>
    <w:lvl w:ilvl="4">
      <w:start w:val="1"/>
      <w:numFmt w:val="bullet"/>
      <w:lvlText w:val="•"/>
      <w:lvlJc w:val="left"/>
      <w:pPr>
        <w:ind w:left="1440" w:hanging="360"/>
      </w:pPr>
      <w:rPr>
        <w:rFonts w:ascii="Noto Sans Symbols" w:eastAsia="Noto Sans Symbols" w:hAnsi="Noto Sans Symbols" w:cs="Noto Sans Symbols"/>
        <w:b w:val="0"/>
        <w:i w:val="0"/>
        <w:color w:val="ED7D31"/>
      </w:rPr>
    </w:lvl>
    <w:lvl w:ilvl="5">
      <w:start w:val="1"/>
      <w:numFmt w:val="bullet"/>
      <w:lvlText w:val="▪"/>
      <w:lvlJc w:val="left"/>
      <w:pPr>
        <w:ind w:left="1800" w:hanging="360"/>
      </w:pPr>
      <w:rPr>
        <w:rFonts w:ascii="Noto Sans Symbols" w:eastAsia="Noto Sans Symbols" w:hAnsi="Noto Sans Symbols" w:cs="Noto Sans Symbols"/>
        <w:b w:val="0"/>
        <w:i w:val="0"/>
        <w:color w:val="ED7D31"/>
      </w:rPr>
    </w:lvl>
    <w:lvl w:ilvl="6">
      <w:start w:val="1"/>
      <w:numFmt w:val="bullet"/>
      <w:lvlText w:val="■"/>
      <w:lvlJc w:val="left"/>
      <w:pPr>
        <w:ind w:left="2160" w:hanging="360"/>
      </w:pPr>
      <w:rPr>
        <w:rFonts w:ascii="Noto Sans Symbols" w:eastAsia="Noto Sans Symbols" w:hAnsi="Noto Sans Symbols" w:cs="Noto Sans Symbols"/>
        <w:color w:val="ED7D31"/>
      </w:rPr>
    </w:lvl>
    <w:lvl w:ilvl="7">
      <w:start w:val="1"/>
      <w:numFmt w:val="bullet"/>
      <w:lvlText w:val="🞐"/>
      <w:lvlJc w:val="left"/>
      <w:pPr>
        <w:ind w:left="2520" w:hanging="360"/>
      </w:pPr>
      <w:rPr>
        <w:rFonts w:ascii="Noto Sans Symbols" w:eastAsia="Noto Sans Symbols" w:hAnsi="Noto Sans Symbols" w:cs="Noto Sans Symbols"/>
        <w:color w:val="ED7D31"/>
      </w:rPr>
    </w:lvl>
    <w:lvl w:ilvl="8">
      <w:start w:val="1"/>
      <w:numFmt w:val="bullet"/>
      <w:lvlText w:val="□"/>
      <w:lvlJc w:val="left"/>
      <w:pPr>
        <w:ind w:left="2880" w:hanging="360"/>
      </w:pPr>
      <w:rPr>
        <w:rFonts w:ascii="Noto Sans Symbols" w:eastAsia="Noto Sans Symbols" w:hAnsi="Noto Sans Symbols" w:cs="Noto Sans Symbols"/>
        <w:color w:val="ED7D31"/>
      </w:rPr>
    </w:lvl>
  </w:abstractNum>
  <w:abstractNum w:abstractNumId="1" w15:restartNumberingAfterBreak="0">
    <w:nsid w:val="2B7C66C4"/>
    <w:multiLevelType w:val="multilevel"/>
    <w:tmpl w:val="83C46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9B90C67"/>
    <w:multiLevelType w:val="multilevel"/>
    <w:tmpl w:val="E74620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C55"/>
    <w:rsid w:val="00B47C55"/>
    <w:rsid w:val="00CB0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629580"/>
  <w15:docId w15:val="{6AF9C63C-2657-6844-9288-54B384FB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governance/bylaws-en/" TargetMode="External"/><Relationship Id="rId3" Type="http://schemas.openxmlformats.org/officeDocument/2006/relationships/settings" Target="settings.xml"/><Relationship Id="rId7" Type="http://schemas.openxmlformats.org/officeDocument/2006/relationships/hyperlink" Target="https://www.icann.org/resources/pages/nomcom2021-operating-procedures-2021-02-02-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ann.org/resources/pages/governance/bylaws-en/" TargetMode="External"/><Relationship Id="rId11" Type="http://schemas.openxmlformats.org/officeDocument/2006/relationships/theme" Target="theme/theme1.xml"/><Relationship Id="rId5" Type="http://schemas.openxmlformats.org/officeDocument/2006/relationships/hyperlink" Target="https://www.icann.org/resources/pages/governance/bylaws-e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omcom-ops-team@ican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1098</Words>
  <Characters>6259</Characters>
  <Application>Microsoft Office Word</Application>
  <DocSecurity>0</DocSecurity>
  <Lines>52</Lines>
  <Paragraphs>14</Paragraphs>
  <ScaleCrop>false</ScaleCrop>
  <Company>ICANN org</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Jean-Baptiste Deroulez</cp:lastModifiedBy>
  <cp:revision>2</cp:revision>
  <dcterms:created xsi:type="dcterms:W3CDTF">2021-04-08T21:40:00Z</dcterms:created>
  <dcterms:modified xsi:type="dcterms:W3CDTF">2021-04-08T21:40:00Z</dcterms:modified>
</cp:coreProperties>
</file>