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380" w:before="0" w:lineRule="auto"/>
        <w:jc w:val="center"/>
        <w:rPr>
          <w:b w:val="1"/>
          <w:sz w:val="48"/>
          <w:szCs w:val="48"/>
        </w:rPr>
      </w:pPr>
      <w:bookmarkStart w:colFirst="0" w:colLast="0" w:name="_ck3uug6ij121" w:id="0"/>
      <w:bookmarkEnd w:id="0"/>
      <w:r w:rsidDel="00000000" w:rsidR="00000000" w:rsidRPr="00000000">
        <w:rPr>
          <w:b w:val="1"/>
          <w:sz w:val="48"/>
          <w:szCs w:val="48"/>
          <w:rtl w:val="0"/>
        </w:rPr>
        <w:t xml:space="preserve">ALAC Updates ----June/July 2020.</w:t>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Policy development activities</w:t>
      </w:r>
    </w:p>
    <w:p w:rsidR="00000000" w:rsidDel="00000000" w:rsidP="00000000" w:rsidRDefault="00000000" w:rsidRPr="00000000" w14:paraId="00000004">
      <w:pPr>
        <w:jc w:val="center"/>
        <w:rPr>
          <w:b w:val="1"/>
          <w:sz w:val="36"/>
          <w:szCs w:val="36"/>
        </w:rPr>
      </w:pPr>
      <w:r w:rsidDel="00000000" w:rsidR="00000000" w:rsidRPr="00000000">
        <w:rPr>
          <w:rtl w:val="0"/>
        </w:rPr>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Statements approved by the ALAC</w:t>
      </w:r>
    </w:p>
    <w:p w:rsidR="00000000" w:rsidDel="00000000" w:rsidP="00000000" w:rsidRDefault="00000000" w:rsidRPr="00000000" w14:paraId="00000006">
      <w:pPr>
        <w:rPr>
          <w:sz w:val="36"/>
          <w:szCs w:val="36"/>
        </w:rPr>
      </w:pPr>
      <w:r w:rsidDel="00000000" w:rsidR="00000000" w:rsidRPr="00000000">
        <w:rPr>
          <w:rtl w:val="0"/>
        </w:rPr>
      </w:r>
    </w:p>
    <w:p w:rsidR="00000000" w:rsidDel="00000000" w:rsidP="00000000" w:rsidRDefault="00000000" w:rsidRPr="00000000" w14:paraId="00000007">
      <w:pPr>
        <w:pStyle w:val="Heading1"/>
        <w:keepNext w:val="0"/>
        <w:keepLines w:val="0"/>
        <w:shd w:fill="ffffff" w:val="clear"/>
        <w:spacing w:after="380" w:before="0" w:lineRule="auto"/>
        <w:rPr>
          <w:b w:val="1"/>
          <w:sz w:val="28"/>
          <w:szCs w:val="28"/>
        </w:rPr>
      </w:pPr>
      <w:bookmarkStart w:colFirst="0" w:colLast="0" w:name="_ynwljs3ccntf" w:id="1"/>
      <w:bookmarkEnd w:id="1"/>
      <w:hyperlink r:id="rId6">
        <w:r w:rsidDel="00000000" w:rsidR="00000000" w:rsidRPr="00000000">
          <w:rPr>
            <w:b w:val="1"/>
            <w:color w:val="1155cc"/>
            <w:sz w:val="28"/>
            <w:szCs w:val="28"/>
            <w:u w:val="single"/>
            <w:rtl w:val="0"/>
          </w:rPr>
          <w:t xml:space="preserve"> Latin America and Caribbean (LAC) Regional Strategic Plan for FY2021-2025</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LACRALO considers it important to comment on the LAC Regional Strategy developed by the GSE - LAC, based on ICANN's Strategic Plan for 2021-25. In general terms, we find that the document is consistent with the challenges that the current contingency demands for end-users in the LAC region. </w:t>
      </w:r>
    </w:p>
    <w:p w:rsidR="00000000" w:rsidDel="00000000" w:rsidP="00000000" w:rsidRDefault="00000000" w:rsidRPr="00000000" w14:paraId="0000000A">
      <w:pPr>
        <w:rPr/>
      </w:pPr>
      <w:r w:rsidDel="00000000" w:rsidR="00000000" w:rsidRPr="00000000">
        <w:rPr>
          <w:rtl w:val="0"/>
        </w:rPr>
        <w:t xml:space="preserve">The following comments have been organized according to the four subtitles used in the original document: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r w:rsidDel="00000000" w:rsidR="00000000" w:rsidRPr="00000000">
        <w:rPr>
          <w:b w:val="1"/>
          <w:rtl w:val="0"/>
        </w:rPr>
        <w:t xml:space="preserve">. Security of the Domain Name System</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We consider it appropriate that the GSE Plan 21-25 for LAC accompany the dissemination of knowledge about the importance of Domain Name System Security with a strategy that involves the regional At-large Structures (ALS).</w:t>
      </w:r>
    </w:p>
    <w:p w:rsidR="00000000" w:rsidDel="00000000" w:rsidP="00000000" w:rsidRDefault="00000000" w:rsidRPr="00000000" w14:paraId="0000000E">
      <w:pPr>
        <w:rPr/>
      </w:pPr>
      <w:r w:rsidDel="00000000" w:rsidR="00000000" w:rsidRPr="00000000">
        <w:rPr>
          <w:rtl w:val="0"/>
        </w:rPr>
        <w:t xml:space="preserve"> In this sense, we recommend a joint action with the ALSes incorporated in LACRALO to create Ambassadors of the Security of the Domain Name System in a similar way to the roles created in our region with the Ambassadors of Universal Acceptance. The Ambassadors would participate from the perspective of End Users of the Internet, to contribute to raising awareness of these issues in each of the countries of the region, accompanying the fulfillment of the objectives set forth in the Plan. To do this, ICANN must provide a budget line to meet this objective. We also consider opportune a previous evaluation of the Security Situation of the Domain Name System in our region with the contribution of LACNIC and LACTLD to direct efforts to the countries that present themselves in the worst situation.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t xml:space="preserve">2. </w:t>
      </w:r>
      <w:r w:rsidDel="00000000" w:rsidR="00000000" w:rsidRPr="00000000">
        <w:rPr>
          <w:b w:val="1"/>
          <w:rtl w:val="0"/>
        </w:rPr>
        <w:t xml:space="preserve">ICANN’s Multistakeholder Model </w:t>
      </w:r>
    </w:p>
    <w:p w:rsidR="00000000" w:rsidDel="00000000" w:rsidP="00000000" w:rsidRDefault="00000000" w:rsidRPr="00000000" w14:paraId="00000011">
      <w:pPr>
        <w:rPr/>
      </w:pPr>
      <w:r w:rsidDel="00000000" w:rsidR="00000000" w:rsidRPr="00000000">
        <w:rPr>
          <w:rtl w:val="0"/>
        </w:rPr>
        <w:t xml:space="preserve">We agree with the proposal to support regional stakeholders and provide necessary tools for them to become active and significant participants in the ICANN structure and PDPs. In this regard, we recommend strengthening the LACRALO Academy initiative with objective 2.2.4 of the GSE Plan on Capacity Development Session at ICANN meetings. That regional initiative, LACRALO Academy, is being developed by the LACRALO Training Working Group. We also consider it important to convene other actors such as LACTLD with whom this strategy could be reinforced or with LACNIC with whom LACRALO has a current Cooperation Agreement.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t xml:space="preserve">3.</w:t>
      </w:r>
      <w:r w:rsidDel="00000000" w:rsidR="00000000" w:rsidRPr="00000000">
        <w:rPr>
          <w:b w:val="1"/>
          <w:rtl w:val="0"/>
        </w:rPr>
        <w:t xml:space="preserve"> Unique Identifier Systems </w:t>
      </w:r>
    </w:p>
    <w:p w:rsidR="00000000" w:rsidDel="00000000" w:rsidP="00000000" w:rsidRDefault="00000000" w:rsidRPr="00000000" w14:paraId="00000014">
      <w:pPr>
        <w:rPr/>
      </w:pPr>
      <w:r w:rsidDel="00000000" w:rsidR="00000000" w:rsidRPr="00000000">
        <w:rPr>
          <w:rtl w:val="0"/>
        </w:rPr>
        <w:t xml:space="preserve">We are aware that more than half of the world's population uses the Internet and that number of users grows every day. We understand that ICANN will continue to play a critical role in ensuring a unique, stable, secure, and interoperable infrastructure. We see a great opportunity for joint coordination between the LAC Regional Initiative on Universal Acceptance and IDN and objective 3.1.1 of the Plan (Research Projects on Universal Acceptance (UA)). The LAC Regional Initiative is being developed by the LACRALO Working Group on Multilingualism and Universal Acceptance, in addition to having a group in Brazil, where another LACRALO member participates in the studies for ICANN on UA and its developments. We consider it essential to deepen into any action that promotes raising awareness of the use of domain names in the region, focused on improving the unique identifier systems of the Internet and, consequently, providing a better service to a broader and more diverse worldwide user base.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4. </w:t>
      </w:r>
      <w:r w:rsidDel="00000000" w:rsidR="00000000" w:rsidRPr="00000000">
        <w:rPr>
          <w:b w:val="1"/>
          <w:rtl w:val="0"/>
        </w:rPr>
        <w:t xml:space="preserve">Regional Geopolitics</w:t>
      </w: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From LACRALO we believe in the importance of the articulated work with the Internet Users Organizations linked in Latin America and the Caribbean for the approach and deep work with actors of the regional ecosystem such as; public policy makers or key actors such as legislators, regulators, and stakeholders who will be highly important to know about ICANN's mission. It will be highly relevant to the promotion of various regulations that guarantee the stability, resilience, and good functioning of the Internet ecosystem.</w:t>
      </w: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rtl w:val="0"/>
        </w:rPr>
      </w:r>
    </w:p>
    <w:p w:rsidR="00000000" w:rsidDel="00000000" w:rsidP="00000000" w:rsidRDefault="00000000" w:rsidRPr="00000000" w14:paraId="0000001A">
      <w:pPr>
        <w:rPr>
          <w:b w:val="1"/>
          <w:sz w:val="28"/>
          <w:szCs w:val="28"/>
        </w:rPr>
      </w:pPr>
      <w:hyperlink r:id="rId7">
        <w:r w:rsidDel="00000000" w:rsidR="00000000" w:rsidRPr="00000000">
          <w:rPr>
            <w:b w:val="1"/>
            <w:color w:val="1155cc"/>
            <w:sz w:val="28"/>
            <w:szCs w:val="28"/>
            <w:u w:val="single"/>
            <w:rtl w:val="0"/>
          </w:rPr>
          <w:t xml:space="preserve"> ccNSO PDP3: Initial Proposals for Process to Retire ccTLDs</w:t>
        </w:r>
      </w:hyperlink>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The ALAC welcomes the opportunity to comment on the Process to Retire ccTLDs.</w:t>
      </w:r>
    </w:p>
    <w:p w:rsidR="00000000" w:rsidDel="00000000" w:rsidP="00000000" w:rsidRDefault="00000000" w:rsidRPr="00000000" w14:paraId="0000001D">
      <w:pPr>
        <w:rPr/>
      </w:pPr>
      <w:r w:rsidDel="00000000" w:rsidR="00000000" w:rsidRPr="00000000">
        <w:rPr>
          <w:rtl w:val="0"/>
        </w:rPr>
        <w:t xml:space="preserve"> From an end-user perspective, two points need to be considered: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 As a user of the Internet, the removal of a TLD will mean less likelihood for confusion as usually a ccTLD would be removed to make way for a new one. This enhances trust in the domain name identifiers.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2. As a domain name registrant, the retirement of the ccTLD could pose a problem when correspondents are accustomed to using the "old" address using the obsolete ccTLD. Some companies have built a brand around the "old" ccTLD.</w:t>
      </w:r>
    </w:p>
    <w:p w:rsidR="00000000" w:rsidDel="00000000" w:rsidP="00000000" w:rsidRDefault="00000000" w:rsidRPr="00000000" w14:paraId="00000022">
      <w:pPr>
        <w:rPr/>
      </w:pPr>
      <w:r w:rsidDel="00000000" w:rsidR="00000000" w:rsidRPr="00000000">
        <w:rPr>
          <w:rtl w:val="0"/>
        </w:rPr>
        <w:t xml:space="preserve"> In relation to the definition and applicability of the process, the retirement triggering event perfectly describes the situation. However, the ALAC notes that in the event that a retired ccTLD does not have a ccTLD Manager referred to in this policy as a Functional Manager and the IANA Naming Functions Operator (IFO) operator is required to transfer the responsibility of the ccTLD to a Functional Manager, transparency and following due process is necessary to avoid any unexpected disruption to the process. In relation to the retirement process, the policy determines that both the IFO and the Functional Manager will work together in good faith to ensure the interests of the registrants are taken into consideration. Where end-users are accustomed to using the old retired domains, the interests of the end-users need to be taken into account as a part of the interests of the registrants. </w:t>
      </w:r>
    </w:p>
    <w:p w:rsidR="00000000" w:rsidDel="00000000" w:rsidP="00000000" w:rsidRDefault="00000000" w:rsidRPr="00000000" w14:paraId="00000023">
      <w:pPr>
        <w:rPr/>
      </w:pPr>
      <w:r w:rsidDel="00000000" w:rsidR="00000000" w:rsidRPr="00000000">
        <w:rPr>
          <w:rtl w:val="0"/>
        </w:rPr>
        <w:t xml:space="preserve">In relation to the review mechanism, it is unclear what review mechanisms would be used and what exactly the mechanism will review. </w:t>
      </w:r>
    </w:p>
    <w:p w:rsidR="00000000" w:rsidDel="00000000" w:rsidP="00000000" w:rsidRDefault="00000000" w:rsidRPr="00000000" w14:paraId="00000024">
      <w:pPr>
        <w:rPr>
          <w:rFonts w:ascii="Droid Sans" w:cs="Droid Sans" w:eastAsia="Droid Sans" w:hAnsi="Droid Sans"/>
          <w:color w:val="23527c"/>
          <w:highlight w:val="white"/>
          <w:u w:val="single"/>
        </w:rPr>
      </w:pPr>
      <w:r w:rsidDel="00000000" w:rsidR="00000000" w:rsidRPr="00000000">
        <w:rPr>
          <w:rtl w:val="0"/>
        </w:rPr>
        <w:t xml:space="preserve">As a whole, the ALAC supports the ccNSO PDP3. The retirement plan is fit for purpose. It is comprehensive and takes into account special cases like .UK .AC and .EU.</w:t>
      </w: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rtl w:val="0"/>
        </w:rPr>
      </w:r>
    </w:p>
    <w:p w:rsidR="00000000" w:rsidDel="00000000" w:rsidP="00000000" w:rsidRDefault="00000000" w:rsidRPr="00000000" w14:paraId="00000026">
      <w:pPr>
        <w:rPr>
          <w:b w:val="1"/>
          <w:sz w:val="28"/>
          <w:szCs w:val="28"/>
        </w:rPr>
      </w:pPr>
      <w:hyperlink r:id="rId8">
        <w:r w:rsidDel="00000000" w:rsidR="00000000" w:rsidRPr="00000000">
          <w:rPr>
            <w:b w:val="1"/>
            <w:color w:val="1155cc"/>
            <w:sz w:val="28"/>
            <w:szCs w:val="28"/>
            <w:u w:val="single"/>
            <w:rtl w:val="0"/>
          </w:rPr>
          <w:t xml:space="preserve"> Name Collision Analysis Project (NCAP) Study 1: Proposed Final Report.</w:t>
        </w:r>
      </w:hyperlink>
      <w:r w:rsidDel="00000000" w:rsidR="00000000" w:rsidRPr="00000000">
        <w:rPr>
          <w:rtl w:val="0"/>
        </w:rPr>
      </w:r>
    </w:p>
    <w:p w:rsidR="00000000" w:rsidDel="00000000" w:rsidP="00000000" w:rsidRDefault="00000000" w:rsidRPr="00000000" w14:paraId="00000027">
      <w:pPr>
        <w:rPr>
          <w:b w:val="1"/>
          <w:sz w:val="28"/>
          <w:szCs w:val="28"/>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ALAC thanks OCTO, NCAP WP members and NCAP DG members for overseeing the work that has led to the NCAP Study 1 being completed with the production of this NCAP Study 1 Proposed Final Report, and we maintain our acknowledgment of the report as a useful primer on the subject of Name Collisions. </w:t>
      </w:r>
    </w:p>
    <w:p w:rsidR="00000000" w:rsidDel="00000000" w:rsidP="00000000" w:rsidRDefault="00000000" w:rsidRPr="00000000" w14:paraId="00000029">
      <w:pPr>
        <w:rPr/>
      </w:pPr>
      <w:r w:rsidDel="00000000" w:rsidR="00000000" w:rsidRPr="00000000">
        <w:rPr>
          <w:rtl w:val="0"/>
        </w:rPr>
        <w:t xml:space="preserve">We note that the contractor engaged to perform Study 1 has made a recommendation in this proposed final report, summarized as follows:</w:t>
      </w:r>
    </w:p>
    <w:p w:rsidR="00000000" w:rsidDel="00000000" w:rsidP="00000000" w:rsidRDefault="00000000" w:rsidRPr="00000000" w14:paraId="0000002A">
      <w:pPr>
        <w:rPr/>
      </w:pPr>
      <w:r w:rsidDel="00000000" w:rsidR="00000000" w:rsidRPr="00000000">
        <w:rPr>
          <w:rtl w:val="0"/>
        </w:rPr>
        <w:t xml:space="preserve"> "Given these findings, the recommendation is that Studies 2 and 3 should not be performed as currently designed ...... All of that being said, this does not mean further study should not be conducted into name collision risks and the feasibility of potentially delegating additional domains that are likely to cause name collisions. Most notably, the Study 3 question of how to mitigate name collisions for potential delegation of the corp, home, and mail TLDs is still unresolved. However, the proposals for Studies 2 and 3, which were developed years ago, do not seem to be effective ways of achieving the intended goals."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The ALAC understands this recommendation to mean that the NCAP Studies 2 and 3 remain highly necessary, not only to facilitate further study into name collision risks associated with potential delegation of additional TLDs into the root zone but also to determine effective mitigation steps to address such identified risks. We see such risks as potentially arising from delegations of any strings from the 2012 round of applications for new gTLDs still undergoing the contracting process, as a result of any new round of applications for new gTLDs, as well as in the management of ccTLDs. As the final report has noted, even the ICANN Board's question which the SSAC seeks to answer with Study 3 in respect of.CORP, .HOME and.MAIL as TLDs remains unresolved.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Therefore, we strongly support the SSAC in proceeding with Studies 2 and 3, and we also strongly urge the ICANN Board and ICANN Org/OCTO to take the necessary action to facilitate the conduct and funding of the NCAP Studies 2 and 3 in a manner agreeable by the SSAC.</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pStyle w:val="Heading1"/>
        <w:keepNext w:val="0"/>
        <w:keepLines w:val="0"/>
        <w:shd w:fill="ffffff" w:val="clear"/>
        <w:spacing w:after="380" w:before="0" w:lineRule="auto"/>
        <w:rPr>
          <w:b w:val="1"/>
          <w:sz w:val="28"/>
          <w:szCs w:val="28"/>
        </w:rPr>
      </w:pPr>
      <w:bookmarkStart w:colFirst="0" w:colLast="0" w:name="_1377balzkbtl" w:id="2"/>
      <w:bookmarkEnd w:id="2"/>
      <w:r w:rsidDel="00000000" w:rsidR="00000000" w:rsidRPr="00000000">
        <w:rPr>
          <w:rtl w:val="0"/>
        </w:rPr>
      </w:r>
    </w:p>
    <w:p w:rsidR="00000000" w:rsidDel="00000000" w:rsidP="00000000" w:rsidRDefault="00000000" w:rsidRPr="00000000" w14:paraId="00000031">
      <w:pPr>
        <w:pStyle w:val="Heading1"/>
        <w:keepNext w:val="0"/>
        <w:keepLines w:val="0"/>
        <w:shd w:fill="ffffff" w:val="clear"/>
        <w:spacing w:after="380" w:before="0" w:lineRule="auto"/>
        <w:rPr>
          <w:b w:val="1"/>
          <w:sz w:val="28"/>
          <w:szCs w:val="28"/>
        </w:rPr>
      </w:pPr>
      <w:bookmarkStart w:colFirst="0" w:colLast="0" w:name="_1r0kiuwhe0hp" w:id="3"/>
      <w:bookmarkEnd w:id="3"/>
      <w:r w:rsidDel="00000000" w:rsidR="00000000" w:rsidRPr="00000000">
        <w:rPr>
          <w:rtl w:val="0"/>
        </w:rPr>
      </w:r>
    </w:p>
    <w:p w:rsidR="00000000" w:rsidDel="00000000" w:rsidP="00000000" w:rsidRDefault="00000000" w:rsidRPr="00000000" w14:paraId="00000032">
      <w:pPr>
        <w:pStyle w:val="Heading1"/>
        <w:keepNext w:val="0"/>
        <w:keepLines w:val="0"/>
        <w:shd w:fill="ffffff" w:val="clear"/>
        <w:spacing w:after="380" w:before="0" w:lineRule="auto"/>
        <w:rPr>
          <w:b w:val="1"/>
          <w:sz w:val="28"/>
          <w:szCs w:val="28"/>
        </w:rPr>
      </w:pPr>
      <w:bookmarkStart w:colFirst="0" w:colLast="0" w:name="_xsp506w9adps" w:id="4"/>
      <w:bookmarkEnd w:id="4"/>
      <w:r w:rsidDel="00000000" w:rsidR="00000000" w:rsidRPr="00000000">
        <w:rPr>
          <w:rtl w:val="0"/>
        </w:rPr>
      </w:r>
    </w:p>
    <w:p w:rsidR="00000000" w:rsidDel="00000000" w:rsidP="00000000" w:rsidRDefault="00000000" w:rsidRPr="00000000" w14:paraId="00000033">
      <w:pPr>
        <w:pStyle w:val="Heading1"/>
        <w:keepNext w:val="0"/>
        <w:keepLines w:val="0"/>
        <w:shd w:fill="ffffff" w:val="clear"/>
        <w:spacing w:after="380" w:before="0" w:lineRule="auto"/>
        <w:rPr/>
      </w:pPr>
      <w:bookmarkStart w:colFirst="0" w:colLast="0" w:name="_nx5so269zikw" w:id="5"/>
      <w:bookmarkEnd w:id="5"/>
      <w:hyperlink r:id="rId9">
        <w:r w:rsidDel="00000000" w:rsidR="00000000" w:rsidRPr="00000000">
          <w:rPr>
            <w:b w:val="1"/>
            <w:color w:val="1155cc"/>
            <w:sz w:val="28"/>
            <w:szCs w:val="28"/>
            <w:u w:val="single"/>
            <w:rtl w:val="0"/>
          </w:rPr>
          <w:t xml:space="preserve">Draft PTI FY21-24 Strategic Plan</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ALAC welcomes the opportunity to comment on the draft PTI Strategic Plan and supports its five strategic objectives and strategies to achieve those objectives. </w:t>
      </w:r>
    </w:p>
    <w:p w:rsidR="00000000" w:rsidDel="00000000" w:rsidP="00000000" w:rsidRDefault="00000000" w:rsidRPr="00000000" w14:paraId="00000035">
      <w:pPr>
        <w:rPr/>
      </w:pPr>
      <w:r w:rsidDel="00000000" w:rsidR="00000000" w:rsidRPr="00000000">
        <w:rPr>
          <w:rtl w:val="0"/>
        </w:rPr>
        <w:t xml:space="preserve">ALAC would like to particularly support the following elements of the Draft Plan: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Awareness of PTI's mandate and remit</w:t>
      </w: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Under Objective One, one of the targeted outcomes is ‘improved alignment and awareness of ongoing unique identifiers activities within ICANN’. </w:t>
      </w:r>
    </w:p>
    <w:p w:rsidR="00000000" w:rsidDel="00000000" w:rsidP="00000000" w:rsidRDefault="00000000" w:rsidRPr="00000000" w14:paraId="00000039">
      <w:pPr>
        <w:rPr/>
      </w:pPr>
      <w:r w:rsidDel="00000000" w:rsidR="00000000" w:rsidRPr="00000000">
        <w:rPr>
          <w:rtl w:val="0"/>
        </w:rPr>
        <w:t xml:space="preserve">One of the suggested ways to achieve that objective is to continue to “build on engagement efforts with oversight bodies such as the IETF Leadership, RIRs, CSC, and SO/ACs, as well as with the broader Internet community that uses the IANA services.”</w:t>
      </w:r>
    </w:p>
    <w:p w:rsidR="00000000" w:rsidDel="00000000" w:rsidP="00000000" w:rsidRDefault="00000000" w:rsidRPr="00000000" w14:paraId="0000003A">
      <w:pPr>
        <w:rPr/>
      </w:pPr>
      <w:r w:rsidDel="00000000" w:rsidR="00000000" w:rsidRPr="00000000">
        <w:rPr>
          <w:rtl w:val="0"/>
        </w:rPr>
        <w:t xml:space="preserve"> Further, one of the risks identified under Strategic Objective Five is: PTI operates in silo due to a lack of clarity about the organization's remit within the broader ICANN org and community. </w:t>
      </w:r>
    </w:p>
    <w:p w:rsidR="00000000" w:rsidDel="00000000" w:rsidP="00000000" w:rsidRDefault="00000000" w:rsidRPr="00000000" w14:paraId="0000003B">
      <w:pPr>
        <w:rPr/>
      </w:pPr>
      <w:r w:rsidDel="00000000" w:rsidR="00000000" w:rsidRPr="00000000">
        <w:rPr>
          <w:rtl w:val="0"/>
        </w:rPr>
        <w:t xml:space="preserve">Noting that an outcome of Objective Five is "ICANN org and community aligned and educated about ICANN and PTI's remit in regards to the performance of the IANA functions,” both suggest that these targeted outcome(s) and identified risk point to an important need for the publicizing of the critical role of PTI along with its remit in performing the naming function. </w:t>
      </w:r>
    </w:p>
    <w:p w:rsidR="00000000" w:rsidDel="00000000" w:rsidP="00000000" w:rsidRDefault="00000000" w:rsidRPr="00000000" w14:paraId="0000003C">
      <w:pPr>
        <w:rPr/>
      </w:pPr>
      <w:r w:rsidDel="00000000" w:rsidR="00000000" w:rsidRPr="00000000">
        <w:rPr>
          <w:rtl w:val="0"/>
        </w:rPr>
        <w:t xml:space="preserve">ALAC supports the development and implementation of an awareness and education campaign both within ICANN and in the larger Internet community on the critical role PTI plays in carrying out the ‘naming function’.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Alignment of ICANN and PTI’s Strategic and Financial Plans</w:t>
      </w:r>
    </w:p>
    <w:p w:rsidR="00000000" w:rsidDel="00000000" w:rsidP="00000000" w:rsidRDefault="00000000" w:rsidRPr="00000000" w14:paraId="0000003F">
      <w:pPr>
        <w:rPr/>
      </w:pPr>
      <w:r w:rsidDel="00000000" w:rsidR="00000000" w:rsidRPr="00000000">
        <w:rPr>
          <w:rtl w:val="0"/>
        </w:rPr>
        <w:t xml:space="preserve"> The draft Strategic Plan notes that PTI is required to have a four-year strategic plan and budget, while both ICANN’s Strategic Plan and budget are for five years. </w:t>
      </w:r>
    </w:p>
    <w:p w:rsidR="00000000" w:rsidDel="00000000" w:rsidP="00000000" w:rsidRDefault="00000000" w:rsidRPr="00000000" w14:paraId="00000040">
      <w:pPr>
        <w:rPr/>
      </w:pPr>
      <w:r w:rsidDel="00000000" w:rsidR="00000000" w:rsidRPr="00000000">
        <w:rPr>
          <w:rtl w:val="0"/>
        </w:rPr>
        <w:t xml:space="preserve">The draft Strategic Plan makes it clear that the work of PTI and the resources to carry out that work and very closely tied to ICANN’s Strategic Plan and Budget. </w:t>
      </w:r>
    </w:p>
    <w:p w:rsidR="00000000" w:rsidDel="00000000" w:rsidP="00000000" w:rsidRDefault="00000000" w:rsidRPr="00000000" w14:paraId="00000041">
      <w:pPr>
        <w:rPr/>
      </w:pPr>
      <w:r w:rsidDel="00000000" w:rsidR="00000000" w:rsidRPr="00000000">
        <w:rPr>
          <w:rtl w:val="0"/>
        </w:rPr>
        <w:t xml:space="preserve">As the Draft Strategic Plan states in its introduction, one of the three key inputs into what PTI does is “the overall strategy of the ICANN organization. Indeed, in ICANN’s Strategic Plan, one of the first targeted outcomes is “Improved alignment and awareness of ongoing unique identifiers activities within ICANN org, the IANA customer community, and more broadly in standards development organizations”.</w:t>
      </w:r>
    </w:p>
    <w:p w:rsidR="00000000" w:rsidDel="00000000" w:rsidP="00000000" w:rsidRDefault="00000000" w:rsidRPr="00000000" w14:paraId="00000042">
      <w:pPr>
        <w:rPr/>
      </w:pPr>
      <w:r w:rsidDel="00000000" w:rsidR="00000000" w:rsidRPr="00000000">
        <w:rPr>
          <w:rtl w:val="0"/>
        </w:rPr>
        <w:t xml:space="preserve"> The alignment of the budgets is also seen as critical. One of the risks identified in implementing a Strategic objective on security threats: ‘Insufficient resources to continuously review and implement evolving security standards in the key systems used to deliver the IANA services.’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The ALAC supports implementation of steps to more closely align ICANN’s and PTI’s Strategic and Financial planning. This particularly includes ensuring that ICANN’s budget provides sufficient funding for PTI to meet its strategic objectives. It should also ensure there is clarity on responsibility for tasks and no duplication of work</w:t>
      </w:r>
      <w:r w:rsidDel="00000000" w:rsidR="00000000" w:rsidRPr="00000000">
        <w:rPr>
          <w:rtl w:val="0"/>
        </w:rPr>
        <w:t xml:space="preserve">.</w:t>
      </w:r>
    </w:p>
    <w:p w:rsidR="00000000" w:rsidDel="00000000" w:rsidP="00000000" w:rsidRDefault="00000000" w:rsidRPr="00000000" w14:paraId="00000045">
      <w:pPr>
        <w:rPr>
          <w:b w:val="1"/>
        </w:rPr>
      </w:pPr>
      <w:r w:rsidDel="00000000" w:rsidR="00000000" w:rsidRPr="00000000">
        <w:rPr>
          <w:b w:val="1"/>
          <w:rtl w:val="0"/>
        </w:rPr>
        <w:t xml:space="preserve"> Input into the development of ICANN policies</w:t>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 One issue identified as a risk under Objective Three (on addressing the evolving needs of its customers) is as follows:</w:t>
      </w:r>
    </w:p>
    <w:p w:rsidR="00000000" w:rsidDel="00000000" w:rsidP="00000000" w:rsidRDefault="00000000" w:rsidRPr="00000000" w14:paraId="00000048">
      <w:pPr>
        <w:rPr/>
      </w:pPr>
      <w:r w:rsidDel="00000000" w:rsidR="00000000" w:rsidRPr="00000000">
        <w:rPr>
          <w:rtl w:val="0"/>
        </w:rPr>
        <w:t xml:space="preserve"> ‘New community policies can trigger a significant increase in workload, and with insufficient lead time or commensurate resource adjustments, can impact overall IANA function.’</w:t>
      </w:r>
    </w:p>
    <w:p w:rsidR="00000000" w:rsidDel="00000000" w:rsidP="00000000" w:rsidRDefault="00000000" w:rsidRPr="00000000" w14:paraId="00000049">
      <w:pPr>
        <w:rPr/>
      </w:pPr>
      <w:r w:rsidDel="00000000" w:rsidR="00000000" w:rsidRPr="00000000">
        <w:rPr>
          <w:rtl w:val="0"/>
        </w:rPr>
        <w:t xml:space="preserve"> Indeed, privacy issues were specifically mentioned as one of the risks in achieving Objective One: </w:t>
      </w:r>
    </w:p>
    <w:p w:rsidR="00000000" w:rsidDel="00000000" w:rsidP="00000000" w:rsidRDefault="00000000" w:rsidRPr="00000000" w14:paraId="0000004A">
      <w:pPr>
        <w:rPr/>
      </w:pPr>
      <w:r w:rsidDel="00000000" w:rsidR="00000000" w:rsidRPr="00000000">
        <w:rPr>
          <w:rtl w:val="0"/>
        </w:rPr>
        <w:t xml:space="preserve">The evolving data privacy regulation landscape may have an impact on the level of transparency for the IANA registries, which may erode trust and accountability. </w:t>
      </w:r>
    </w:p>
    <w:p w:rsidR="00000000" w:rsidDel="00000000" w:rsidP="00000000" w:rsidRDefault="00000000" w:rsidRPr="00000000" w14:paraId="0000004B">
      <w:pPr>
        <w:rPr/>
      </w:pPr>
      <w:r w:rsidDel="00000000" w:rsidR="00000000" w:rsidRPr="00000000">
        <w:rPr>
          <w:rtl w:val="0"/>
        </w:rPr>
        <w:t xml:space="preserve">While the PTI’s contract with ICANN prohibits PTI from publicly initiating, advancing of advocating any policy development to the naming function, PTI should respond to any requests for information and guidance to inform policy discussions that could impact on the naming function. Further, PTI should develop clear procedures to seek and capitalize on opportunities to inform the development or implementation of policies that PTI believes will impact its performance of the naming functions.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ALAC supports the development of mechanisms to ensure that PTI is given opportunities to provide input on the development of policies that could impact in PTI’s carrying out its functions under its contract with ICANN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roid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tlarge.icann.org/advice_statements/13781" TargetMode="External"/><Relationship Id="rId5" Type="http://schemas.openxmlformats.org/officeDocument/2006/relationships/styles" Target="styles.xml"/><Relationship Id="rId6" Type="http://schemas.openxmlformats.org/officeDocument/2006/relationships/hyperlink" Target="https://atlarge.icann.org/advice_statements/13787" TargetMode="External"/><Relationship Id="rId7" Type="http://schemas.openxmlformats.org/officeDocument/2006/relationships/hyperlink" Target="https://atlarge.icann.org/advice_statements/13785" TargetMode="External"/><Relationship Id="rId8" Type="http://schemas.openxmlformats.org/officeDocument/2006/relationships/hyperlink" Target="https://atlarge.icann.org/advice_statements/13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