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8556" w14:textId="77777777" w:rsidR="00CA5E3B" w:rsidRDefault="00000000">
      <w:pPr>
        <w:jc w:val="center"/>
        <w:rPr>
          <w:rFonts w:ascii="Calibri" w:eastAsia="Calibri" w:hAnsi="Calibri" w:cs="Calibri"/>
          <w:b/>
          <w:sz w:val="22"/>
          <w:szCs w:val="22"/>
        </w:rPr>
      </w:pPr>
      <w:r>
        <w:rPr>
          <w:rFonts w:ascii="Calibri" w:eastAsia="Calibri" w:hAnsi="Calibri" w:cs="Calibri"/>
          <w:b/>
          <w:sz w:val="22"/>
          <w:szCs w:val="22"/>
        </w:rPr>
        <w:t>Annotated Outline of a Policy Brief on Universal Acceptance</w:t>
      </w:r>
    </w:p>
    <w:p w14:paraId="76CF35CA" w14:textId="77777777" w:rsidR="00CA5E3B" w:rsidRDefault="00000000">
      <w:pPr>
        <w:pStyle w:val="Heading1"/>
        <w:numPr>
          <w:ilvl w:val="0"/>
          <w:numId w:val="7"/>
        </w:numPr>
      </w:pPr>
      <w:r>
        <w:t>Executive Summary</w:t>
      </w:r>
    </w:p>
    <w:p w14:paraId="064F88D6" w14:textId="77777777" w:rsidR="00CA5E3B" w:rsidRDefault="00000000">
      <w:pPr>
        <w:numPr>
          <w:ilvl w:val="0"/>
          <w:numId w:val="2"/>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Introduce UA: Universal Acceptance (UA) is a principle that </w:t>
      </w:r>
      <w:r>
        <w:rPr>
          <w:rFonts w:ascii="Calibri" w:eastAsia="Calibri" w:hAnsi="Calibri" w:cs="Calibri"/>
          <w:color w:val="333333"/>
          <w:sz w:val="22"/>
          <w:szCs w:val="22"/>
          <w:highlight w:val="white"/>
        </w:rPr>
        <w:t>ensures that all domain names, including new top-level domains (TLDs), </w:t>
      </w:r>
      <w:hyperlink r:id="rId8">
        <w:r>
          <w:rPr>
            <w:rFonts w:ascii="Calibri" w:eastAsia="Calibri" w:hAnsi="Calibri" w:cs="Calibri"/>
            <w:color w:val="0098D5"/>
            <w:sz w:val="22"/>
            <w:szCs w:val="22"/>
            <w:highlight w:val="white"/>
            <w:u w:val="single"/>
          </w:rPr>
          <w:t>Internationalized Domain Names (IDNs</w:t>
        </w:r>
      </w:hyperlink>
      <w:r>
        <w:rPr>
          <w:rFonts w:ascii="Calibri" w:eastAsia="Calibri" w:hAnsi="Calibri" w:cs="Calibri"/>
          <w:color w:val="000000"/>
          <w:sz w:val="22"/>
          <w:szCs w:val="22"/>
          <w:vertAlign w:val="superscript"/>
        </w:rPr>
        <w:footnoteReference w:id="1"/>
      </w:r>
      <w:hyperlink r:id="rId9">
        <w:r>
          <w:rPr>
            <w:rFonts w:ascii="Calibri" w:eastAsia="Calibri" w:hAnsi="Calibri" w:cs="Calibri"/>
            <w:color w:val="0098D5"/>
            <w:sz w:val="22"/>
            <w:szCs w:val="22"/>
            <w:highlight w:val="white"/>
            <w:u w:val="single"/>
          </w:rPr>
          <w:t>)</w:t>
        </w:r>
      </w:hyperlink>
      <w:r>
        <w:rPr>
          <w:rFonts w:ascii="Calibri" w:eastAsia="Calibri" w:hAnsi="Calibri" w:cs="Calibri"/>
          <w:color w:val="333333"/>
          <w:sz w:val="22"/>
          <w:szCs w:val="22"/>
          <w:highlight w:val="white"/>
        </w:rPr>
        <w:t>, and email addresses are treated equally and can be used by all Internet-enabled applications, devices, and systems. UA provides the gateway to the next billion Internet users</w:t>
      </w:r>
      <w:r>
        <w:rPr>
          <w:rFonts w:ascii="Calibri" w:eastAsia="Calibri" w:hAnsi="Calibri" w:cs="Calibri"/>
          <w:color w:val="000000"/>
          <w:sz w:val="22"/>
          <w:szCs w:val="22"/>
        </w:rPr>
        <w:t xml:space="preserve">. </w:t>
      </w:r>
    </w:p>
    <w:p w14:paraId="3441365C" w14:textId="77777777" w:rsidR="00CA5E3B" w:rsidRDefault="00000000">
      <w:pPr>
        <w:numPr>
          <w:ilvl w:val="0"/>
          <w:numId w:val="2"/>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State the problem: Despite the evolution of the internet, challenges remain in achieving full UA, particularly for non-Latin scripts and newly introduced TLDs. </w:t>
      </w:r>
    </w:p>
    <w:p w14:paraId="44CF3F3D" w14:textId="77777777" w:rsidR="00CA5E3B" w:rsidRDefault="00000000">
      <w:pPr>
        <w:numPr>
          <w:ilvl w:val="0"/>
          <w:numId w:val="2"/>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Note the effort of ICANN and UNESCO in the sphere: UA evolution and 2003 Recommendation</w:t>
      </w:r>
    </w:p>
    <w:p w14:paraId="5DB9DC81" w14:textId="77777777" w:rsidR="00CA5E3B" w:rsidRDefault="00000000">
      <w:pPr>
        <w:numPr>
          <w:ilvl w:val="0"/>
          <w:numId w:val="2"/>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Content of the policy brief (to be developed)</w:t>
      </w:r>
    </w:p>
    <w:p w14:paraId="3E4D166F" w14:textId="77777777" w:rsidR="00CA5E3B" w:rsidRDefault="00000000">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Purpose of the policy brief: This policy brief introduces the context of the UA and provides a few policy recommendations to accelerate UA adoption in line with the 2003 Recommendation.  It also </w:t>
      </w:r>
      <w:proofErr w:type="gramStart"/>
      <w:r>
        <w:rPr>
          <w:rFonts w:ascii="Calibri" w:eastAsia="Calibri" w:hAnsi="Calibri" w:cs="Calibri"/>
          <w:color w:val="000000"/>
          <w:sz w:val="22"/>
          <w:szCs w:val="22"/>
        </w:rPr>
        <w:t>emphasize</w:t>
      </w:r>
      <w:proofErr w:type="gramEnd"/>
      <w:r>
        <w:rPr>
          <w:rFonts w:ascii="Calibri" w:eastAsia="Calibri" w:hAnsi="Calibri" w:cs="Calibri"/>
          <w:color w:val="000000"/>
          <w:sz w:val="22"/>
          <w:szCs w:val="22"/>
        </w:rPr>
        <w:t xml:space="preserve"> the need for and the role of policymakers in fostering an inclusive, multilingual, and innovative digital environment. It introduces context for developing and implementing national UA strategies; provides a basis to update legal and regulatory frameworks to support IDNs and new TLDs for MS; presents the capacity vacuum and highlight the need to promote awareness and capacity enhancement of stakeholders;  highlights how it can help in the periodic reporting process in connection with the 2003 Recommendation; defines the roles that different stakeholders can and highlight the need for  international cooperation as </w:t>
      </w:r>
      <w:r>
        <w:rPr>
          <w:rFonts w:ascii="Calibri" w:eastAsia="Calibri" w:hAnsi="Calibri" w:cs="Calibri"/>
          <w:sz w:val="22"/>
          <w:szCs w:val="22"/>
        </w:rPr>
        <w:t>multilingualism</w:t>
      </w:r>
      <w:r>
        <w:rPr>
          <w:rFonts w:ascii="Calibri" w:eastAsia="Calibri" w:hAnsi="Calibri" w:cs="Calibri"/>
          <w:color w:val="000000"/>
          <w:sz w:val="22"/>
          <w:szCs w:val="22"/>
        </w:rPr>
        <w:t xml:space="preserve"> can’t be contained within the national boundaries.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A5E3B" w14:paraId="0FB3D470" w14:textId="77777777">
        <w:tc>
          <w:tcPr>
            <w:tcW w:w="9350" w:type="dxa"/>
          </w:tcPr>
          <w:p w14:paraId="2E62646F" w14:textId="77777777" w:rsidR="00CA5E3B" w:rsidRDefault="00000000">
            <w:pPr>
              <w:jc w:val="both"/>
              <w:rPr>
                <w:rFonts w:ascii="Calibri" w:eastAsia="Calibri" w:hAnsi="Calibri" w:cs="Calibri"/>
                <w:sz w:val="22"/>
                <w:szCs w:val="22"/>
              </w:rPr>
            </w:pPr>
            <w:r>
              <w:rPr>
                <w:rFonts w:ascii="Calibri" w:eastAsia="Calibri" w:hAnsi="Calibri" w:cs="Calibri"/>
                <w:sz w:val="22"/>
                <w:szCs w:val="22"/>
              </w:rPr>
              <w:t xml:space="preserve">Boxed statement: Achieving UA by Member States is essential for digital inclusion, economic growth, and cultural preservation. While it is a multistakeholder </w:t>
            </w:r>
            <w:proofErr w:type="gramStart"/>
            <w:r>
              <w:rPr>
                <w:rFonts w:ascii="Calibri" w:eastAsia="Calibri" w:hAnsi="Calibri" w:cs="Calibri"/>
                <w:sz w:val="22"/>
                <w:szCs w:val="22"/>
              </w:rPr>
              <w:t>process,  policymakers</w:t>
            </w:r>
            <w:proofErr w:type="gramEnd"/>
            <w:r>
              <w:rPr>
                <w:rFonts w:ascii="Calibri" w:eastAsia="Calibri" w:hAnsi="Calibri" w:cs="Calibri"/>
                <w:sz w:val="22"/>
                <w:szCs w:val="22"/>
              </w:rPr>
              <w:t xml:space="preserve"> play a vital role in ensuring that the internet remains accessible and beneficial to all users, regardless of language or geographic location</w:t>
            </w:r>
          </w:p>
        </w:tc>
      </w:tr>
    </w:tbl>
    <w:p w14:paraId="00E98590" w14:textId="77777777" w:rsidR="00CA5E3B" w:rsidRDefault="00000000">
      <w:pPr>
        <w:jc w:val="both"/>
        <w:rPr>
          <w:rFonts w:ascii="Calibri" w:eastAsia="Calibri" w:hAnsi="Calibri" w:cs="Calibri"/>
          <w:sz w:val="22"/>
          <w:szCs w:val="22"/>
        </w:rPr>
      </w:pPr>
      <w:r>
        <w:rPr>
          <w:rFonts w:ascii="Calibri" w:eastAsia="Calibri" w:hAnsi="Calibri" w:cs="Calibri"/>
          <w:sz w:val="22"/>
          <w:szCs w:val="22"/>
        </w:rPr>
        <w:t>.</w:t>
      </w:r>
    </w:p>
    <w:p w14:paraId="19B5939F" w14:textId="77777777" w:rsidR="00CA5E3B" w:rsidRDefault="00000000">
      <w:pPr>
        <w:pStyle w:val="Heading1"/>
        <w:numPr>
          <w:ilvl w:val="0"/>
          <w:numId w:val="7"/>
        </w:numPr>
      </w:pPr>
      <w:r>
        <w:t>Introduction</w:t>
      </w:r>
    </w:p>
    <w:p w14:paraId="65ECF7FA" w14:textId="77777777" w:rsidR="00CA5E3B" w:rsidRDefault="00000000">
      <w:pPr>
        <w:numPr>
          <w:ilvl w:val="0"/>
          <w:numId w:val="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Need for digital inclusivity, Linguistic dominance as neo-determinism </w:t>
      </w:r>
    </w:p>
    <w:p w14:paraId="4EF22685" w14:textId="77777777" w:rsidR="00CA5E3B" w:rsidRDefault="00000000">
      <w:pPr>
        <w:numPr>
          <w:ilvl w:val="0"/>
          <w:numId w:val="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Changed context of service delivery</w:t>
      </w:r>
    </w:p>
    <w:p w14:paraId="3ABCA5AB" w14:textId="1DD714B9" w:rsidR="00CA5E3B" w:rsidRDefault="00000000">
      <w:pPr>
        <w:numPr>
          <w:ilvl w:val="0"/>
          <w:numId w:val="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UA as a process </w:t>
      </w:r>
      <w:r w:rsidR="00B31F7A">
        <w:rPr>
          <w:rFonts w:ascii="Calibri" w:eastAsia="Calibri" w:hAnsi="Calibri" w:cs="Calibri"/>
          <w:color w:val="000000"/>
          <w:sz w:val="22"/>
          <w:szCs w:val="22"/>
        </w:rPr>
        <w:t xml:space="preserve"> </w:t>
      </w:r>
    </w:p>
    <w:p w14:paraId="722C536E" w14:textId="77777777" w:rsidR="00CA5E3B" w:rsidRDefault="00000000">
      <w:pPr>
        <w:numPr>
          <w:ilvl w:val="0"/>
          <w:numId w:val="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Definition of UA as the concept that advocates all domain names and email addresses, regardless of their script, length, or format, should be accepted, validated, stored, processed, and displayed correctly by all internet-enabled applications, devices, and systems.</w:t>
      </w:r>
    </w:p>
    <w:p w14:paraId="298999A6" w14:textId="77777777" w:rsidR="00CA5E3B" w:rsidRDefault="00000000">
      <w:pPr>
        <w:numPr>
          <w:ilvl w:val="0"/>
          <w:numId w:val="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Need for unpacking various aspects of UA</w:t>
      </w:r>
    </w:p>
    <w:p w14:paraId="1ED8445B" w14:textId="77777777" w:rsidR="00CA5E3B" w:rsidRDefault="00000000">
      <w:pPr>
        <w:numPr>
          <w:ilvl w:val="0"/>
          <w:numId w:val="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Link to international standard setting instruments</w:t>
      </w:r>
    </w:p>
    <w:p w14:paraId="69C322BC" w14:textId="77777777" w:rsidR="00CA5E3B" w:rsidRDefault="00000000">
      <w:pPr>
        <w:numPr>
          <w:ilvl w:val="0"/>
          <w:numId w:val="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Major challenges and opportunities associated with the adoption of Top-Level Domains (TLDs) and Internationalized Domain Names (IDNs). </w:t>
      </w:r>
    </w:p>
    <w:p w14:paraId="7E1871AA" w14:textId="77777777" w:rsidR="00CA5E3B" w:rsidRDefault="0000000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key technical, policy, and awareness-related aspects of UA implementation and messages.</w:t>
      </w:r>
    </w:p>
    <w:p w14:paraId="0ACD9221" w14:textId="77777777" w:rsidR="00CA5E3B" w:rsidRDefault="00000000">
      <w:pPr>
        <w:pStyle w:val="Heading2"/>
        <w:numPr>
          <w:ilvl w:val="1"/>
          <w:numId w:val="7"/>
        </w:numPr>
      </w:pPr>
      <w:r>
        <w:t>Evolution of DNS</w:t>
      </w:r>
    </w:p>
    <w:p w14:paraId="0B6BA9C6" w14:textId="77777777" w:rsidR="00CA5E3B"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How has the Domain Name System (DNS) evolved overtime since its inception, with the introduction of new generic Top-Level Domains (gTLDs) and Internationalized Domain Names (IDNs) </w:t>
      </w:r>
    </w:p>
    <w:p w14:paraId="3C5CC3BB" w14:textId="77777777" w:rsidR="00CA5E3B" w:rsidRDefault="00000000">
      <w:pPr>
        <w:pStyle w:val="Heading2"/>
        <w:numPr>
          <w:ilvl w:val="1"/>
          <w:numId w:val="7"/>
        </w:numPr>
      </w:pPr>
      <w:r>
        <w:t>Digitalization of development</w:t>
      </w:r>
    </w:p>
    <w:p w14:paraId="4DCDBC9E" w14:textId="77777777" w:rsidR="00CA5E3B"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Increasing digital context and </w:t>
      </w:r>
      <w:r>
        <w:rPr>
          <w:rFonts w:ascii="Calibri" w:eastAsia="Calibri" w:hAnsi="Calibri" w:cs="Calibri"/>
          <w:sz w:val="22"/>
          <w:szCs w:val="22"/>
        </w:rPr>
        <w:t>increasing the</w:t>
      </w:r>
      <w:r>
        <w:rPr>
          <w:rFonts w:ascii="Calibri" w:eastAsia="Calibri" w:hAnsi="Calibri" w:cs="Calibri"/>
          <w:color w:val="000000"/>
          <w:sz w:val="22"/>
          <w:szCs w:val="22"/>
        </w:rPr>
        <w:t xml:space="preserve"> need </w:t>
      </w:r>
      <w:r>
        <w:rPr>
          <w:rFonts w:ascii="Calibri" w:eastAsia="Calibri" w:hAnsi="Calibri" w:cs="Calibri"/>
          <w:sz w:val="22"/>
          <w:szCs w:val="22"/>
        </w:rPr>
        <w:t>for diversity</w:t>
      </w:r>
      <w:r>
        <w:rPr>
          <w:rFonts w:ascii="Calibri" w:eastAsia="Calibri" w:hAnsi="Calibri" w:cs="Calibri"/>
          <w:color w:val="000000"/>
          <w:sz w:val="22"/>
          <w:szCs w:val="22"/>
        </w:rPr>
        <w:t xml:space="preserve"> of internet users. </w:t>
      </w:r>
    </w:p>
    <w:p w14:paraId="68C9D183" w14:textId="77777777" w:rsidR="00CA5E3B" w:rsidRDefault="00000000">
      <w:pPr>
        <w:pStyle w:val="Heading2"/>
        <w:numPr>
          <w:ilvl w:val="1"/>
          <w:numId w:val="7"/>
        </w:numPr>
      </w:pPr>
      <w:r>
        <w:t>UN resolutions and statements</w:t>
      </w:r>
    </w:p>
    <w:p w14:paraId="21777FCF" w14:textId="77777777" w:rsidR="00CA5E3B" w:rsidRDefault="00000000">
      <w:pPr>
        <w:numPr>
          <w:ilvl w:val="0"/>
          <w:numId w:val="8"/>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Convergence in priority to enhance global access and participation of everyone in the digital economy.</w:t>
      </w:r>
    </w:p>
    <w:p w14:paraId="006EED4A" w14:textId="77777777" w:rsidR="00CA5E3B" w:rsidRDefault="00000000">
      <w:pPr>
        <w:numPr>
          <w:ilvl w:val="0"/>
          <w:numId w:val="8"/>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Leaving no one behind</w:t>
      </w:r>
    </w:p>
    <w:p w14:paraId="3A91CF21" w14:textId="77777777" w:rsidR="00CA5E3B"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including latest steps taken by the Member States</w:t>
      </w:r>
    </w:p>
    <w:p w14:paraId="06C3F504" w14:textId="77777777" w:rsidR="00CA5E3B" w:rsidRDefault="00000000">
      <w:pPr>
        <w:pStyle w:val="Heading2"/>
        <w:numPr>
          <w:ilvl w:val="1"/>
          <w:numId w:val="7"/>
        </w:numPr>
      </w:pPr>
      <w:r>
        <w:t>ICANN responses</w:t>
      </w:r>
    </w:p>
    <w:p w14:paraId="5D41DA77" w14:textId="0ECEBA15" w:rsidR="00DB4B76" w:rsidRPr="00DB4B76" w:rsidRDefault="00000000" w:rsidP="00DB4B76">
      <w:pPr>
        <w:numPr>
          <w:ilvl w:val="0"/>
          <w:numId w:val="8"/>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Emergence of UA and </w:t>
      </w:r>
      <w:r w:rsidR="00DB4B76">
        <w:rPr>
          <w:rFonts w:ascii="Calibri" w:eastAsia="Calibri" w:hAnsi="Calibri" w:cs="Calibri"/>
          <w:color w:val="000000"/>
          <w:sz w:val="22"/>
          <w:szCs w:val="22"/>
        </w:rPr>
        <w:t>w</w:t>
      </w:r>
      <w:r>
        <w:rPr>
          <w:rFonts w:ascii="Calibri" w:eastAsia="Calibri" w:hAnsi="Calibri" w:cs="Calibri"/>
          <w:color w:val="000000"/>
          <w:sz w:val="22"/>
          <w:szCs w:val="22"/>
        </w:rPr>
        <w:t xml:space="preserve">ork of </w:t>
      </w:r>
      <w:r w:rsidR="00DB4B76">
        <w:rPr>
          <w:rFonts w:ascii="Calibri" w:eastAsia="Calibri" w:hAnsi="Calibri" w:cs="Calibri"/>
          <w:color w:val="000000"/>
          <w:sz w:val="22"/>
          <w:szCs w:val="22"/>
        </w:rPr>
        <w:t>the community</w:t>
      </w:r>
    </w:p>
    <w:p w14:paraId="30B5C1DD" w14:textId="77777777" w:rsidR="00CA5E3B" w:rsidRDefault="00CA5E3B">
      <w:pPr>
        <w:pBdr>
          <w:top w:val="nil"/>
          <w:left w:val="nil"/>
          <w:bottom w:val="nil"/>
          <w:right w:val="nil"/>
          <w:between w:val="nil"/>
        </w:pBdr>
        <w:ind w:left="720"/>
        <w:jc w:val="both"/>
        <w:rPr>
          <w:rFonts w:ascii="Calibri" w:eastAsia="Calibri" w:hAnsi="Calibri" w:cs="Calibri"/>
          <w:color w:val="000000"/>
          <w:sz w:val="22"/>
          <w:szCs w:val="22"/>
        </w:rPr>
      </w:pPr>
    </w:p>
    <w:p w14:paraId="47DB1473" w14:textId="77777777" w:rsidR="00CA5E3B" w:rsidRDefault="00000000">
      <w:pPr>
        <w:pStyle w:val="Heading1"/>
        <w:numPr>
          <w:ilvl w:val="0"/>
          <w:numId w:val="7"/>
        </w:numPr>
      </w:pPr>
      <w:r>
        <w:t>Current State of UA Implementation</w:t>
      </w:r>
    </w:p>
    <w:p w14:paraId="3AAC5F76" w14:textId="77777777" w:rsidR="00CA5E3B" w:rsidRDefault="00000000">
      <w:pPr>
        <w:numPr>
          <w:ilvl w:val="0"/>
          <w:numId w:val="3"/>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Despite progress, global UA-readiness remains inconsistent. Statistics indicate that many applications and systems still struggle to support all domain names and email addresses, particularly those using non-Latin scripts or newly introduced TLDs. </w:t>
      </w:r>
    </w:p>
    <w:p w14:paraId="01D709FD" w14:textId="77777777" w:rsidR="00CA5E3B" w:rsidRDefault="0000000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Summary table of countries with efforts taken for </w:t>
      </w:r>
      <w:proofErr w:type="gramStart"/>
      <w:r>
        <w:rPr>
          <w:rFonts w:ascii="Calibri" w:eastAsia="Calibri" w:hAnsi="Calibri" w:cs="Calibri"/>
          <w:color w:val="000000"/>
          <w:sz w:val="22"/>
          <w:szCs w:val="22"/>
        </w:rPr>
        <w:t>UA,  number</w:t>
      </w:r>
      <w:proofErr w:type="gramEnd"/>
      <w:r>
        <w:rPr>
          <w:rFonts w:ascii="Calibri" w:eastAsia="Calibri" w:hAnsi="Calibri" w:cs="Calibri"/>
          <w:color w:val="000000"/>
          <w:sz w:val="22"/>
          <w:szCs w:val="22"/>
        </w:rPr>
        <w:t xml:space="preserve"> of efforts,  major non-</w:t>
      </w:r>
      <w:proofErr w:type="spellStart"/>
      <w:r>
        <w:rPr>
          <w:rFonts w:ascii="Calibri" w:eastAsia="Calibri" w:hAnsi="Calibri" w:cs="Calibri"/>
          <w:color w:val="000000"/>
          <w:sz w:val="22"/>
          <w:szCs w:val="22"/>
        </w:rPr>
        <w:t>latin</w:t>
      </w:r>
      <w:proofErr w:type="spellEnd"/>
      <w:r>
        <w:rPr>
          <w:rFonts w:ascii="Calibri" w:eastAsia="Calibri" w:hAnsi="Calibri" w:cs="Calibri"/>
          <w:color w:val="000000"/>
          <w:sz w:val="22"/>
          <w:szCs w:val="22"/>
        </w:rPr>
        <w:t xml:space="preserve"> languages that are at different stages of UA readiness (this will be based on the indicators, which can be used later for the 2003 Recommendation on Multilingualism in the Cyberspace)</w:t>
      </w:r>
    </w:p>
    <w:p w14:paraId="31A6D367" w14:textId="77777777" w:rsidR="00CA5E3B" w:rsidRDefault="00000000">
      <w:pPr>
        <w:pStyle w:val="Heading1"/>
        <w:numPr>
          <w:ilvl w:val="0"/>
          <w:numId w:val="7"/>
        </w:numPr>
      </w:pPr>
      <w:r>
        <w:t>Importance of Universal Acceptance</w:t>
      </w:r>
    </w:p>
    <w:p w14:paraId="6808DB81" w14:textId="77777777" w:rsidR="00CA5E3B"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Unpack the statement - Universal Acceptance is crucial for ensuring that all internet users, including non-English speakers, can fully participate in the digital world. </w:t>
      </w:r>
    </w:p>
    <w:p w14:paraId="36D9C07A" w14:textId="77777777" w:rsidR="00CA5E3B" w:rsidRDefault="00000000">
      <w:pPr>
        <w:pStyle w:val="Heading2"/>
        <w:numPr>
          <w:ilvl w:val="1"/>
          <w:numId w:val="7"/>
        </w:numPr>
      </w:pPr>
      <w:r>
        <w:t xml:space="preserve">Economic Benefits: </w:t>
      </w:r>
    </w:p>
    <w:p w14:paraId="5AB9CF47" w14:textId="77777777" w:rsidR="00CA5E3B" w:rsidRDefault="00000000">
      <w:pPr>
        <w:numPr>
          <w:ilvl w:val="0"/>
          <w:numId w:val="5"/>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help in reaching previously untapped markets by supporting local languages and scripts. </w:t>
      </w:r>
    </w:p>
    <w:p w14:paraId="2551B129" w14:textId="77777777" w:rsidR="00CA5E3B" w:rsidRDefault="00000000">
      <w:pPr>
        <w:numPr>
          <w:ilvl w:val="1"/>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fosters innovation, particularly in regions with significant linguistic diversity, and may drive economic growth by enabling broader participation in the global digital economy. (</w:t>
      </w:r>
      <w:proofErr w:type="gramStart"/>
      <w:r>
        <w:rPr>
          <w:rFonts w:ascii="Calibri" w:eastAsia="Calibri" w:hAnsi="Calibri" w:cs="Calibri"/>
          <w:color w:val="000000"/>
          <w:sz w:val="22"/>
          <w:szCs w:val="22"/>
        </w:rPr>
        <w:t>some</w:t>
      </w:r>
      <w:proofErr w:type="gramEnd"/>
      <w:r>
        <w:rPr>
          <w:rFonts w:ascii="Calibri" w:eastAsia="Calibri" w:hAnsi="Calibri" w:cs="Calibri"/>
          <w:color w:val="000000"/>
          <w:sz w:val="22"/>
          <w:szCs w:val="22"/>
        </w:rPr>
        <w:t xml:space="preserve"> empirical evidence will be needed to substantiate this)</w:t>
      </w:r>
    </w:p>
    <w:p w14:paraId="4A06279E" w14:textId="77777777" w:rsidR="00CA5E3B" w:rsidRDefault="00000000">
      <w:pPr>
        <w:pStyle w:val="Heading2"/>
        <w:numPr>
          <w:ilvl w:val="1"/>
          <w:numId w:val="7"/>
        </w:numPr>
      </w:pPr>
      <w:r>
        <w:lastRenderedPageBreak/>
        <w:t>Contribute to the preservation of languages</w:t>
      </w:r>
    </w:p>
    <w:p w14:paraId="692ABB4D" w14:textId="558629DF" w:rsidR="00CA5E3B"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It can ensure that minority languages can thrive in the digital age, fostering a more inclusive and culturally rich internet.</w:t>
      </w:r>
    </w:p>
    <w:p w14:paraId="2760702F" w14:textId="77777777" w:rsidR="00CA5E3B" w:rsidRDefault="00000000">
      <w:pPr>
        <w:pStyle w:val="Heading2"/>
        <w:numPr>
          <w:ilvl w:val="1"/>
          <w:numId w:val="7"/>
        </w:numPr>
      </w:pPr>
      <w:r>
        <w:t xml:space="preserve">Cultural Preservation: </w:t>
      </w:r>
    </w:p>
    <w:p w14:paraId="39BC948A" w14:textId="77777777" w:rsidR="00CA5E3B"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By supporting diverse scripts and languages online, UA plays a vital role in preserving cultural heritage.  (</w:t>
      </w:r>
      <w:proofErr w:type="gramStart"/>
      <w:r>
        <w:rPr>
          <w:rFonts w:ascii="Calibri" w:eastAsia="Calibri" w:hAnsi="Calibri" w:cs="Calibri"/>
          <w:color w:val="000000"/>
          <w:sz w:val="22"/>
          <w:szCs w:val="22"/>
        </w:rPr>
        <w:t>some</w:t>
      </w:r>
      <w:proofErr w:type="gramEnd"/>
      <w:r>
        <w:rPr>
          <w:rFonts w:ascii="Calibri" w:eastAsia="Calibri" w:hAnsi="Calibri" w:cs="Calibri"/>
          <w:color w:val="000000"/>
          <w:sz w:val="22"/>
          <w:szCs w:val="22"/>
        </w:rPr>
        <w:t xml:space="preserve"> facts and examples are needed</w:t>
      </w:r>
    </w:p>
    <w:p w14:paraId="129B4754" w14:textId="77777777" w:rsidR="00CA5E3B" w:rsidRDefault="00000000">
      <w:pPr>
        <w:pStyle w:val="Heading1"/>
        <w:numPr>
          <w:ilvl w:val="0"/>
          <w:numId w:val="7"/>
        </w:numPr>
      </w:pPr>
      <w:r>
        <w:t>Challenges to Universal Acceptance</w:t>
      </w:r>
    </w:p>
    <w:p w14:paraId="6A0C2925" w14:textId="77777777" w:rsidR="00CA5E3B" w:rsidRDefault="00000000">
      <w:pPr>
        <w:pStyle w:val="Heading2"/>
        <w:numPr>
          <w:ilvl w:val="1"/>
          <w:numId w:val="7"/>
        </w:numPr>
      </w:pPr>
      <w:r>
        <w:t>Awareness</w:t>
      </w:r>
    </w:p>
    <w:p w14:paraId="6F936327" w14:textId="77777777" w:rsidR="00CA5E3B" w:rsidRDefault="00000000">
      <w:pPr>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As a new </w:t>
      </w:r>
      <w:proofErr w:type="gramStart"/>
      <w:r>
        <w:rPr>
          <w:rFonts w:ascii="Calibri" w:eastAsia="Calibri" w:hAnsi="Calibri" w:cs="Calibri"/>
          <w:color w:val="000000"/>
          <w:sz w:val="22"/>
          <w:szCs w:val="22"/>
        </w:rPr>
        <w:t>concept,  there</w:t>
      </w:r>
      <w:proofErr w:type="gramEnd"/>
      <w:r>
        <w:rPr>
          <w:rFonts w:ascii="Calibri" w:eastAsia="Calibri" w:hAnsi="Calibri" w:cs="Calibri"/>
          <w:color w:val="000000"/>
          <w:sz w:val="22"/>
          <w:szCs w:val="22"/>
        </w:rPr>
        <w:t xml:space="preserve"> is a widespread lack of understanding of UA among policymakers and other stakeholders. This knowledge gap hinders the development and deployment of UA-ready systems, slowing progress toward full UA implementation.</w:t>
      </w:r>
    </w:p>
    <w:p w14:paraId="044FD2E5" w14:textId="77777777" w:rsidR="00CA5E3B" w:rsidRDefault="00000000">
      <w:pPr>
        <w:pStyle w:val="Heading2"/>
        <w:numPr>
          <w:ilvl w:val="1"/>
          <w:numId w:val="7"/>
        </w:numPr>
      </w:pPr>
      <w:r>
        <w:t xml:space="preserve">Technical Barriers </w:t>
      </w:r>
    </w:p>
    <w:p w14:paraId="055A5B42" w14:textId="29A9E0DE" w:rsidR="00CA5E3B" w:rsidRDefault="00000000">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One of the primary challenges to UA is the persistence of legacy systems and digital processes that are not designed to handle newer domain names and IDNs. Lack of standardization and lack of an easy approach to ad</w:t>
      </w:r>
      <w:sdt>
        <w:sdtPr>
          <w:tag w:val="goog_rdk_0"/>
          <w:id w:val="2007157301"/>
        </w:sdtPr>
        <w:sdtContent>
          <w:r>
            <w:rPr>
              <w:rFonts w:ascii="Calibri" w:eastAsia="Calibri" w:hAnsi="Calibri" w:cs="Calibri"/>
              <w:color w:val="000000"/>
              <w:sz w:val="22"/>
              <w:szCs w:val="22"/>
            </w:rPr>
            <w:t>o</w:t>
          </w:r>
        </w:sdtContent>
      </w:sdt>
      <w:r>
        <w:rPr>
          <w:rFonts w:ascii="Calibri" w:eastAsia="Calibri" w:hAnsi="Calibri" w:cs="Calibri"/>
          <w:color w:val="000000"/>
          <w:sz w:val="22"/>
          <w:szCs w:val="22"/>
        </w:rPr>
        <w:t>ption.</w:t>
      </w:r>
    </w:p>
    <w:p w14:paraId="766BB210" w14:textId="77777777" w:rsidR="00CA5E3B" w:rsidRDefault="00000000">
      <w:pPr>
        <w:pStyle w:val="Heading2"/>
        <w:numPr>
          <w:ilvl w:val="1"/>
          <w:numId w:val="7"/>
        </w:numPr>
      </w:pPr>
      <w:r>
        <w:t>Policy and Regulatory challenges</w:t>
      </w:r>
    </w:p>
    <w:p w14:paraId="1C9B0DC5" w14:textId="77777777" w:rsidR="00CA5E3B" w:rsidRDefault="00000000">
      <w:pPr>
        <w:numPr>
          <w:ilvl w:val="0"/>
          <w:numId w:val="9"/>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Outdated digital policies and legal </w:t>
      </w:r>
      <w:proofErr w:type="gramStart"/>
      <w:r>
        <w:rPr>
          <w:rFonts w:ascii="Calibri" w:eastAsia="Calibri" w:hAnsi="Calibri" w:cs="Calibri"/>
          <w:color w:val="000000"/>
          <w:sz w:val="22"/>
          <w:szCs w:val="22"/>
        </w:rPr>
        <w:t>frameworks;</w:t>
      </w:r>
      <w:proofErr w:type="gramEnd"/>
      <w:r>
        <w:rPr>
          <w:rFonts w:ascii="Calibri" w:eastAsia="Calibri" w:hAnsi="Calibri" w:cs="Calibri"/>
          <w:color w:val="000000"/>
          <w:sz w:val="22"/>
          <w:szCs w:val="22"/>
        </w:rPr>
        <w:t xml:space="preserve"> inconsistent government approaches. Without comprehensive policies that recognize and support the use of IDNs and new TLDs, the potential benefits of UA cannot be fully realized.</w:t>
      </w:r>
    </w:p>
    <w:p w14:paraId="036BFF15" w14:textId="77777777" w:rsidR="00CA5E3B" w:rsidRDefault="00000000">
      <w:pPr>
        <w:pStyle w:val="Heading1"/>
        <w:numPr>
          <w:ilvl w:val="0"/>
          <w:numId w:val="7"/>
        </w:numPr>
      </w:pPr>
      <w:r>
        <w:t xml:space="preserve">Stakeholder and Roles </w:t>
      </w:r>
    </w:p>
    <w:p w14:paraId="61258B2A" w14:textId="51530A9B" w:rsidR="00CA5E3B" w:rsidRDefault="00000000">
      <w:pPr>
        <w:numPr>
          <w:ilvl w:val="0"/>
          <w:numId w:val="14"/>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If a detailed stakeholder mapping has already been done before, along with their respective roles</w:t>
      </w:r>
    </w:p>
    <w:p w14:paraId="7858AF7C" w14:textId="77777777" w:rsidR="00CA5E3B" w:rsidRDefault="00000000">
      <w:pPr>
        <w:pStyle w:val="Heading2"/>
        <w:numPr>
          <w:ilvl w:val="1"/>
          <w:numId w:val="7"/>
        </w:numPr>
      </w:pPr>
      <w:r>
        <w:t>Government</w:t>
      </w:r>
    </w:p>
    <w:p w14:paraId="7D511118" w14:textId="77777777" w:rsidR="00CA5E3B" w:rsidRDefault="00000000">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a critical role in developing and implementing policies that promote UA.</w:t>
      </w:r>
    </w:p>
    <w:p w14:paraId="2A09B909" w14:textId="77777777" w:rsidR="00CA5E3B" w:rsidRDefault="00000000">
      <w:pPr>
        <w:pStyle w:val="Heading2"/>
        <w:numPr>
          <w:ilvl w:val="1"/>
          <w:numId w:val="7"/>
        </w:numPr>
      </w:pPr>
      <w:r>
        <w:t xml:space="preserve">Service providers:  </w:t>
      </w:r>
    </w:p>
    <w:p w14:paraId="520C56B9" w14:textId="77777777" w:rsidR="00CA5E3B" w:rsidRDefault="00000000">
      <w:pPr>
        <w:numPr>
          <w:ilvl w:val="0"/>
          <w:numId w:val="14"/>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particularly software and application developers, must adopt and integrate UA standards for creating a seamless user experience across all platforms and devices.</w:t>
      </w:r>
    </w:p>
    <w:p w14:paraId="3E67E9D9" w14:textId="77777777" w:rsidR="00CA5E3B" w:rsidRDefault="00000000">
      <w:pPr>
        <w:pStyle w:val="Heading2"/>
        <w:numPr>
          <w:ilvl w:val="1"/>
          <w:numId w:val="7"/>
        </w:numPr>
      </w:pPr>
      <w:r>
        <w:t>Civil Society</w:t>
      </w:r>
    </w:p>
    <w:p w14:paraId="3383003A" w14:textId="64EA5026" w:rsidR="00CA5E3B" w:rsidRPr="00B31F7A" w:rsidRDefault="00000000" w:rsidP="00B31F7A">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IGF, etc</w:t>
      </w:r>
      <w:r w:rsidR="00B31F7A">
        <w:rPr>
          <w:rFonts w:ascii="Calibri" w:eastAsia="Calibri" w:hAnsi="Calibri" w:cs="Calibri"/>
          <w:color w:val="000000"/>
          <w:sz w:val="22"/>
          <w:szCs w:val="22"/>
        </w:rPr>
        <w:t xml:space="preserve">. </w:t>
      </w:r>
      <w:r w:rsidRPr="00B31F7A">
        <w:rPr>
          <w:rFonts w:ascii="Calibri" w:eastAsia="Calibri" w:hAnsi="Calibri" w:cs="Calibri"/>
          <w:color w:val="000000"/>
          <w:sz w:val="22"/>
          <w:szCs w:val="22"/>
        </w:rPr>
        <w:t xml:space="preserve">can play a significant role in raising awareness about UA and advocating for its adoption. </w:t>
      </w:r>
    </w:p>
    <w:p w14:paraId="43AC751B" w14:textId="77777777" w:rsidR="00CA5E3B" w:rsidRDefault="00000000">
      <w:pPr>
        <w:pStyle w:val="Heading2"/>
        <w:numPr>
          <w:ilvl w:val="1"/>
          <w:numId w:val="7"/>
        </w:numPr>
      </w:pPr>
      <w:r>
        <w:lastRenderedPageBreak/>
        <w:t>International Organizations</w:t>
      </w:r>
    </w:p>
    <w:p w14:paraId="4A1563F3" w14:textId="77777777" w:rsidR="00CA5E3B" w:rsidRDefault="00000000">
      <w:pPr>
        <w:numPr>
          <w:ilvl w:val="0"/>
          <w:numId w:val="14"/>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ICANN/UAG (detail description) how does it reaches out. UNESCO (2003 Recommendation) and the ITU’s resolution on IDN and gTLD are instrumental in promoting linguistic diversity and supporting the technical standards necessary for UA. </w:t>
      </w:r>
    </w:p>
    <w:p w14:paraId="31A844A2" w14:textId="77777777" w:rsidR="00CA5E3B" w:rsidRDefault="00000000">
      <w:pPr>
        <w:numPr>
          <w:ilvl w:val="1"/>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UA in international standard setting instruments – as the document is a policy brief.</w:t>
      </w:r>
    </w:p>
    <w:p w14:paraId="1F5DCF26" w14:textId="77777777" w:rsidR="00CA5E3B" w:rsidRDefault="00000000">
      <w:pPr>
        <w:pStyle w:val="Heading1"/>
        <w:numPr>
          <w:ilvl w:val="0"/>
          <w:numId w:val="7"/>
        </w:numPr>
      </w:pPr>
      <w:r>
        <w:t>Policy Recommendations and call to action</w:t>
      </w:r>
    </w:p>
    <w:p w14:paraId="6CE0A58A" w14:textId="77777777" w:rsidR="00CA5E3B" w:rsidRDefault="00000000">
      <w:pPr>
        <w:pStyle w:val="Heading2"/>
        <w:numPr>
          <w:ilvl w:val="1"/>
          <w:numId w:val="7"/>
        </w:numPr>
      </w:pPr>
      <w:r>
        <w:t>Develop National UA Strategies</w:t>
      </w:r>
    </w:p>
    <w:p w14:paraId="013B9CF1" w14:textId="77777777" w:rsidR="00CA5E3B" w:rsidRDefault="00000000">
      <w:pPr>
        <w:numPr>
          <w:ilvl w:val="0"/>
          <w:numId w:val="15"/>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comprehensive national strategies that involve both the public and private sectors – with clear goals and timelines for achieving full UA, including the adoption of UA-ready systems and practices. Perhaps this can be linked to a guideline on UA and to the indicators that we plan to establish for the 2003 Recommendation.</w:t>
      </w:r>
    </w:p>
    <w:p w14:paraId="67007C20" w14:textId="77777777" w:rsidR="00CA5E3B" w:rsidRDefault="0000000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Provide a small background on the quadrennial monitoring requirement and hint that a detailed monitoring framework is forthcoming.</w:t>
      </w:r>
    </w:p>
    <w:p w14:paraId="18A6C8C5" w14:textId="77777777" w:rsidR="00CA5E3B" w:rsidRDefault="00000000">
      <w:pPr>
        <w:pStyle w:val="Heading2"/>
        <w:numPr>
          <w:ilvl w:val="1"/>
          <w:numId w:val="7"/>
        </w:numPr>
      </w:pPr>
      <w:r>
        <w:t>Legal and Regulatory Framework</w:t>
      </w:r>
    </w:p>
    <w:p w14:paraId="5170F725" w14:textId="77777777" w:rsidR="00CA5E3B" w:rsidRDefault="0000000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review and update existing internet regulatory frameworks to recognize and support IDNs and new TLDs. This includes ensuring that national laws do not inadvertently hinder the adoption of UA.</w:t>
      </w:r>
    </w:p>
    <w:p w14:paraId="75C62E84" w14:textId="77777777" w:rsidR="00CA5E3B" w:rsidRDefault="00000000">
      <w:pPr>
        <w:pStyle w:val="Heading2"/>
        <w:numPr>
          <w:ilvl w:val="1"/>
          <w:numId w:val="7"/>
        </w:numPr>
      </w:pPr>
      <w:r>
        <w:t>Education and Capacity Building</w:t>
      </w:r>
    </w:p>
    <w:p w14:paraId="4EF36341" w14:textId="77777777" w:rsidR="00CA5E3B" w:rsidRDefault="00000000">
      <w:pPr>
        <w:numPr>
          <w:ilvl w:val="0"/>
          <w:numId w:val="15"/>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rehash from what is available for the </w:t>
      </w:r>
      <w:proofErr w:type="gramStart"/>
      <w:r>
        <w:rPr>
          <w:rFonts w:ascii="Calibri" w:eastAsia="Calibri" w:hAnsi="Calibri" w:cs="Calibri"/>
          <w:color w:val="000000"/>
          <w:sz w:val="22"/>
          <w:szCs w:val="22"/>
        </w:rPr>
        <w:t>government,  service</w:t>
      </w:r>
      <w:proofErr w:type="gramEnd"/>
      <w:r>
        <w:rPr>
          <w:rFonts w:ascii="Calibri" w:eastAsia="Calibri" w:hAnsi="Calibri" w:cs="Calibri"/>
          <w:color w:val="000000"/>
          <w:sz w:val="22"/>
          <w:szCs w:val="22"/>
        </w:rPr>
        <w:t xml:space="preserve"> providers, local ICANN chapters </w:t>
      </w:r>
      <w:proofErr w:type="spellStart"/>
      <w:r>
        <w:rPr>
          <w:rFonts w:ascii="Calibri" w:eastAsia="Calibri" w:hAnsi="Calibri" w:cs="Calibri"/>
          <w:color w:val="000000"/>
          <w:sz w:val="22"/>
          <w:szCs w:val="22"/>
        </w:rPr>
        <w:t>etc</w:t>
      </w:r>
      <w:proofErr w:type="spellEnd"/>
      <w:r>
        <w:rPr>
          <w:rFonts w:ascii="Calibri" w:eastAsia="Calibri" w:hAnsi="Calibri" w:cs="Calibri"/>
          <w:color w:val="000000"/>
          <w:sz w:val="22"/>
          <w:szCs w:val="22"/>
        </w:rPr>
        <w:t xml:space="preserve"> (refer to stakeholder mapping above) - technical aspects of UA as well as the broader benefits of supporting diverse scripts and languages online.</w:t>
      </w:r>
    </w:p>
    <w:p w14:paraId="6A33A4A1" w14:textId="77777777" w:rsidR="00CA5E3B" w:rsidRDefault="00000000">
      <w:pPr>
        <w:pStyle w:val="Heading2"/>
        <w:numPr>
          <w:ilvl w:val="1"/>
          <w:numId w:val="7"/>
        </w:numPr>
      </w:pPr>
      <w:r>
        <w:t>International Cooperation</w:t>
      </w:r>
    </w:p>
    <w:p w14:paraId="5A3FA388" w14:textId="77777777" w:rsidR="00CA5E3B" w:rsidRDefault="00000000">
      <w:pPr>
        <w:numPr>
          <w:ilvl w:val="0"/>
          <w:numId w:val="15"/>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UA initiatives worldwide, sharing best practices, resources, and technical </w:t>
      </w:r>
      <w:proofErr w:type="gramStart"/>
      <w:r>
        <w:rPr>
          <w:rFonts w:ascii="Calibri" w:eastAsia="Calibri" w:hAnsi="Calibri" w:cs="Calibri"/>
          <w:color w:val="000000"/>
          <w:sz w:val="22"/>
          <w:szCs w:val="22"/>
        </w:rPr>
        <w:t>expertise,  and</w:t>
      </w:r>
      <w:proofErr w:type="gramEnd"/>
      <w:r>
        <w:rPr>
          <w:rFonts w:ascii="Calibri" w:eastAsia="Calibri" w:hAnsi="Calibri" w:cs="Calibri"/>
          <w:color w:val="000000"/>
          <w:sz w:val="22"/>
          <w:szCs w:val="22"/>
        </w:rPr>
        <w:t xml:space="preserve"> ensuring a consistent approach across borders as UA deal with languages that may fall in the purview of more than one government.</w:t>
      </w:r>
    </w:p>
    <w:bookmarkStart w:id="0" w:name="_heading=h.zejngk29fzsa" w:colFirst="0" w:colLast="0" w:displacedByCustomXml="next"/>
    <w:bookmarkEnd w:id="0" w:displacedByCustomXml="next"/>
    <w:sdt>
      <w:sdtPr>
        <w:tag w:val="goog_rdk_4"/>
        <w:id w:val="-1175265025"/>
      </w:sdtPr>
      <w:sdtContent>
        <w:p w14:paraId="56717996" w14:textId="77777777" w:rsidR="00CA5E3B" w:rsidRDefault="00000000" w:rsidP="008D069E">
          <w:pPr>
            <w:pStyle w:val="Heading1"/>
            <w:numPr>
              <w:ilvl w:val="0"/>
              <w:numId w:val="7"/>
            </w:numPr>
          </w:pPr>
          <w:sdt>
            <w:sdtPr>
              <w:tag w:val="goog_rdk_3"/>
              <w:id w:val="-860509325"/>
            </w:sdtPr>
            <w:sdtContent>
              <w:r w:rsidRPr="008D069E">
                <w:t xml:space="preserve">Indicators for Promotion and Adoption </w:t>
              </w:r>
            </w:sdtContent>
          </w:sdt>
        </w:p>
      </w:sdtContent>
    </w:sdt>
    <w:p w14:paraId="25354CA0" w14:textId="77777777" w:rsidR="00CA5E3B" w:rsidRDefault="00000000">
      <w:pPr>
        <w:pStyle w:val="Heading1"/>
        <w:numPr>
          <w:ilvl w:val="0"/>
          <w:numId w:val="7"/>
        </w:numPr>
      </w:pPr>
      <w:r>
        <w:t>Implementation Roadmap</w:t>
      </w:r>
    </w:p>
    <w:p w14:paraId="08C962B5" w14:textId="77777777" w:rsidR="00CA5E3B" w:rsidRDefault="00000000">
      <w:pPr>
        <w:pStyle w:val="Heading2"/>
        <w:numPr>
          <w:ilvl w:val="1"/>
          <w:numId w:val="7"/>
        </w:numPr>
      </w:pPr>
      <w:r>
        <w:t xml:space="preserve">Short-term Actions: </w:t>
      </w:r>
    </w:p>
    <w:p w14:paraId="30DC5F4B" w14:textId="77777777" w:rsidR="00CA5E3B" w:rsidRDefault="00000000">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UA day, awareness campaigns, retrofitting existing legal and regulatory frameworks to support UA. Support a few pilot projects to test UA </w:t>
      </w:r>
      <w:proofErr w:type="gramStart"/>
      <w:r>
        <w:rPr>
          <w:rFonts w:ascii="Calibri" w:eastAsia="Calibri" w:hAnsi="Calibri" w:cs="Calibri"/>
          <w:color w:val="000000"/>
          <w:sz w:val="22"/>
          <w:szCs w:val="22"/>
        </w:rPr>
        <w:t>implementation,  such</w:t>
      </w:r>
      <w:proofErr w:type="gramEnd"/>
      <w:r>
        <w:rPr>
          <w:rFonts w:ascii="Calibri" w:eastAsia="Calibri" w:hAnsi="Calibri" w:cs="Calibri"/>
          <w:color w:val="000000"/>
          <w:sz w:val="22"/>
          <w:szCs w:val="22"/>
        </w:rPr>
        <w:t xml:space="preserve"> as for the </w:t>
      </w:r>
      <w:proofErr w:type="spellStart"/>
      <w:r>
        <w:rPr>
          <w:rFonts w:ascii="Calibri" w:eastAsia="Calibri" w:hAnsi="Calibri" w:cs="Calibri"/>
          <w:color w:val="000000"/>
          <w:sz w:val="22"/>
          <w:szCs w:val="22"/>
        </w:rPr>
        <w:t>Mayab</w:t>
      </w:r>
      <w:proofErr w:type="spellEnd"/>
      <w:r>
        <w:rPr>
          <w:rFonts w:ascii="Calibri" w:eastAsia="Calibri" w:hAnsi="Calibri" w:cs="Calibri"/>
          <w:color w:val="000000"/>
          <w:sz w:val="22"/>
          <w:szCs w:val="22"/>
        </w:rPr>
        <w:t>.</w:t>
      </w:r>
    </w:p>
    <w:p w14:paraId="11409A2A" w14:textId="77777777" w:rsidR="00CA5E3B" w:rsidRDefault="00000000">
      <w:pPr>
        <w:pStyle w:val="Heading2"/>
        <w:numPr>
          <w:ilvl w:val="1"/>
          <w:numId w:val="7"/>
        </w:numPr>
      </w:pPr>
      <w:r>
        <w:lastRenderedPageBreak/>
        <w:t xml:space="preserve">Medium-term Goals </w:t>
      </w:r>
    </w:p>
    <w:p w14:paraId="7666EF88" w14:textId="77777777" w:rsidR="00CA5E3B" w:rsidRDefault="00000000">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How to achieve progress in UA-readiness across public and private sectors. Monitoring framework consistent to 2003 recommendation, supporting reporting back to UNESCO on adopted national standards. Capacity building initiatives for different stakeholders.</w:t>
      </w:r>
    </w:p>
    <w:p w14:paraId="66003009" w14:textId="77777777" w:rsidR="00CA5E3B" w:rsidRDefault="00000000">
      <w:pPr>
        <w:pStyle w:val="Heading2"/>
        <w:numPr>
          <w:ilvl w:val="1"/>
          <w:numId w:val="7"/>
        </w:numPr>
      </w:pPr>
      <w:r>
        <w:t xml:space="preserve">Long-term Vision </w:t>
      </w:r>
    </w:p>
    <w:p w14:paraId="250E7C9B" w14:textId="3019FFE7" w:rsidR="00CA5E3B" w:rsidRPr="00093AAE" w:rsidRDefault="00000000" w:rsidP="00093AAE">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Ensure that UA is fully integrated into all internet-enabled systems and applications. </w:t>
      </w:r>
      <w:r>
        <w:rPr>
          <w:rFonts w:ascii="Calibri" w:eastAsia="Calibri" w:hAnsi="Calibri" w:cs="Calibri"/>
          <w:sz w:val="22"/>
          <w:szCs w:val="22"/>
        </w:rPr>
        <w:t>Fostering a digital</w:t>
      </w:r>
      <w:r>
        <w:rPr>
          <w:rFonts w:ascii="Calibri" w:eastAsia="Calibri" w:hAnsi="Calibri" w:cs="Calibri"/>
          <w:color w:val="000000"/>
          <w:sz w:val="22"/>
          <w:szCs w:val="22"/>
        </w:rPr>
        <w:t xml:space="preserve"> environment and maintaining a dynamic, inclusive, and culturally diverse internet.</w:t>
      </w:r>
      <w:r w:rsidRPr="00093AAE">
        <w:rPr>
          <w:rFonts w:ascii="Calibri" w:eastAsia="Calibri" w:hAnsi="Calibri" w:cs="Calibri"/>
          <w:color w:val="000000"/>
        </w:rPr>
        <w:t xml:space="preserve"> </w:t>
      </w:r>
    </w:p>
    <w:sectPr w:rsidR="00CA5E3B" w:rsidRPr="00093AA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8FC5" w14:textId="77777777" w:rsidR="00EA1901" w:rsidRDefault="00EA1901">
      <w:pPr>
        <w:spacing w:after="0" w:line="240" w:lineRule="auto"/>
      </w:pPr>
      <w:r>
        <w:separator/>
      </w:r>
    </w:p>
  </w:endnote>
  <w:endnote w:type="continuationSeparator" w:id="0">
    <w:p w14:paraId="70341BAB" w14:textId="77777777" w:rsidR="00EA1901" w:rsidRDefault="00EA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F462" w14:textId="77777777" w:rsidR="00EA1901" w:rsidRDefault="00EA1901">
      <w:pPr>
        <w:spacing w:after="0" w:line="240" w:lineRule="auto"/>
      </w:pPr>
      <w:r>
        <w:separator/>
      </w:r>
    </w:p>
  </w:footnote>
  <w:footnote w:type="continuationSeparator" w:id="0">
    <w:p w14:paraId="5F717956" w14:textId="77777777" w:rsidR="00EA1901" w:rsidRDefault="00EA1901">
      <w:pPr>
        <w:spacing w:after="0" w:line="240" w:lineRule="auto"/>
      </w:pPr>
      <w:r>
        <w:continuationSeparator/>
      </w:r>
    </w:p>
  </w:footnote>
  <w:footnote w:id="1">
    <w:p w14:paraId="581DAAAD" w14:textId="77777777" w:rsidR="00CA5E3B"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333333"/>
          <w:sz w:val="16"/>
          <w:szCs w:val="16"/>
          <w:highlight w:val="white"/>
        </w:rPr>
        <w:t>Internationalized Domain Names (</w:t>
      </w:r>
      <w:r>
        <w:rPr>
          <w:rFonts w:ascii="Calibri" w:eastAsia="Calibri" w:hAnsi="Calibri" w:cs="Calibri"/>
          <w:color w:val="000000"/>
          <w:sz w:val="16"/>
          <w:szCs w:val="16"/>
        </w:rPr>
        <w:t>IDNs</w:t>
      </w:r>
      <w:r>
        <w:rPr>
          <w:rFonts w:ascii="Calibri" w:eastAsia="Calibri" w:hAnsi="Calibri" w:cs="Calibri"/>
          <w:color w:val="333333"/>
          <w:sz w:val="16"/>
          <w:szCs w:val="16"/>
          <w:highlight w:val="white"/>
        </w:rPr>
        <w:t>) enable people around the world to use domain names in local languages and scripts. </w:t>
      </w:r>
      <w:r>
        <w:rPr>
          <w:rFonts w:ascii="Calibri" w:eastAsia="Calibri" w:hAnsi="Calibri" w:cs="Calibri"/>
          <w:color w:val="000000"/>
          <w:sz w:val="16"/>
          <w:szCs w:val="16"/>
        </w:rPr>
        <w:t>IDNs</w:t>
      </w:r>
      <w:r>
        <w:rPr>
          <w:rFonts w:ascii="Calibri" w:eastAsia="Calibri" w:hAnsi="Calibri" w:cs="Calibri"/>
          <w:color w:val="333333"/>
          <w:sz w:val="16"/>
          <w:szCs w:val="16"/>
          <w:highlight w:val="white"/>
        </w:rPr>
        <w:t> are formed using characters from different scripts, such as Arabic, Chinese, Cyrillic or Devanagari. These are encoded by </w:t>
      </w:r>
      <w:hyperlink r:id="rId1">
        <w:r>
          <w:rPr>
            <w:rFonts w:ascii="Calibri" w:eastAsia="Calibri" w:hAnsi="Calibri" w:cs="Calibri"/>
            <w:color w:val="0098D5"/>
            <w:sz w:val="16"/>
            <w:szCs w:val="16"/>
            <w:highlight w:val="white"/>
            <w:u w:val="single"/>
          </w:rPr>
          <w:t>the Unicode standard</w:t>
        </w:r>
      </w:hyperlink>
      <w:r>
        <w:rPr>
          <w:rFonts w:ascii="Calibri" w:eastAsia="Calibri" w:hAnsi="Calibri" w:cs="Calibri"/>
          <w:color w:val="333333"/>
          <w:sz w:val="16"/>
          <w:szCs w:val="16"/>
          <w:highlight w:val="white"/>
        </w:rPr>
        <w:t> and used as allowed by relevant </w:t>
      </w:r>
      <w:hyperlink r:id="rId2">
        <w:r>
          <w:rPr>
            <w:rFonts w:ascii="Calibri" w:eastAsia="Calibri" w:hAnsi="Calibri" w:cs="Calibri"/>
            <w:color w:val="0098D5"/>
            <w:sz w:val="16"/>
            <w:szCs w:val="16"/>
            <w:highlight w:val="white"/>
            <w:u w:val="single"/>
          </w:rPr>
          <w:t>IDN protocols</w:t>
        </w:r>
      </w:hyperlink>
      <w:r>
        <w:rPr>
          <w:rFonts w:ascii="Calibri" w:eastAsia="Calibri" w:hAnsi="Calibri" w:cs="Calibri"/>
          <w:color w:val="333333"/>
          <w:sz w:val="16"/>
          <w:szCs w:val="16"/>
          <w:highlight w:val="white"/>
        </w:rPr>
        <w:t xml:space="preserve">.( </w:t>
      </w:r>
      <w:hyperlink r:id="rId3">
        <w:r>
          <w:rPr>
            <w:rFonts w:ascii="Calibri" w:eastAsia="Calibri" w:hAnsi="Calibri" w:cs="Calibri"/>
            <w:color w:val="0000FF"/>
            <w:sz w:val="16"/>
            <w:szCs w:val="16"/>
            <w:highlight w:val="white"/>
            <w:u w:val="single"/>
          </w:rPr>
          <w:t>https://www.icann.org/resources/pages/idn-2012-02-25-en)_</w:t>
        </w:r>
      </w:hyperlink>
      <w:r>
        <w:rPr>
          <w:rFonts w:ascii="Calibri" w:eastAsia="Calibri" w:hAnsi="Calibri" w:cs="Calibri"/>
          <w:color w:val="333333"/>
          <w:sz w:val="16"/>
          <w:szCs w:val="16"/>
          <w:highlight w:val="whit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756E"/>
    <w:multiLevelType w:val="multilevel"/>
    <w:tmpl w:val="B21A1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2A23AC"/>
    <w:multiLevelType w:val="multilevel"/>
    <w:tmpl w:val="76FADD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CD1228A"/>
    <w:multiLevelType w:val="multilevel"/>
    <w:tmpl w:val="8E000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066249"/>
    <w:multiLevelType w:val="multilevel"/>
    <w:tmpl w:val="CC00A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4E217F"/>
    <w:multiLevelType w:val="multilevel"/>
    <w:tmpl w:val="788C06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727871"/>
    <w:multiLevelType w:val="multilevel"/>
    <w:tmpl w:val="B270E28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0191FB5"/>
    <w:multiLevelType w:val="multilevel"/>
    <w:tmpl w:val="4B2434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9F5DD4"/>
    <w:multiLevelType w:val="multilevel"/>
    <w:tmpl w:val="C262A7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53467B14"/>
    <w:multiLevelType w:val="multilevel"/>
    <w:tmpl w:val="EE6E9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AC5707"/>
    <w:multiLevelType w:val="multilevel"/>
    <w:tmpl w:val="02C47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404137"/>
    <w:multiLevelType w:val="multilevel"/>
    <w:tmpl w:val="5E06A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7A0BCD"/>
    <w:multiLevelType w:val="multilevel"/>
    <w:tmpl w:val="BA2A4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B166CF"/>
    <w:multiLevelType w:val="multilevel"/>
    <w:tmpl w:val="D9448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D835DD"/>
    <w:multiLevelType w:val="multilevel"/>
    <w:tmpl w:val="446E8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053886"/>
    <w:multiLevelType w:val="multilevel"/>
    <w:tmpl w:val="57C24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04734B0"/>
    <w:multiLevelType w:val="multilevel"/>
    <w:tmpl w:val="F6BAC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7754674">
    <w:abstractNumId w:val="6"/>
  </w:num>
  <w:num w:numId="2" w16cid:durableId="1849173182">
    <w:abstractNumId w:val="11"/>
  </w:num>
  <w:num w:numId="3" w16cid:durableId="245380657">
    <w:abstractNumId w:val="3"/>
  </w:num>
  <w:num w:numId="4" w16cid:durableId="916861924">
    <w:abstractNumId w:val="10"/>
  </w:num>
  <w:num w:numId="5" w16cid:durableId="1188715655">
    <w:abstractNumId w:val="15"/>
  </w:num>
  <w:num w:numId="6" w16cid:durableId="482888939">
    <w:abstractNumId w:val="13"/>
  </w:num>
  <w:num w:numId="7" w16cid:durableId="340622184">
    <w:abstractNumId w:val="4"/>
  </w:num>
  <w:num w:numId="8" w16cid:durableId="63995766">
    <w:abstractNumId w:val="2"/>
  </w:num>
  <w:num w:numId="9" w16cid:durableId="1127968675">
    <w:abstractNumId w:val="12"/>
  </w:num>
  <w:num w:numId="10" w16cid:durableId="1480075201">
    <w:abstractNumId w:val="8"/>
  </w:num>
  <w:num w:numId="11" w16cid:durableId="1820263046">
    <w:abstractNumId w:val="5"/>
  </w:num>
  <w:num w:numId="12" w16cid:durableId="415594798">
    <w:abstractNumId w:val="1"/>
  </w:num>
  <w:num w:numId="13" w16cid:durableId="400254965">
    <w:abstractNumId w:val="14"/>
  </w:num>
  <w:num w:numId="14" w16cid:durableId="846670679">
    <w:abstractNumId w:val="9"/>
  </w:num>
  <w:num w:numId="15" w16cid:durableId="1712070486">
    <w:abstractNumId w:val="0"/>
  </w:num>
  <w:num w:numId="16" w16cid:durableId="205946514">
    <w:abstractNumId w:val="7"/>
  </w:num>
  <w:num w:numId="17" w16cid:durableId="95368019">
    <w:abstractNumId w:val="7"/>
  </w:num>
  <w:num w:numId="18" w16cid:durableId="1062681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3B"/>
    <w:rsid w:val="00093AAE"/>
    <w:rsid w:val="00190E94"/>
    <w:rsid w:val="008D069E"/>
    <w:rsid w:val="00A8507D"/>
    <w:rsid w:val="00B31F7A"/>
    <w:rsid w:val="00CA5E3B"/>
    <w:rsid w:val="00DB4B76"/>
    <w:rsid w:val="00EA1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5FB0B83"/>
  <w15:docId w15:val="{277FA9B8-B02D-5D46-9717-F3FE8686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3CF"/>
    <w:pPr>
      <w:keepNext/>
      <w:keepLines/>
      <w:numPr>
        <w:numId w:val="16"/>
      </w:numPr>
      <w:spacing w:before="360" w:after="80"/>
      <w:outlineLvl w:val="0"/>
    </w:pPr>
    <w:rPr>
      <w:rFonts w:ascii="Calibri" w:eastAsiaTheme="majorEastAsia" w:hAnsi="Calibri" w:cs="Calibri"/>
      <w:color w:val="0F4761" w:themeColor="accent1" w:themeShade="BF"/>
    </w:rPr>
  </w:style>
  <w:style w:type="paragraph" w:styleId="Heading2">
    <w:name w:val="heading 2"/>
    <w:basedOn w:val="Normal"/>
    <w:next w:val="Normal"/>
    <w:link w:val="Heading2Char"/>
    <w:uiPriority w:val="9"/>
    <w:unhideWhenUsed/>
    <w:qFormat/>
    <w:rsid w:val="00F92B1D"/>
    <w:pPr>
      <w:keepNext/>
      <w:keepLines/>
      <w:numPr>
        <w:ilvl w:val="1"/>
        <w:numId w:val="16"/>
      </w:numPr>
      <w:spacing w:before="160" w:after="80"/>
      <w:outlineLvl w:val="1"/>
    </w:pPr>
    <w:rPr>
      <w:rFonts w:ascii="Calibri" w:eastAsiaTheme="majorEastAsia" w:hAnsi="Calibri" w:cs="Calibri"/>
      <w:color w:val="0F4761" w:themeColor="accent1" w:themeShade="BF"/>
    </w:rPr>
  </w:style>
  <w:style w:type="paragraph" w:styleId="Heading3">
    <w:name w:val="heading 3"/>
    <w:basedOn w:val="Normal"/>
    <w:next w:val="Normal"/>
    <w:link w:val="Heading3Char"/>
    <w:uiPriority w:val="9"/>
    <w:semiHidden/>
    <w:unhideWhenUsed/>
    <w:qFormat/>
    <w:rsid w:val="00E66AB6"/>
    <w:pPr>
      <w:keepNext/>
      <w:keepLines/>
      <w:numPr>
        <w:ilvl w:val="2"/>
        <w:numId w:val="1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AB6"/>
    <w:pPr>
      <w:keepNext/>
      <w:keepLines/>
      <w:numPr>
        <w:ilvl w:val="3"/>
        <w:numId w:val="1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AB6"/>
    <w:pPr>
      <w:keepNext/>
      <w:keepLines/>
      <w:numPr>
        <w:ilvl w:val="4"/>
        <w:numId w:val="1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AB6"/>
    <w:pPr>
      <w:keepNext/>
      <w:keepLines/>
      <w:numPr>
        <w:ilvl w:val="5"/>
        <w:numId w:val="1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AB6"/>
    <w:pPr>
      <w:keepNext/>
      <w:keepLines/>
      <w:numPr>
        <w:ilvl w:val="6"/>
        <w:numId w:val="1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AB6"/>
    <w:pPr>
      <w:keepNext/>
      <w:keepLines/>
      <w:numPr>
        <w:ilvl w:val="7"/>
        <w:numId w:val="1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AB6"/>
    <w:pPr>
      <w:keepNext/>
      <w:keepLines/>
      <w:numPr>
        <w:ilvl w:val="8"/>
        <w:numId w:val="1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63CF"/>
    <w:rPr>
      <w:rFonts w:ascii="Calibri" w:eastAsiaTheme="majorEastAsia" w:hAnsi="Calibri" w:cs="Calibri"/>
      <w:color w:val="0F4761" w:themeColor="accent1" w:themeShade="BF"/>
    </w:rPr>
  </w:style>
  <w:style w:type="character" w:customStyle="1" w:styleId="Heading2Char">
    <w:name w:val="Heading 2 Char"/>
    <w:basedOn w:val="DefaultParagraphFont"/>
    <w:link w:val="Heading2"/>
    <w:uiPriority w:val="9"/>
    <w:rsid w:val="00F92B1D"/>
    <w:rPr>
      <w:rFonts w:ascii="Calibri" w:eastAsiaTheme="majorEastAsia" w:hAnsi="Calibri" w:cs="Calibri"/>
      <w:color w:val="0F4761" w:themeColor="accent1" w:themeShade="BF"/>
    </w:rPr>
  </w:style>
  <w:style w:type="character" w:customStyle="1" w:styleId="Heading3Char">
    <w:name w:val="Heading 3 Char"/>
    <w:basedOn w:val="DefaultParagraphFont"/>
    <w:link w:val="Heading3"/>
    <w:uiPriority w:val="9"/>
    <w:semiHidden/>
    <w:rsid w:val="00E66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AB6"/>
    <w:rPr>
      <w:rFonts w:eastAsiaTheme="majorEastAsia" w:cstheme="majorBidi"/>
      <w:color w:val="272727" w:themeColor="text1" w:themeTint="D8"/>
    </w:rPr>
  </w:style>
  <w:style w:type="character" w:customStyle="1" w:styleId="TitleChar">
    <w:name w:val="Title Char"/>
    <w:basedOn w:val="DefaultParagraphFont"/>
    <w:link w:val="Title"/>
    <w:uiPriority w:val="10"/>
    <w:rsid w:val="00E66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66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AB6"/>
    <w:pPr>
      <w:spacing w:before="160"/>
      <w:jc w:val="center"/>
    </w:pPr>
    <w:rPr>
      <w:i/>
      <w:iCs/>
      <w:color w:val="404040" w:themeColor="text1" w:themeTint="BF"/>
    </w:rPr>
  </w:style>
  <w:style w:type="character" w:customStyle="1" w:styleId="QuoteChar">
    <w:name w:val="Quote Char"/>
    <w:basedOn w:val="DefaultParagraphFont"/>
    <w:link w:val="Quote"/>
    <w:uiPriority w:val="29"/>
    <w:rsid w:val="00E66AB6"/>
    <w:rPr>
      <w:i/>
      <w:iCs/>
      <w:color w:val="404040" w:themeColor="text1" w:themeTint="BF"/>
    </w:rPr>
  </w:style>
  <w:style w:type="paragraph" w:styleId="ListParagraph">
    <w:name w:val="List Paragraph"/>
    <w:basedOn w:val="Normal"/>
    <w:uiPriority w:val="34"/>
    <w:qFormat/>
    <w:rsid w:val="00E66AB6"/>
    <w:pPr>
      <w:ind w:left="720"/>
      <w:contextualSpacing/>
    </w:pPr>
  </w:style>
  <w:style w:type="character" w:styleId="IntenseEmphasis">
    <w:name w:val="Intense Emphasis"/>
    <w:basedOn w:val="DefaultParagraphFont"/>
    <w:uiPriority w:val="21"/>
    <w:qFormat/>
    <w:rsid w:val="00E66AB6"/>
    <w:rPr>
      <w:i/>
      <w:iCs/>
      <w:color w:val="0F4761" w:themeColor="accent1" w:themeShade="BF"/>
    </w:rPr>
  </w:style>
  <w:style w:type="paragraph" w:styleId="IntenseQuote">
    <w:name w:val="Intense Quote"/>
    <w:basedOn w:val="Normal"/>
    <w:next w:val="Normal"/>
    <w:link w:val="IntenseQuoteChar"/>
    <w:uiPriority w:val="30"/>
    <w:qFormat/>
    <w:rsid w:val="00E66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AB6"/>
    <w:rPr>
      <w:i/>
      <w:iCs/>
      <w:color w:val="0F4761" w:themeColor="accent1" w:themeShade="BF"/>
    </w:rPr>
  </w:style>
  <w:style w:type="character" w:styleId="IntenseReference">
    <w:name w:val="Intense Reference"/>
    <w:basedOn w:val="DefaultParagraphFont"/>
    <w:uiPriority w:val="32"/>
    <w:qFormat/>
    <w:rsid w:val="00E66AB6"/>
    <w:rPr>
      <w:b/>
      <w:bCs/>
      <w:smallCaps/>
      <w:color w:val="0F4761" w:themeColor="accent1" w:themeShade="BF"/>
      <w:spacing w:val="5"/>
    </w:rPr>
  </w:style>
  <w:style w:type="paragraph" w:styleId="FootnoteText">
    <w:name w:val="footnote text"/>
    <w:basedOn w:val="Normal"/>
    <w:link w:val="FootnoteTextChar"/>
    <w:uiPriority w:val="99"/>
    <w:semiHidden/>
    <w:unhideWhenUsed/>
    <w:rsid w:val="006D1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FD3"/>
    <w:rPr>
      <w:sz w:val="20"/>
      <w:szCs w:val="20"/>
    </w:rPr>
  </w:style>
  <w:style w:type="character" w:styleId="FootnoteReference">
    <w:name w:val="footnote reference"/>
    <w:basedOn w:val="DefaultParagraphFont"/>
    <w:uiPriority w:val="99"/>
    <w:semiHidden/>
    <w:unhideWhenUsed/>
    <w:rsid w:val="006D1FD3"/>
    <w:rPr>
      <w:vertAlign w:val="superscript"/>
    </w:rPr>
  </w:style>
  <w:style w:type="character" w:styleId="Hyperlink">
    <w:name w:val="Hyperlink"/>
    <w:basedOn w:val="DefaultParagraphFont"/>
    <w:uiPriority w:val="99"/>
    <w:unhideWhenUsed/>
    <w:rsid w:val="006D1FD3"/>
    <w:rPr>
      <w:color w:val="0000FF"/>
      <w:u w:val="single"/>
    </w:rPr>
  </w:style>
  <w:style w:type="character" w:styleId="UnresolvedMention">
    <w:name w:val="Unresolved Mention"/>
    <w:basedOn w:val="DefaultParagraphFont"/>
    <w:uiPriority w:val="99"/>
    <w:semiHidden/>
    <w:unhideWhenUsed/>
    <w:rsid w:val="006D1FD3"/>
    <w:rPr>
      <w:color w:val="605E5C"/>
      <w:shd w:val="clear" w:color="auto" w:fill="E1DFDD"/>
    </w:rPr>
  </w:style>
  <w:style w:type="character" w:styleId="FollowedHyperlink">
    <w:name w:val="FollowedHyperlink"/>
    <w:basedOn w:val="DefaultParagraphFont"/>
    <w:uiPriority w:val="99"/>
    <w:semiHidden/>
    <w:unhideWhenUsed/>
    <w:rsid w:val="006D1FD3"/>
    <w:rPr>
      <w:color w:val="96607D" w:themeColor="followedHyperlink"/>
      <w:u w:val="single"/>
    </w:rPr>
  </w:style>
  <w:style w:type="paragraph" w:styleId="Revision">
    <w:name w:val="Revision"/>
    <w:hidden/>
    <w:uiPriority w:val="99"/>
    <w:semiHidden/>
    <w:rsid w:val="000E36A9"/>
    <w:pPr>
      <w:spacing w:after="0" w:line="240" w:lineRule="auto"/>
    </w:pPr>
  </w:style>
  <w:style w:type="character" w:styleId="CommentReference">
    <w:name w:val="annotation reference"/>
    <w:basedOn w:val="DefaultParagraphFont"/>
    <w:uiPriority w:val="99"/>
    <w:semiHidden/>
    <w:unhideWhenUsed/>
    <w:rsid w:val="000E36A9"/>
    <w:rPr>
      <w:sz w:val="16"/>
      <w:szCs w:val="16"/>
    </w:rPr>
  </w:style>
  <w:style w:type="paragraph" w:styleId="CommentText">
    <w:name w:val="annotation text"/>
    <w:basedOn w:val="Normal"/>
    <w:link w:val="CommentTextChar"/>
    <w:uiPriority w:val="99"/>
    <w:unhideWhenUsed/>
    <w:rsid w:val="000E36A9"/>
    <w:pPr>
      <w:spacing w:line="240" w:lineRule="auto"/>
    </w:pPr>
    <w:rPr>
      <w:sz w:val="20"/>
      <w:szCs w:val="20"/>
    </w:rPr>
  </w:style>
  <w:style w:type="character" w:customStyle="1" w:styleId="CommentTextChar">
    <w:name w:val="Comment Text Char"/>
    <w:basedOn w:val="DefaultParagraphFont"/>
    <w:link w:val="CommentText"/>
    <w:uiPriority w:val="99"/>
    <w:rsid w:val="000E36A9"/>
    <w:rPr>
      <w:sz w:val="20"/>
      <w:szCs w:val="20"/>
    </w:rPr>
  </w:style>
  <w:style w:type="paragraph" w:styleId="CommentSubject">
    <w:name w:val="annotation subject"/>
    <w:basedOn w:val="CommentText"/>
    <w:next w:val="CommentText"/>
    <w:link w:val="CommentSubjectChar"/>
    <w:uiPriority w:val="99"/>
    <w:semiHidden/>
    <w:unhideWhenUsed/>
    <w:rsid w:val="000E36A9"/>
    <w:rPr>
      <w:b/>
      <w:bCs/>
    </w:rPr>
  </w:style>
  <w:style w:type="character" w:customStyle="1" w:styleId="CommentSubjectChar">
    <w:name w:val="Comment Subject Char"/>
    <w:basedOn w:val="CommentTextChar"/>
    <w:link w:val="CommentSubject"/>
    <w:uiPriority w:val="99"/>
    <w:semiHidden/>
    <w:rsid w:val="000E36A9"/>
    <w:rPr>
      <w:b/>
      <w:bCs/>
      <w:sz w:val="20"/>
      <w:szCs w:val="20"/>
    </w:rPr>
  </w:style>
  <w:style w:type="paragraph" w:styleId="Header">
    <w:name w:val="header"/>
    <w:basedOn w:val="Normal"/>
    <w:link w:val="HeaderChar"/>
    <w:uiPriority w:val="99"/>
    <w:unhideWhenUsed/>
    <w:rsid w:val="006B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CF"/>
  </w:style>
  <w:style w:type="paragraph" w:styleId="Footer">
    <w:name w:val="footer"/>
    <w:basedOn w:val="Normal"/>
    <w:link w:val="FooterChar"/>
    <w:uiPriority w:val="99"/>
    <w:unhideWhenUsed/>
    <w:rsid w:val="006B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CF"/>
  </w:style>
  <w:style w:type="table" w:styleId="TableGrid">
    <w:name w:val="Table Grid"/>
    <w:basedOn w:val="TableNormal"/>
    <w:uiPriority w:val="39"/>
    <w:rsid w:val="006B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idn-2012-02-25-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ann.org/resources/pages/idn-2012-02-25-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pages/idn-2012-02-25-en)_" TargetMode="External"/><Relationship Id="rId2" Type="http://schemas.openxmlformats.org/officeDocument/2006/relationships/hyperlink" Target="https://www.icann.org/resources/pages/rfcs-2012-02-25-en" TargetMode="External"/><Relationship Id="rId1" Type="http://schemas.openxmlformats.org/officeDocument/2006/relationships/hyperlink" Target="http://www.unico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C9NCLH/vVijf7JzuUPmJ0GEg==">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Neupane, Bhanu</dc:creator>
  <cp:lastModifiedBy>Sarmad Hussain</cp:lastModifiedBy>
  <cp:revision>5</cp:revision>
  <dcterms:created xsi:type="dcterms:W3CDTF">2024-08-27T06:42:00Z</dcterms:created>
  <dcterms:modified xsi:type="dcterms:W3CDTF">2025-08-21T11:40:00Z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MediaServiceImageTags</vt:lpwstr>
  </property>
</Properties>
</file>