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D95F" w14:textId="37796ABB" w:rsidR="00207D66" w:rsidRPr="003D5D66" w:rsidRDefault="003D5D66">
      <w:pPr>
        <w:rPr>
          <w:b/>
          <w:bCs/>
          <w:sz w:val="28"/>
          <w:szCs w:val="28"/>
        </w:rPr>
      </w:pPr>
      <w:r w:rsidRPr="003D5D66">
        <w:rPr>
          <w:b/>
          <w:bCs/>
          <w:sz w:val="28"/>
          <w:szCs w:val="28"/>
        </w:rPr>
        <w:t>Action items flowing from UA working session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37"/>
        <w:gridCol w:w="3230"/>
        <w:gridCol w:w="2466"/>
        <w:gridCol w:w="2161"/>
        <w:gridCol w:w="2664"/>
      </w:tblGrid>
      <w:tr w:rsidR="00B400C5" w14:paraId="3B395556" w14:textId="77777777" w:rsidTr="00B400C5">
        <w:trPr>
          <w:tblHeader/>
        </w:trPr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</w:tcPr>
          <w:p w14:paraId="1A3F7158" w14:textId="77777777" w:rsidR="00B400C5" w:rsidRDefault="00B400C5" w:rsidP="00FC7B62">
            <w:pPr>
              <w:jc w:val="center"/>
            </w:pPr>
            <w:r>
              <w:rPr>
                <w:b/>
                <w:bCs/>
                <w:color w:val="FFFFFF"/>
              </w:rPr>
              <w:t>Timeline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</w:tcPr>
          <w:p w14:paraId="0EEBEE6D" w14:textId="77777777" w:rsidR="00B400C5" w:rsidRDefault="00B400C5" w:rsidP="00FC7B62">
            <w:pPr>
              <w:jc w:val="center"/>
            </w:pPr>
            <w:r>
              <w:rPr>
                <w:b/>
                <w:bCs/>
                <w:color w:val="FFFFFF"/>
              </w:rPr>
              <w:t>Action Item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</w:tcPr>
          <w:p w14:paraId="66175D1F" w14:textId="2F57780B" w:rsidR="00B400C5" w:rsidRDefault="00B400C5" w:rsidP="00FC7B62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What is available already?</w:t>
            </w:r>
          </w:p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</w:tcPr>
          <w:p w14:paraId="3EFDF5FE" w14:textId="66E80FE4" w:rsidR="00B400C5" w:rsidRDefault="00B400C5" w:rsidP="00FC7B62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Who will execute?</w:t>
            </w:r>
          </w:p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</w:tcPr>
          <w:p w14:paraId="0C267A95" w14:textId="2AE56FC7" w:rsidR="00B400C5" w:rsidRDefault="00B400C5" w:rsidP="00FC7B62">
            <w:pPr>
              <w:jc w:val="center"/>
            </w:pPr>
            <w:r>
              <w:rPr>
                <w:b/>
                <w:bCs/>
                <w:color w:val="FFFFFF"/>
              </w:rPr>
              <w:t>Success Indicator</w:t>
            </w:r>
          </w:p>
        </w:tc>
      </w:tr>
      <w:tr w:rsidR="00B400C5" w14:paraId="72D6E355" w14:textId="77777777" w:rsidTr="00B400C5"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0E656DA" w14:textId="77777777" w:rsidR="00B400C5" w:rsidRDefault="00B400C5" w:rsidP="00FC7B62">
            <w:pPr>
              <w:jc w:val="center"/>
              <w:rPr>
                <w:b/>
                <w:bCs/>
                <w:color w:val="2E5090"/>
              </w:rPr>
            </w:pPr>
            <w:r>
              <w:rPr>
                <w:b/>
                <w:bCs/>
                <w:color w:val="2E5090"/>
              </w:rPr>
              <w:t>0-3 months</w:t>
            </w:r>
          </w:p>
          <w:p w14:paraId="218B885B" w14:textId="3A78A1DC" w:rsidR="00B400C5" w:rsidRDefault="00B400C5" w:rsidP="00FC7B62">
            <w:pPr>
              <w:jc w:val="center"/>
            </w:pPr>
            <w:r>
              <w:rPr>
                <w:b/>
                <w:bCs/>
                <w:color w:val="2E5090"/>
              </w:rPr>
              <w:t>(completed by Mumbai)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0FAC2CF" w14:textId="77777777" w:rsidR="00B400C5" w:rsidRDefault="00B400C5" w:rsidP="00FC7B62">
            <w:pPr>
              <w:spacing w:after="80"/>
            </w:pPr>
            <w:r>
              <w:rPr>
                <w:b/>
                <w:bCs/>
              </w:rPr>
              <w:t>Create clear UA definition document</w:t>
            </w:r>
          </w:p>
          <w:p w14:paraId="2F103812" w14:textId="6EE8661E" w:rsidR="00B400C5" w:rsidRDefault="00B400C5" w:rsidP="00FC7B62">
            <w:r>
              <w:t xml:space="preserve">Simple explanation (under </w:t>
            </w:r>
            <w:r>
              <w:t xml:space="preserve">5 </w:t>
            </w:r>
            <w:r>
              <w:t>pages) of what UA is, why it matters, standards to follow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51850C" w14:textId="77777777" w:rsidR="00B400C5" w:rsidRDefault="00B400C5" w:rsidP="00FC7B62"/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76D81E8" w14:textId="77777777" w:rsidR="00B400C5" w:rsidRDefault="00B400C5" w:rsidP="00FC7B62"/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43DF36" w14:textId="2FD2DCCD" w:rsidR="00B400C5" w:rsidRDefault="00B400C5" w:rsidP="00FC7B62"/>
        </w:tc>
      </w:tr>
      <w:tr w:rsidR="00B400C5" w14:paraId="08C7A14E" w14:textId="77777777" w:rsidTr="00B400C5"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8DC2BBA" w14:textId="77777777" w:rsidR="00B400C5" w:rsidRDefault="00B400C5" w:rsidP="00FC7B62"/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18659C1" w14:textId="77777777" w:rsidR="00B400C5" w:rsidRDefault="00B400C5" w:rsidP="00FC7B62">
            <w:pPr>
              <w:spacing w:after="80"/>
            </w:pPr>
            <w:r>
              <w:rPr>
                <w:b/>
                <w:bCs/>
              </w:rPr>
              <w:t>Develop motivation toolkit</w:t>
            </w:r>
          </w:p>
          <w:p w14:paraId="4A2E437D" w14:textId="77777777" w:rsidR="00B400C5" w:rsidRDefault="00B400C5" w:rsidP="00FC7B62">
            <w:r>
              <w:t>5-10 compelling use cases showing real-world impact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959F27" w14:textId="77777777" w:rsidR="00B400C5" w:rsidRDefault="00B400C5" w:rsidP="00FC7B62"/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F1A470" w14:textId="77777777" w:rsidR="00B400C5" w:rsidRDefault="00B400C5" w:rsidP="00FC7B62"/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BDFEE58" w14:textId="4F1D8E87" w:rsidR="00B400C5" w:rsidRDefault="00B400C5" w:rsidP="00FC7B62">
            <w:r>
              <w:t xml:space="preserve">Use by GAC members and they </w:t>
            </w:r>
            <w:r>
              <w:t>can explain UA after reading</w:t>
            </w:r>
          </w:p>
        </w:tc>
      </w:tr>
      <w:tr w:rsidR="00B400C5" w14:paraId="582CFEB1" w14:textId="77777777" w:rsidTr="00B400C5"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D83E00F" w14:textId="77777777" w:rsidR="00B400C5" w:rsidRDefault="00B400C5" w:rsidP="00FC7B62"/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379E86" w14:textId="77777777" w:rsidR="00B400C5" w:rsidRDefault="00B400C5" w:rsidP="00FC7B62">
            <w:pPr>
              <w:spacing w:after="80"/>
            </w:pPr>
            <w:r>
              <w:rPr>
                <w:b/>
                <w:bCs/>
              </w:rPr>
              <w:t>Draft model procurement language</w:t>
            </w:r>
          </w:p>
          <w:p w14:paraId="2BC97D48" w14:textId="77777777" w:rsidR="00B400C5" w:rsidRDefault="00B400C5" w:rsidP="00FC7B62">
            <w:r>
              <w:t>Ready-to-use policy text for government RFPs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3C52612" w14:textId="77777777" w:rsidR="00B400C5" w:rsidRDefault="00B400C5" w:rsidP="00FC7B62"/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EB2FFB9" w14:textId="77777777" w:rsidR="00B400C5" w:rsidRDefault="00B400C5" w:rsidP="00FC7B62"/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BD7FDB5" w14:textId="403E3CE5" w:rsidR="00B400C5" w:rsidRDefault="00B400C5" w:rsidP="00FC7B62">
            <w:r>
              <w:t>Adopted by 2+ countries in adapted form</w:t>
            </w:r>
          </w:p>
        </w:tc>
      </w:tr>
      <w:tr w:rsidR="00B400C5" w14:paraId="1E6D5DA4" w14:textId="77777777" w:rsidTr="00B400C5"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133A265" w14:textId="77777777" w:rsidR="00B400C5" w:rsidRDefault="00B400C5" w:rsidP="00FC7B62">
            <w:pPr>
              <w:jc w:val="center"/>
            </w:pPr>
            <w:r>
              <w:rPr>
                <w:b/>
                <w:bCs/>
                <w:color w:val="2E5090"/>
              </w:rPr>
              <w:t>3-6 months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4E9CB37" w14:textId="19B78C08" w:rsidR="00B400C5" w:rsidRDefault="00B400C5" w:rsidP="00FC7B62">
            <w:pPr>
              <w:spacing w:after="80"/>
            </w:pPr>
            <w:r>
              <w:rPr>
                <w:b/>
                <w:bCs/>
              </w:rPr>
              <w:t>Establish</w:t>
            </w:r>
            <w:r>
              <w:rPr>
                <w:b/>
                <w:bCs/>
              </w:rPr>
              <w:t>/promote</w:t>
            </w:r>
            <w:r>
              <w:rPr>
                <w:b/>
                <w:bCs/>
              </w:rPr>
              <w:t xml:space="preserve"> government task forces</w:t>
            </w:r>
          </w:p>
          <w:p w14:paraId="5825E49B" w14:textId="28A84227" w:rsidR="00B400C5" w:rsidRDefault="00B400C5" w:rsidP="00FC7B62">
            <w:r>
              <w:lastRenderedPageBreak/>
              <w:t>2-3 pilot countries with monitoring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6406804" w14:textId="77777777" w:rsidR="00B400C5" w:rsidRDefault="00B400C5" w:rsidP="00FC7B62"/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F99657A" w14:textId="77777777" w:rsidR="00B400C5" w:rsidRDefault="00B400C5" w:rsidP="00FC7B62"/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0BFF02A" w14:textId="24093094" w:rsidR="00B400C5" w:rsidRDefault="00B400C5" w:rsidP="00FC7B62">
            <w:r>
              <w:t xml:space="preserve">Task forces meeting </w:t>
            </w:r>
            <w:r>
              <w:t xml:space="preserve">regularly including </w:t>
            </w:r>
            <w:r>
              <w:lastRenderedPageBreak/>
              <w:t>ccTLDs</w:t>
            </w:r>
            <w:r>
              <w:t>; progress reports published</w:t>
            </w:r>
          </w:p>
        </w:tc>
      </w:tr>
      <w:tr w:rsidR="00B400C5" w14:paraId="4099E47C" w14:textId="77777777" w:rsidTr="00B400C5"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4AE2302" w14:textId="77777777" w:rsidR="00B400C5" w:rsidRDefault="00B400C5" w:rsidP="00FC7B62"/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781FA0B" w14:textId="77777777" w:rsidR="00B400C5" w:rsidRDefault="00B400C5" w:rsidP="00FC7B62">
            <w:pPr>
              <w:spacing w:after="80"/>
            </w:pPr>
            <w:r>
              <w:rPr>
                <w:b/>
                <w:bCs/>
              </w:rPr>
              <w:t>Create simplified implementation roadmap</w:t>
            </w:r>
          </w:p>
          <w:p w14:paraId="20622435" w14:textId="77777777" w:rsidR="00B400C5" w:rsidRDefault="00B400C5" w:rsidP="00FC7B62">
            <w:r>
              <w:t>Step-by-step guides for the four technical pillars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61C9AD6" w14:textId="77777777" w:rsidR="00B400C5" w:rsidRDefault="00B400C5" w:rsidP="00FC7B62"/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7B5CB08" w14:textId="77777777" w:rsidR="00B400C5" w:rsidRDefault="00B400C5" w:rsidP="00FC7B62"/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013BF2C" w14:textId="0AD6A648" w:rsidR="00B400C5" w:rsidRDefault="00B400C5" w:rsidP="00FC7B62">
            <w:r>
              <w:t>Roadmap rated 4/5+ helpful by users</w:t>
            </w:r>
          </w:p>
        </w:tc>
      </w:tr>
      <w:tr w:rsidR="00B400C5" w14:paraId="79F78FCA" w14:textId="77777777" w:rsidTr="00B400C5"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ADF394B" w14:textId="77777777" w:rsidR="00B400C5" w:rsidRDefault="00B400C5" w:rsidP="00FC7B62"/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0A5E0B2" w14:textId="77777777" w:rsidR="00B400C5" w:rsidRDefault="00B400C5" w:rsidP="00FC7B62">
            <w:pPr>
              <w:spacing w:after="80"/>
            </w:pPr>
            <w:r>
              <w:rPr>
                <w:b/>
                <w:bCs/>
              </w:rPr>
              <w:t>Launch pilot implementations</w:t>
            </w:r>
          </w:p>
          <w:p w14:paraId="46A9B619" w14:textId="77777777" w:rsidR="00B400C5" w:rsidRDefault="00B400C5" w:rsidP="00FC7B62">
            <w:r>
              <w:t>Document everything: problems, solutions, timelines, costs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D596C8F" w14:textId="77777777" w:rsidR="00B400C5" w:rsidRDefault="00B400C5" w:rsidP="00FC7B62"/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92B9F2" w14:textId="77777777" w:rsidR="00B400C5" w:rsidRDefault="00B400C5" w:rsidP="00FC7B62"/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BBC814" w14:textId="443AD88F" w:rsidR="00B400C5" w:rsidRDefault="00B400C5" w:rsidP="00FC7B62">
            <w:r>
              <w:t>Comprehensive case study completed</w:t>
            </w:r>
          </w:p>
        </w:tc>
      </w:tr>
      <w:tr w:rsidR="00B400C5" w14:paraId="1DE0B03D" w14:textId="77777777" w:rsidTr="00B400C5"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9542136" w14:textId="77777777" w:rsidR="00B400C5" w:rsidRDefault="00B400C5" w:rsidP="00FC7B62">
            <w:pPr>
              <w:jc w:val="center"/>
            </w:pPr>
            <w:r>
              <w:rPr>
                <w:b/>
                <w:bCs/>
                <w:color w:val="2E5090"/>
              </w:rPr>
              <w:t>6-24 months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8ACC97" w14:textId="77777777" w:rsidR="00B400C5" w:rsidRDefault="00B400C5" w:rsidP="00FC7B62">
            <w:pPr>
              <w:spacing w:after="80"/>
            </w:pPr>
            <w:r>
              <w:rPr>
                <w:b/>
                <w:bCs/>
              </w:rPr>
              <w:t>Engage software licensing organizations</w:t>
            </w:r>
          </w:p>
          <w:p w14:paraId="36D78AA2" w14:textId="77777777" w:rsidR="00B400C5" w:rsidRDefault="00B400C5" w:rsidP="00FC7B62">
            <w:r>
              <w:t>Incorporate UA compliance into certification standards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619D482" w14:textId="77777777" w:rsidR="00B400C5" w:rsidRDefault="00B400C5" w:rsidP="00FC7B62"/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0E70101" w14:textId="77777777" w:rsidR="00B400C5" w:rsidRDefault="00B400C5" w:rsidP="00FC7B62"/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5EE3129" w14:textId="37F44425" w:rsidR="00B400C5" w:rsidRDefault="00B400C5" w:rsidP="00FC7B62">
            <w:r>
              <w:t>1+ licensing body formally adopts UA requirements</w:t>
            </w:r>
          </w:p>
        </w:tc>
      </w:tr>
      <w:tr w:rsidR="00B400C5" w14:paraId="0744B764" w14:textId="77777777" w:rsidTr="00B400C5"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D5CC6E" w14:textId="77777777" w:rsidR="00B400C5" w:rsidRDefault="00B400C5" w:rsidP="00FC7B62"/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810819C" w14:textId="77777777" w:rsidR="00B400C5" w:rsidRDefault="00B400C5" w:rsidP="00FC7B62">
            <w:pPr>
              <w:spacing w:after="80"/>
            </w:pPr>
            <w:r>
              <w:rPr>
                <w:b/>
                <w:bCs/>
              </w:rPr>
              <w:t>Activate bilateral relationships</w:t>
            </w:r>
          </w:p>
          <w:p w14:paraId="0C491BDC" w14:textId="77777777" w:rsidR="00B400C5" w:rsidRDefault="00B400C5" w:rsidP="00FC7B62">
            <w:r>
              <w:lastRenderedPageBreak/>
              <w:t>Coordinate UA requirements between trading partners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58908C7" w14:textId="77777777" w:rsidR="00B400C5" w:rsidRDefault="00B400C5" w:rsidP="00FC7B62"/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C8B89D5" w14:textId="77777777" w:rsidR="00B400C5" w:rsidRDefault="00B400C5" w:rsidP="00FC7B62"/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BBE86C2" w14:textId="291E5ABB" w:rsidR="00B400C5" w:rsidRDefault="00B400C5" w:rsidP="00FC7B62">
            <w:r>
              <w:t>Country pairs with synchronized UA mandates</w:t>
            </w:r>
          </w:p>
        </w:tc>
      </w:tr>
      <w:tr w:rsidR="00B400C5" w14:paraId="2EDE8D10" w14:textId="77777777" w:rsidTr="00B400C5"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23C34FE" w14:textId="77777777" w:rsidR="00B400C5" w:rsidRDefault="00B400C5" w:rsidP="00FC7B62"/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AC9E0EC" w14:textId="77777777" w:rsidR="00B400C5" w:rsidRDefault="00B400C5" w:rsidP="00FC7B62">
            <w:pPr>
              <w:spacing w:after="80"/>
            </w:pPr>
            <w:r>
              <w:rPr>
                <w:b/>
                <w:bCs/>
              </w:rPr>
              <w:t>Align national with international standards</w:t>
            </w:r>
          </w:p>
          <w:p w14:paraId="7DC67FBE" w14:textId="77777777" w:rsidR="00B400C5" w:rsidRDefault="00B400C5" w:rsidP="00FC7B62">
            <w:r>
              <w:t>Ensure interoperability through standards coordination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95A9C62" w14:textId="77777777" w:rsidR="00B400C5" w:rsidRDefault="00B400C5" w:rsidP="00FC7B62"/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19B56ED" w14:textId="77777777" w:rsidR="00B400C5" w:rsidRDefault="00B400C5" w:rsidP="00FC7B62"/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1F9D33" w14:textId="6033784F" w:rsidR="00B400C5" w:rsidRDefault="00B400C5" w:rsidP="00FC7B62">
            <w:r>
              <w:t>95%+ success rate on cross-border interoperability tests</w:t>
            </w:r>
          </w:p>
        </w:tc>
      </w:tr>
      <w:tr w:rsidR="00B400C5" w14:paraId="0B082BEC" w14:textId="77777777" w:rsidTr="00B400C5">
        <w:tc>
          <w:tcPr>
            <w:tcW w:w="24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AD668FE" w14:textId="77777777" w:rsidR="00B400C5" w:rsidRDefault="00B400C5" w:rsidP="00FC7B62"/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E86AB5E" w14:textId="70C7E5E6" w:rsidR="00B400C5" w:rsidRDefault="00B400C5" w:rsidP="00FC7B62">
            <w:pPr>
              <w:spacing w:after="80"/>
            </w:pPr>
            <w:r>
              <w:rPr>
                <w:b/>
                <w:bCs/>
              </w:rPr>
              <w:t xml:space="preserve">Strengthen </w:t>
            </w:r>
            <w:r>
              <w:rPr>
                <w:b/>
                <w:bCs/>
              </w:rPr>
              <w:t>UA tools website</w:t>
            </w:r>
          </w:p>
          <w:p w14:paraId="24B5EBEB" w14:textId="77777777" w:rsidR="00B400C5" w:rsidRDefault="00B400C5" w:rsidP="00FC7B62">
            <w:r>
              <w:t>Central hub with testing tools, guides, case studies</w:t>
            </w:r>
            <w:r>
              <w:t xml:space="preserve"> </w:t>
            </w:r>
          </w:p>
          <w:p w14:paraId="0F691FDA" w14:textId="459CA014" w:rsidR="00B400C5" w:rsidRDefault="00B400C5" w:rsidP="00FC7B62">
            <w:r>
              <w:t>Increase subscription rate, promote ICANN UA website</w:t>
            </w:r>
          </w:p>
        </w:tc>
        <w:tc>
          <w:tcPr>
            <w:tcW w:w="24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83E9C2" w14:textId="77777777" w:rsidR="00B400C5" w:rsidRDefault="00B400C5" w:rsidP="00FC7B62"/>
        </w:tc>
        <w:tc>
          <w:tcPr>
            <w:tcW w:w="21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13CE3B" w14:textId="77777777" w:rsidR="00B400C5" w:rsidRDefault="00B400C5" w:rsidP="00FC7B62"/>
        </w:tc>
        <w:tc>
          <w:tcPr>
            <w:tcW w:w="2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F7947C" w14:textId="2F628EFA" w:rsidR="00B400C5" w:rsidRDefault="00B400C5" w:rsidP="00FC7B62"/>
        </w:tc>
      </w:tr>
    </w:tbl>
    <w:p w14:paraId="5323AA0C" w14:textId="77777777" w:rsidR="003D5D66" w:rsidRDefault="003D5D66"/>
    <w:p w14:paraId="13FB30BE" w14:textId="77777777" w:rsidR="00B400C5" w:rsidRDefault="00B400C5"/>
    <w:p w14:paraId="5DB2BCDC" w14:textId="77777777" w:rsidR="00B400C5" w:rsidRDefault="00B400C5">
      <w:r>
        <w:br w:type="page"/>
      </w:r>
    </w:p>
    <w:p w14:paraId="07D9E106" w14:textId="4BC51DAE" w:rsidR="00B400C5" w:rsidRDefault="00B400C5">
      <w:r>
        <w:lastRenderedPageBreak/>
        <w:t xml:space="preserve">  </w:t>
      </w:r>
    </w:p>
    <w:p w14:paraId="4E3E4D11" w14:textId="7A97E6B6" w:rsidR="00B400C5" w:rsidRDefault="00B400C5" w:rsidP="00B400C5">
      <w:proofErr w:type="spellStart"/>
      <w:r w:rsidRPr="00B400C5">
        <w:rPr>
          <w:rFonts w:ascii="Arial" w:eastAsia="Times New Roman" w:hAnsi="Arial" w:cs="Arial"/>
          <w:color w:val="000000"/>
          <w:kern w:val="36"/>
          <w:sz w:val="40"/>
          <w:szCs w:val="40"/>
          <w14:ligatures w14:val="none"/>
        </w:rPr>
        <w:t>ccNSO</w:t>
      </w:r>
      <w:proofErr w:type="spellEnd"/>
      <w:r w:rsidRPr="00B400C5">
        <w:rPr>
          <w:rFonts w:ascii="Arial" w:eastAsia="Times New Roman" w:hAnsi="Arial" w:cs="Arial"/>
          <w:color w:val="000000"/>
          <w:kern w:val="36"/>
          <w:sz w:val="40"/>
          <w:szCs w:val="40"/>
          <w14:ligatures w14:val="none"/>
        </w:rPr>
        <w:t xml:space="preserve"> UAC Action Plan</w:t>
      </w:r>
      <w:r>
        <w:rPr>
          <w:rFonts w:ascii="Arial" w:eastAsia="Times New Roman" w:hAnsi="Arial" w:cs="Arial"/>
          <w:color w:val="000000"/>
          <w:kern w:val="36"/>
          <w:sz w:val="40"/>
          <w:szCs w:val="40"/>
          <w14:ligatures w14:val="none"/>
        </w:rPr>
        <w:t xml:space="preserve"> </w:t>
      </w:r>
      <w:r>
        <w:t xml:space="preserve"> (</w:t>
      </w:r>
      <w:hyperlink r:id="rId5" w:history="1">
        <w:r w:rsidRPr="000E14C5">
          <w:rPr>
            <w:rStyle w:val="Hyperlink"/>
          </w:rPr>
          <w:t>https://docs.google.com/document/d/1Td27YCcDrDZ3pa4JzyX6n6CAY6anIG_n2kizDMcJACQ/edit?tab=t.0</w:t>
        </w:r>
      </w:hyperlink>
    </w:p>
    <w:p w14:paraId="6F72EA86" w14:textId="77777777" w:rsidR="00B400C5" w:rsidRPr="00B400C5" w:rsidRDefault="00B400C5" w:rsidP="00B400C5">
      <w:pPr>
        <w:rPr>
          <w:rFonts w:ascii="Arial" w:eastAsia="Times New Roman" w:hAnsi="Arial" w:cs="Arial"/>
          <w:color w:val="000000"/>
          <w:kern w:val="36"/>
          <w:sz w:val="40"/>
          <w:szCs w:val="40"/>
          <w14:ligatures w14:val="none"/>
        </w:rPr>
      </w:pPr>
    </w:p>
    <w:p w14:paraId="471F6BFA" w14:textId="77777777" w:rsidR="00B400C5" w:rsidRPr="00B400C5" w:rsidRDefault="00B400C5" w:rsidP="00B400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Taking into consideration the various steps in the development of the UAC work plan, the UAC agreed on the following work items: </w:t>
      </w:r>
    </w:p>
    <w:p w14:paraId="1B7E37C1" w14:textId="77777777" w:rsidR="00B400C5" w:rsidRPr="00B400C5" w:rsidRDefault="00B400C5" w:rsidP="00B400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2DAA19" w14:textId="77777777" w:rsidR="00B400C5" w:rsidRPr="00B400C5" w:rsidRDefault="00B400C5" w:rsidP="00B400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0C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In the near or immediate future</w:t>
      </w:r>
    </w:p>
    <w:p w14:paraId="76E369C1" w14:textId="77777777" w:rsidR="00B400C5" w:rsidRPr="00B400C5" w:rsidRDefault="00B400C5" w:rsidP="00B400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0C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D5D07CE" w14:textId="77777777" w:rsidR="00B400C5" w:rsidRPr="00B400C5" w:rsidRDefault="00B400C5" w:rsidP="00B400C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Completion library and email list </w:t>
      </w:r>
      <w:r w:rsidRPr="00B400C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(ongoing)</w:t>
      </w:r>
    </w:p>
    <w:p w14:paraId="45011286" w14:textId="77777777" w:rsidR="00B400C5" w:rsidRPr="00B400C5" w:rsidRDefault="00B400C5" w:rsidP="00B400C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Share success stories on implementation, explain benefits UA readiness</w:t>
      </w:r>
    </w:p>
    <w:p w14:paraId="55306A5B" w14:textId="4D1694A6" w:rsidR="00B400C5" w:rsidRPr="00B400C5" w:rsidRDefault="00B400C5" w:rsidP="00B400C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 ccTLDs about future UA Day events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00C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(ongoing)</w:t>
      </w:r>
    </w:p>
    <w:p w14:paraId="3D6D106E" w14:textId="77777777" w:rsidR="00B400C5" w:rsidRPr="00B400C5" w:rsidRDefault="00B400C5" w:rsidP="00B400C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Coordination with other groups under the ICANN umbrella </w:t>
      </w:r>
      <w:r w:rsidRPr="00B400C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(ongoing)</w:t>
      </w:r>
    </w:p>
    <w:p w14:paraId="1C1C30F7" w14:textId="6CFF03FE" w:rsidR="00B400C5" w:rsidRPr="00B400C5" w:rsidRDefault="00B400C5" w:rsidP="00B400C5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ccNSO</w:t>
      </w:r>
      <w:proofErr w:type="spellEnd"/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appointed liaison to UASG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B400C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replaced with Expert Group</w:t>
      </w:r>
    </w:p>
    <w:p w14:paraId="008F47E1" w14:textId="77777777" w:rsidR="00B400C5" w:rsidRPr="00B400C5" w:rsidRDefault="00B400C5" w:rsidP="00B400C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Share existing UA-readiness roadmaps</w:t>
      </w:r>
    </w:p>
    <w:p w14:paraId="13C5358B" w14:textId="77777777" w:rsidR="00B400C5" w:rsidRPr="00B400C5" w:rsidRDefault="00B400C5" w:rsidP="00B400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A3CED2" w14:textId="77777777" w:rsidR="00B400C5" w:rsidRPr="00B400C5" w:rsidRDefault="00B400C5" w:rsidP="00B400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0C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Mid- to long term</w:t>
      </w:r>
    </w:p>
    <w:p w14:paraId="1A420B8C" w14:textId="77777777" w:rsidR="00B400C5" w:rsidRPr="00B400C5" w:rsidRDefault="00B400C5" w:rsidP="00B400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72C1ACFF" w14:textId="77777777" w:rsidR="00B400C5" w:rsidRPr="00B400C5" w:rsidRDefault="00B400C5" w:rsidP="00B400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  UAC</w:t>
      </w:r>
      <w:proofErr w:type="gramEnd"/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identified work items which require additional planning. These items will be detailed and addressed in the following order: </w:t>
      </w:r>
    </w:p>
    <w:p w14:paraId="0B169E80" w14:textId="77777777" w:rsidR="00B400C5" w:rsidRPr="00B400C5" w:rsidRDefault="00B400C5" w:rsidP="00B400C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Develop ccTLD readiness journeys case studies</w:t>
      </w:r>
    </w:p>
    <w:p w14:paraId="7DCB46EC" w14:textId="1C295874" w:rsidR="00B400C5" w:rsidRPr="00B400C5" w:rsidRDefault="00B400C5" w:rsidP="00B400C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Conduct survey among ccTLDs regarding UA adoption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00C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(replaced with session on drivers and barriers)</w:t>
      </w:r>
    </w:p>
    <w:p w14:paraId="7A6CD54D" w14:textId="33246C93" w:rsidR="00B400C5" w:rsidRPr="00B400C5" w:rsidRDefault="00B400C5" w:rsidP="00B400C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Assisting and cooperating with local counterparts to </w:t>
      </w: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organize</w:t>
      </w: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local events</w:t>
      </w:r>
    </w:p>
    <w:p w14:paraId="3C3FD7B2" w14:textId="77777777" w:rsidR="00B400C5" w:rsidRPr="00B400C5" w:rsidRDefault="00B400C5" w:rsidP="00B400C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Liaising with email - and other service providers (e.g. local programming groups, W3C, registries and registrars </w:t>
      </w:r>
      <w:proofErr w:type="spellStart"/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etc</w:t>
      </w:r>
      <w:proofErr w:type="spellEnd"/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784290B7" w14:textId="42B92DFD" w:rsidR="00B400C5" w:rsidRPr="00B400C5" w:rsidRDefault="00B400C5" w:rsidP="00B400C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 Planning and </w:t>
      </w: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organizing</w:t>
      </w:r>
      <w:r w:rsidRPr="00B400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 tabletop exercise</w:t>
      </w:r>
    </w:p>
    <w:p w14:paraId="5EA7AD1D" w14:textId="77777777" w:rsidR="00B400C5" w:rsidRDefault="00B400C5"/>
    <w:p w14:paraId="01558D85" w14:textId="77777777" w:rsidR="00B400C5" w:rsidRDefault="00B400C5"/>
    <w:sectPr w:rsidR="00B400C5" w:rsidSect="00B400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688C"/>
    <w:multiLevelType w:val="multilevel"/>
    <w:tmpl w:val="37BA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14DF3"/>
    <w:multiLevelType w:val="multilevel"/>
    <w:tmpl w:val="4928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A182A"/>
    <w:multiLevelType w:val="hybridMultilevel"/>
    <w:tmpl w:val="85209DC4"/>
    <w:lvl w:ilvl="0" w:tplc="F1B446B6">
      <w:start w:val="1"/>
      <w:numFmt w:val="bullet"/>
      <w:lvlText w:val="•"/>
      <w:lvlJc w:val="left"/>
      <w:pPr>
        <w:ind w:left="720" w:hanging="360"/>
      </w:pPr>
    </w:lvl>
    <w:lvl w:ilvl="1" w:tplc="0742D6FE">
      <w:numFmt w:val="decimal"/>
      <w:lvlText w:val=""/>
      <w:lvlJc w:val="left"/>
    </w:lvl>
    <w:lvl w:ilvl="2" w:tplc="74CADEC4">
      <w:numFmt w:val="decimal"/>
      <w:lvlText w:val=""/>
      <w:lvlJc w:val="left"/>
    </w:lvl>
    <w:lvl w:ilvl="3" w:tplc="8F262112">
      <w:numFmt w:val="decimal"/>
      <w:lvlText w:val=""/>
      <w:lvlJc w:val="left"/>
    </w:lvl>
    <w:lvl w:ilvl="4" w:tplc="347ABC96">
      <w:numFmt w:val="decimal"/>
      <w:lvlText w:val=""/>
      <w:lvlJc w:val="left"/>
    </w:lvl>
    <w:lvl w:ilvl="5" w:tplc="7E4CBE4E">
      <w:numFmt w:val="decimal"/>
      <w:lvlText w:val=""/>
      <w:lvlJc w:val="left"/>
    </w:lvl>
    <w:lvl w:ilvl="6" w:tplc="56BCE328">
      <w:numFmt w:val="decimal"/>
      <w:lvlText w:val=""/>
      <w:lvlJc w:val="left"/>
    </w:lvl>
    <w:lvl w:ilvl="7" w:tplc="391414A2">
      <w:numFmt w:val="decimal"/>
      <w:lvlText w:val=""/>
      <w:lvlJc w:val="left"/>
    </w:lvl>
    <w:lvl w:ilvl="8" w:tplc="055E654C">
      <w:numFmt w:val="decimal"/>
      <w:lvlText w:val=""/>
      <w:lvlJc w:val="left"/>
    </w:lvl>
  </w:abstractNum>
  <w:num w:numId="1" w16cid:durableId="101993954">
    <w:abstractNumId w:val="2"/>
    <w:lvlOverride w:ilvl="0">
      <w:startOverride w:val="1"/>
    </w:lvlOverride>
  </w:num>
  <w:num w:numId="2" w16cid:durableId="2139685221">
    <w:abstractNumId w:val="1"/>
  </w:num>
  <w:num w:numId="3" w16cid:durableId="942880186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42588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66"/>
    <w:rsid w:val="000C1D22"/>
    <w:rsid w:val="00207D66"/>
    <w:rsid w:val="003D5D66"/>
    <w:rsid w:val="009004D8"/>
    <w:rsid w:val="00B4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2919D"/>
  <w15:chartTrackingRefBased/>
  <w15:docId w15:val="{658E3603-FFAE-ED43-A3DB-DAA05AD2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D6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D5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D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400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Td27YCcDrDZ3pa4JzyX6n6CAY6anIG_n2kizDMcJACQ/edit?tab=t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1</cp:revision>
  <dcterms:created xsi:type="dcterms:W3CDTF">2025-11-26T12:31:00Z</dcterms:created>
  <dcterms:modified xsi:type="dcterms:W3CDTF">2025-11-26T12:55:00Z</dcterms:modified>
</cp:coreProperties>
</file>