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6AE90" w14:textId="195172FB" w:rsidR="00CA2ACF" w:rsidRDefault="00564B4A">
      <w:pPr>
        <w:rPr>
          <w:rFonts w:asciiTheme="majorHAnsi" w:hAnsiTheme="majorHAnsi"/>
          <w:sz w:val="22"/>
        </w:rPr>
      </w:pPr>
      <w:r w:rsidRPr="00564B4A">
        <w:rPr>
          <w:rFonts w:asciiTheme="majorHAnsi" w:hAnsiTheme="majorHAnsi"/>
          <w:sz w:val="22"/>
        </w:rPr>
        <w:t xml:space="preserve">Updates to Stress Testing for CCWG </w:t>
      </w:r>
      <w:r w:rsidRPr="00564B4A">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sidR="003841EB">
        <w:rPr>
          <w:rFonts w:asciiTheme="majorHAnsi" w:hAnsiTheme="majorHAnsi"/>
          <w:sz w:val="22"/>
        </w:rPr>
        <w:tab/>
      </w:r>
      <w:r w:rsidR="003841EB">
        <w:rPr>
          <w:rFonts w:asciiTheme="majorHAnsi" w:hAnsiTheme="majorHAnsi"/>
          <w:sz w:val="22"/>
        </w:rPr>
        <w:tab/>
      </w:r>
      <w:r w:rsidR="003841EB">
        <w:rPr>
          <w:rFonts w:asciiTheme="majorHAnsi" w:hAnsiTheme="majorHAnsi"/>
          <w:sz w:val="22"/>
        </w:rPr>
        <w:tab/>
        <w:t>20</w:t>
      </w:r>
      <w:r w:rsidRPr="00564B4A">
        <w:rPr>
          <w:rFonts w:asciiTheme="majorHAnsi" w:hAnsiTheme="majorHAnsi"/>
          <w:sz w:val="22"/>
        </w:rPr>
        <w:t>-Jun-2015</w:t>
      </w:r>
    </w:p>
    <w:p w14:paraId="73B399BC" w14:textId="77777777" w:rsidR="00564B4A" w:rsidRDefault="00564B4A">
      <w:pPr>
        <w:rPr>
          <w:rFonts w:asciiTheme="majorHAnsi" w:hAnsiTheme="majorHAnsi"/>
          <w:sz w:val="22"/>
        </w:rPr>
      </w:pPr>
    </w:p>
    <w:p w14:paraId="4C1DAFD1" w14:textId="03C9CE57" w:rsidR="00B47A0B" w:rsidRDefault="00B47A0B">
      <w:pPr>
        <w:rPr>
          <w:rFonts w:asciiTheme="majorHAnsi" w:hAnsiTheme="majorHAnsi"/>
          <w:sz w:val="22"/>
        </w:rPr>
      </w:pPr>
      <w:r>
        <w:rPr>
          <w:rFonts w:asciiTheme="majorHAnsi" w:hAnsiTheme="majorHAnsi"/>
          <w:sz w:val="22"/>
        </w:rPr>
        <w:t>Since we published our first draft recommendations on 3-May, there have been several queries and requests</w:t>
      </w:r>
      <w:r w:rsidR="000A0607">
        <w:rPr>
          <w:rFonts w:asciiTheme="majorHAnsi" w:hAnsiTheme="majorHAnsi"/>
          <w:sz w:val="22"/>
        </w:rPr>
        <w:t xml:space="preserve"> of the Stress Test work party, as described below</w:t>
      </w:r>
    </w:p>
    <w:p w14:paraId="29EEBBC5" w14:textId="77777777" w:rsidR="00B47A0B" w:rsidRDefault="00B47A0B">
      <w:pPr>
        <w:rPr>
          <w:rFonts w:asciiTheme="majorHAnsi" w:hAnsiTheme="majorHAnsi"/>
          <w:sz w:val="22"/>
        </w:rPr>
      </w:pPr>
    </w:p>
    <w:p w14:paraId="46A63C0C" w14:textId="24BF67DF" w:rsidR="006F6D58" w:rsidRDefault="00602456" w:rsidP="006F6D58">
      <w:pPr>
        <w:rPr>
          <w:rFonts w:asciiTheme="majorHAnsi" w:hAnsiTheme="majorHAnsi"/>
          <w:sz w:val="22"/>
        </w:rPr>
      </w:pPr>
      <w:r>
        <w:rPr>
          <w:rFonts w:asciiTheme="majorHAnsi" w:hAnsiTheme="majorHAnsi"/>
          <w:b/>
          <w:sz w:val="22"/>
        </w:rPr>
        <w:t xml:space="preserve">The role of </w:t>
      </w:r>
      <w:r w:rsidR="006F6D58" w:rsidRPr="006F6D58">
        <w:rPr>
          <w:rFonts w:asciiTheme="majorHAnsi" w:hAnsiTheme="majorHAnsi"/>
          <w:b/>
          <w:sz w:val="22"/>
        </w:rPr>
        <w:t>Courts</w:t>
      </w:r>
      <w:r w:rsidR="006F6D58">
        <w:rPr>
          <w:rFonts w:asciiTheme="majorHAnsi" w:hAnsiTheme="majorHAnsi"/>
          <w:sz w:val="22"/>
        </w:rPr>
        <w:t xml:space="preserve">.  On 21-May, Chris Disspain suggested a scenario resulting in “handing ultimate authority to a state-based </w:t>
      </w:r>
      <w:r w:rsidR="006F6D58" w:rsidRPr="006F6D58">
        <w:rPr>
          <w:rFonts w:asciiTheme="majorHAnsi" w:hAnsiTheme="majorHAnsi"/>
          <w:sz w:val="22"/>
        </w:rPr>
        <w:t>American court and allowing it to make binding and precedent setting decisions about the interpretation of ICANN’s mission.</w:t>
      </w:r>
      <w:r w:rsidR="006F6D58">
        <w:rPr>
          <w:rFonts w:asciiTheme="majorHAnsi" w:hAnsiTheme="majorHAnsi"/>
          <w:sz w:val="22"/>
        </w:rPr>
        <w:t xml:space="preserve">”    </w:t>
      </w:r>
      <w:r w:rsidR="0087695E">
        <w:rPr>
          <w:rFonts w:asciiTheme="majorHAnsi" w:hAnsiTheme="majorHAnsi"/>
          <w:sz w:val="22"/>
        </w:rPr>
        <w:t>Below is the ST team reply to Chris, which could be turned into two additional stress tests:</w:t>
      </w:r>
    </w:p>
    <w:p w14:paraId="725A7D23" w14:textId="77777777" w:rsidR="006F6D58" w:rsidRDefault="006F6D58" w:rsidP="006F6D58">
      <w:pPr>
        <w:rPr>
          <w:rFonts w:asciiTheme="majorHAnsi" w:hAnsiTheme="majorHAnsi"/>
          <w:sz w:val="22"/>
        </w:rPr>
      </w:pPr>
    </w:p>
    <w:p w14:paraId="7C5D41F3" w14:textId="0FB8693C" w:rsidR="006F6D58" w:rsidRPr="006F6D58" w:rsidRDefault="006F6D58" w:rsidP="00EE4469">
      <w:pPr>
        <w:spacing w:after="60"/>
        <w:ind w:left="720"/>
        <w:rPr>
          <w:rFonts w:asciiTheme="majorHAnsi" w:hAnsiTheme="majorHAnsi"/>
          <w:sz w:val="20"/>
        </w:rPr>
      </w:pPr>
      <w:r w:rsidRPr="006F6D58">
        <w:rPr>
          <w:rFonts w:asciiTheme="majorHAnsi" w:hAnsiTheme="majorHAnsi"/>
          <w:sz w:val="20"/>
        </w:rPr>
        <w:t>The ST team had difficulty identifying a scenario under which a California court would make binding decisions about interpretation of ICANN’s mission. This was due in part to a misunderstanding embedded in Chris’ scenario. </w:t>
      </w:r>
    </w:p>
    <w:p w14:paraId="4FB8E35B" w14:textId="30A9CAE3" w:rsidR="006F6D58" w:rsidRPr="006F6D58" w:rsidRDefault="006F6D58" w:rsidP="00EE4469">
      <w:pPr>
        <w:spacing w:after="60"/>
        <w:ind w:left="720"/>
        <w:rPr>
          <w:rFonts w:asciiTheme="majorHAnsi" w:hAnsiTheme="majorHAnsi"/>
          <w:sz w:val="20"/>
        </w:rPr>
      </w:pPr>
      <w:r w:rsidRPr="006F6D58">
        <w:rPr>
          <w:rFonts w:asciiTheme="majorHAnsi" w:hAnsiTheme="majorHAnsi"/>
          <w:sz w:val="20"/>
        </w:rPr>
        <w:t>We amended Chris’ scenario into two scenarios that could happen under the Member powers described in the CCWG proposal.  We don’t think either of these scenarios would result in the outcome Chris worried over. </w:t>
      </w:r>
    </w:p>
    <w:p w14:paraId="02F70A4E" w14:textId="77777777" w:rsidR="006F6D58" w:rsidRPr="006F6D58" w:rsidRDefault="006F6D58" w:rsidP="00EE4469">
      <w:pPr>
        <w:spacing w:after="60"/>
        <w:ind w:left="720"/>
        <w:rPr>
          <w:rFonts w:asciiTheme="majorHAnsi" w:hAnsiTheme="majorHAnsi"/>
          <w:sz w:val="20"/>
        </w:rPr>
      </w:pPr>
      <w:r w:rsidRPr="006F6D58">
        <w:rPr>
          <w:rFonts w:asciiTheme="majorHAnsi" w:hAnsiTheme="majorHAnsi"/>
          <w:sz w:val="20"/>
        </w:rPr>
        <w:t>Stress Test version 1:  Board refuses to follow community recommendation </w:t>
      </w:r>
    </w:p>
    <w:p w14:paraId="3EA287C5" w14:textId="75A24F84"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1. An ATRT (Accountability and Transparency Review Team) recommends a new policy for implementation.  </w:t>
      </w:r>
    </w:p>
    <w:p w14:paraId="2920FB1A" w14:textId="5CEFC696"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2. The ICANN board decides to reject the recommendation, saying it conflicts with ICANN’s limited Mission Statement in the amended bylaws.</w:t>
      </w:r>
    </w:p>
    <w:p w14:paraId="505D3602" w14:textId="6ED171C9"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3. Community Members vote to challenge the board’s decision with an IRP.  An IRP panel of 3 international arbitrators (not a Court) finds that the ATRT recommendation does </w:t>
      </w:r>
      <w:r w:rsidRPr="006F6D58">
        <w:rPr>
          <w:rFonts w:asciiTheme="majorHAnsi" w:hAnsiTheme="majorHAnsi"/>
          <w:sz w:val="20"/>
          <w:u w:val="single"/>
        </w:rPr>
        <w:t>not</w:t>
      </w:r>
      <w:r w:rsidRPr="006F6D58">
        <w:rPr>
          <w:rFonts w:asciiTheme="majorHAnsi" w:hAnsiTheme="majorHAnsi"/>
          <w:sz w:val="20"/>
        </w:rPr>
        <w:t> conflict with “substantive limitations on the permissible scope of ICANN’s actions” (p.32).  The IRP panel therefore cancels the board decision to reject the ATRT recommendation.(pp. 31-32 o</w:t>
      </w:r>
      <w:r>
        <w:rPr>
          <w:rFonts w:asciiTheme="majorHAnsi" w:hAnsiTheme="majorHAnsi"/>
          <w:sz w:val="20"/>
        </w:rPr>
        <w:t>f proposal</w:t>
      </w:r>
      <w:r w:rsidRPr="006F6D58">
        <w:rPr>
          <w:rFonts w:asciiTheme="majorHAnsi" w:hAnsiTheme="majorHAnsi"/>
          <w:sz w:val="20"/>
        </w:rPr>
        <w:t>)  Our current proposal does not give Members the power to force ICANN board to accept and implement the ATRT recommendation.   (p.32)</w:t>
      </w:r>
    </w:p>
    <w:p w14:paraId="18892A1B" w14:textId="14F3F01C"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 xml:space="preserve">4. If </w:t>
      </w:r>
      <w:r w:rsidR="003547C4">
        <w:rPr>
          <w:rFonts w:asciiTheme="majorHAnsi" w:hAnsiTheme="majorHAnsi"/>
          <w:sz w:val="20"/>
        </w:rPr>
        <w:t>the board refused to implement</w:t>
      </w:r>
      <w:r w:rsidRPr="006F6D58">
        <w:rPr>
          <w:rFonts w:asciiTheme="majorHAnsi" w:hAnsiTheme="majorHAnsi"/>
          <w:sz w:val="20"/>
        </w:rPr>
        <w:t xml:space="preserve"> the ATRT recommendation (see step 1), Members could vote to recall the board.  Members could also vote to block the very next budget or strat plan if it did </w:t>
      </w:r>
      <w:r w:rsidRPr="006F6D58">
        <w:rPr>
          <w:rFonts w:asciiTheme="majorHAnsi" w:hAnsiTheme="majorHAnsi"/>
          <w:sz w:val="20"/>
          <w:u w:val="single"/>
        </w:rPr>
        <w:t>not</w:t>
      </w:r>
      <w:r w:rsidRPr="006F6D58">
        <w:rPr>
          <w:rFonts w:asciiTheme="majorHAnsi" w:hAnsiTheme="majorHAnsi"/>
          <w:sz w:val="20"/>
        </w:rPr>
        <w:t> include the ATRT recommendation.</w:t>
      </w:r>
    </w:p>
    <w:p w14:paraId="64B4BEDA" w14:textId="77777777" w:rsidR="003841EB" w:rsidRDefault="003841EB" w:rsidP="00EE4469">
      <w:pPr>
        <w:spacing w:after="60"/>
        <w:ind w:left="720"/>
        <w:rPr>
          <w:rFonts w:asciiTheme="majorHAnsi" w:hAnsiTheme="majorHAnsi"/>
          <w:sz w:val="20"/>
        </w:rPr>
      </w:pPr>
    </w:p>
    <w:p w14:paraId="612114EA" w14:textId="77777777" w:rsidR="006F6D58" w:rsidRPr="006F6D58" w:rsidRDefault="006F6D58" w:rsidP="00EE4469">
      <w:pPr>
        <w:spacing w:after="60"/>
        <w:ind w:left="720"/>
        <w:rPr>
          <w:rFonts w:asciiTheme="majorHAnsi" w:hAnsiTheme="majorHAnsi"/>
          <w:sz w:val="20"/>
        </w:rPr>
      </w:pPr>
      <w:r w:rsidRPr="006F6D58">
        <w:rPr>
          <w:rFonts w:asciiTheme="majorHAnsi" w:hAnsiTheme="majorHAnsi"/>
          <w:sz w:val="20"/>
        </w:rPr>
        <w:t>Stress Test version 2:  Board follows community recommendation, but is reversed by IRP decision</w:t>
      </w:r>
    </w:p>
    <w:p w14:paraId="3538D38C" w14:textId="52B6D2C3"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1. An ATRT (Accountability and Transparency Review Team) recommends a new policy for implementation.  </w:t>
      </w:r>
    </w:p>
    <w:p w14:paraId="220724F9" w14:textId="4AC06DC3"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2. The ICANN board decides to </w:t>
      </w:r>
      <w:r w:rsidRPr="006F6D58">
        <w:rPr>
          <w:rFonts w:asciiTheme="majorHAnsi" w:hAnsiTheme="majorHAnsi"/>
          <w:sz w:val="20"/>
          <w:u w:val="single"/>
        </w:rPr>
        <w:t>accept</w:t>
      </w:r>
      <w:r w:rsidRPr="006F6D58">
        <w:rPr>
          <w:rFonts w:asciiTheme="majorHAnsi" w:hAnsiTheme="majorHAnsi"/>
          <w:sz w:val="20"/>
        </w:rPr>
        <w:t> the recommendation, believing that it does </w:t>
      </w:r>
      <w:r w:rsidRPr="006F6D58">
        <w:rPr>
          <w:rFonts w:asciiTheme="majorHAnsi" w:hAnsiTheme="majorHAnsi"/>
          <w:sz w:val="20"/>
          <w:u w:val="single"/>
        </w:rPr>
        <w:t>not</w:t>
      </w:r>
      <w:r w:rsidRPr="006F6D58">
        <w:rPr>
          <w:rFonts w:asciiTheme="majorHAnsi" w:hAnsiTheme="majorHAnsi"/>
          <w:sz w:val="20"/>
        </w:rPr>
        <w:t> conflict with ICANN’s limited Mission Statement in the amended bylaws.</w:t>
      </w:r>
    </w:p>
    <w:p w14:paraId="474120D8" w14:textId="1DC9D5EB"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3. An aggrieved party or Community Members challenge</w:t>
      </w:r>
      <w:r w:rsidR="003547C4">
        <w:rPr>
          <w:rFonts w:asciiTheme="majorHAnsi" w:hAnsiTheme="majorHAnsi"/>
          <w:sz w:val="20"/>
        </w:rPr>
        <w:t>s</w:t>
      </w:r>
      <w:r w:rsidRPr="006F6D58">
        <w:rPr>
          <w:rFonts w:asciiTheme="majorHAnsi" w:hAnsiTheme="majorHAnsi"/>
          <w:sz w:val="20"/>
        </w:rPr>
        <w:t xml:space="preserve"> th</w:t>
      </w:r>
      <w:r w:rsidR="003547C4">
        <w:rPr>
          <w:rFonts w:asciiTheme="majorHAnsi" w:hAnsiTheme="majorHAnsi"/>
          <w:sz w:val="20"/>
        </w:rPr>
        <w:t>e board’s decision with an IRP.</w:t>
      </w:r>
      <w:r w:rsidRPr="006F6D58">
        <w:rPr>
          <w:rFonts w:asciiTheme="majorHAnsi" w:hAnsiTheme="majorHAnsi"/>
          <w:sz w:val="20"/>
        </w:rPr>
        <w:t xml:space="preserve"> An IRP panel of international arbitrators (not a Court) finds that the ATRT recommendation </w:t>
      </w:r>
      <w:r w:rsidRPr="006F6D58">
        <w:rPr>
          <w:rFonts w:asciiTheme="majorHAnsi" w:hAnsiTheme="majorHAnsi"/>
          <w:sz w:val="20"/>
          <w:u w:val="single"/>
        </w:rPr>
        <w:t>does</w:t>
      </w:r>
      <w:r w:rsidRPr="006F6D58">
        <w:rPr>
          <w:rFonts w:asciiTheme="majorHAnsi" w:hAnsiTheme="majorHAnsi"/>
          <w:sz w:val="20"/>
        </w:rPr>
        <w:t> conflict with “substantive limitations on the permissible scope of ICANN’s actions” (p.32).  The IRP panel therefore cancels the board decision to accept and implement the ATRT recommendation.(pp. 31-32 of proposal )</w:t>
      </w:r>
    </w:p>
    <w:p w14:paraId="15565A5E" w14:textId="0DCA954F" w:rsidR="006F6D58" w:rsidRPr="006F6D58" w:rsidRDefault="006F6D58" w:rsidP="00EE4469">
      <w:pPr>
        <w:spacing w:after="60"/>
        <w:ind w:left="1440"/>
        <w:rPr>
          <w:rFonts w:asciiTheme="majorHAnsi" w:hAnsiTheme="majorHAnsi"/>
          <w:sz w:val="20"/>
        </w:rPr>
      </w:pPr>
      <w:r w:rsidRPr="006F6D58">
        <w:rPr>
          <w:rFonts w:asciiTheme="majorHAnsi" w:hAnsiTheme="majorHAnsi"/>
          <w:sz w:val="20"/>
        </w:rPr>
        <w:t xml:space="preserve">4. If the board ignored the IRP ruling and continued to implement its earlier decision, parties to the IRP could ask courts to enforce the IRP decision.  Would that court re-litigate the IRP’s substantive decision interpreting the ICANN bylaws?   That is not our expectation, since it is only "expected that </w:t>
      </w:r>
      <w:r w:rsidR="003547C4" w:rsidRPr="006F6D58">
        <w:rPr>
          <w:rFonts w:asciiTheme="majorHAnsi" w:hAnsiTheme="majorHAnsi"/>
          <w:sz w:val="20"/>
        </w:rPr>
        <w:t>judgments</w:t>
      </w:r>
      <w:r w:rsidRPr="006F6D58">
        <w:rPr>
          <w:rFonts w:asciiTheme="majorHAnsi" w:hAnsiTheme="majorHAnsi"/>
          <w:sz w:val="20"/>
        </w:rPr>
        <w:t xml:space="preserve"> of the IRP Panel would be </w:t>
      </w:r>
      <w:r w:rsidRPr="006F6D58">
        <w:rPr>
          <w:rFonts w:asciiTheme="majorHAnsi" w:hAnsiTheme="majorHAnsi"/>
          <w:i/>
          <w:iCs/>
          <w:sz w:val="20"/>
          <w:u w:val="single"/>
        </w:rPr>
        <w:t>enforceable</w:t>
      </w:r>
      <w:r w:rsidRPr="006F6D58">
        <w:rPr>
          <w:rFonts w:asciiTheme="majorHAnsi" w:hAnsiTheme="majorHAnsi"/>
          <w:sz w:val="20"/>
        </w:rPr>
        <w:t> in the court of the US and other countries that </w:t>
      </w:r>
      <w:r w:rsidRPr="006F6D58">
        <w:rPr>
          <w:rFonts w:asciiTheme="majorHAnsi" w:hAnsiTheme="majorHAnsi"/>
          <w:i/>
          <w:iCs/>
          <w:sz w:val="20"/>
          <w:u w:val="single"/>
        </w:rPr>
        <w:t>accept international arbitration results</w:t>
      </w:r>
      <w:r w:rsidRPr="006F6D58">
        <w:rPr>
          <w:rFonts w:asciiTheme="majorHAnsi" w:hAnsiTheme="majorHAnsi"/>
          <w:sz w:val="20"/>
        </w:rPr>
        <w:t>” (p.34, emphasis added)   </w:t>
      </w:r>
    </w:p>
    <w:p w14:paraId="2CD591E1" w14:textId="77777777" w:rsidR="006F6D58" w:rsidRPr="00EE4469" w:rsidRDefault="006F6D58" w:rsidP="00EE4469">
      <w:pPr>
        <w:spacing w:after="60"/>
        <w:ind w:left="1440"/>
        <w:rPr>
          <w:rFonts w:asciiTheme="majorHAnsi" w:hAnsiTheme="majorHAnsi"/>
          <w:sz w:val="20"/>
          <w:szCs w:val="20"/>
        </w:rPr>
      </w:pPr>
      <w:r w:rsidRPr="006F6D58">
        <w:rPr>
          <w:rFonts w:asciiTheme="majorHAnsi" w:hAnsiTheme="majorHAnsi"/>
          <w:sz w:val="20"/>
        </w:rPr>
        <w:t xml:space="preserve">5. If the ICANN Board continued to ignore the IRP decision and court orders to enforce it, Members could vote to </w:t>
      </w:r>
      <w:r w:rsidRPr="00EE4469">
        <w:rPr>
          <w:rFonts w:asciiTheme="majorHAnsi" w:hAnsiTheme="majorHAnsi"/>
          <w:sz w:val="20"/>
          <w:szCs w:val="20"/>
        </w:rPr>
        <w:t>recall the board. Members could also vote to block the very next budget or strat plan if it included implementation of the ATRT recommendation.</w:t>
      </w:r>
    </w:p>
    <w:p w14:paraId="4B2F6736" w14:textId="74150453" w:rsidR="006F6D58" w:rsidRDefault="006F6D58" w:rsidP="00EE4469">
      <w:pPr>
        <w:rPr>
          <w:rFonts w:asciiTheme="majorHAnsi" w:hAnsiTheme="majorHAnsi"/>
          <w:sz w:val="22"/>
          <w:szCs w:val="22"/>
        </w:rPr>
      </w:pPr>
      <w:r w:rsidRPr="006F6D58">
        <w:rPr>
          <w:rFonts w:asciiTheme="majorHAnsi" w:hAnsiTheme="majorHAnsi"/>
          <w:b/>
          <w:sz w:val="22"/>
        </w:rPr>
        <w:lastRenderedPageBreak/>
        <w:t xml:space="preserve">Corruption </w:t>
      </w:r>
      <w:r w:rsidR="003547C4">
        <w:rPr>
          <w:rFonts w:asciiTheme="majorHAnsi" w:hAnsiTheme="majorHAnsi"/>
          <w:b/>
          <w:sz w:val="22"/>
        </w:rPr>
        <w:t>(</w:t>
      </w:r>
      <w:r w:rsidRPr="006F6D58">
        <w:rPr>
          <w:rFonts w:asciiTheme="majorHAnsi" w:hAnsiTheme="majorHAnsi"/>
          <w:b/>
          <w:sz w:val="22"/>
        </w:rPr>
        <w:t>like FIFA</w:t>
      </w:r>
      <w:r w:rsidR="003547C4">
        <w:rPr>
          <w:rFonts w:asciiTheme="majorHAnsi" w:hAnsiTheme="majorHAnsi"/>
          <w:b/>
          <w:sz w:val="22"/>
        </w:rPr>
        <w:t>)</w:t>
      </w:r>
      <w:r>
        <w:rPr>
          <w:rFonts w:asciiTheme="majorHAnsi" w:hAnsiTheme="majorHAnsi"/>
          <w:sz w:val="22"/>
        </w:rPr>
        <w:t xml:space="preserve">.   On 3-Jun, Mathieu Weil asked if we had tested corruption similar to the recent FIFA scandal.  </w:t>
      </w:r>
      <w:r w:rsidRPr="00EE4469">
        <w:rPr>
          <w:rFonts w:asciiTheme="majorHAnsi" w:hAnsiTheme="majorHAnsi"/>
          <w:sz w:val="22"/>
          <w:szCs w:val="22"/>
        </w:rPr>
        <w:t xml:space="preserve">We </w:t>
      </w:r>
      <w:r w:rsidR="00EE4469" w:rsidRPr="00EE4469">
        <w:rPr>
          <w:rFonts w:asciiTheme="majorHAnsi" w:hAnsiTheme="majorHAnsi"/>
          <w:sz w:val="22"/>
          <w:szCs w:val="22"/>
        </w:rPr>
        <w:t xml:space="preserve">believe the </w:t>
      </w:r>
      <w:r w:rsidRPr="00EE4469">
        <w:rPr>
          <w:rFonts w:asciiTheme="majorHAnsi" w:hAnsiTheme="majorHAnsi"/>
          <w:sz w:val="22"/>
          <w:szCs w:val="22"/>
        </w:rPr>
        <w:t>FIFA corruption scandal is adequately covered in Stress Test #9, on page 70 of our proposal</w:t>
      </w:r>
      <w:r w:rsidR="00EA1902">
        <w:rPr>
          <w:rFonts w:asciiTheme="majorHAnsi" w:hAnsiTheme="majorHAnsi"/>
          <w:sz w:val="22"/>
          <w:szCs w:val="22"/>
        </w:rPr>
        <w:t>:</w:t>
      </w:r>
    </w:p>
    <w:p w14:paraId="720FCE3B" w14:textId="77777777" w:rsidR="00EA1902" w:rsidRDefault="00EA1902" w:rsidP="00EE4469">
      <w:pPr>
        <w:rPr>
          <w:rFonts w:asciiTheme="majorHAnsi" w:hAnsiTheme="majorHAnsi"/>
          <w:sz w:val="22"/>
          <w:szCs w:val="22"/>
        </w:rPr>
      </w:pPr>
    </w:p>
    <w:tbl>
      <w:tblPr>
        <w:tblW w:w="0" w:type="auto"/>
        <w:tblInd w:w="300" w:type="dxa"/>
        <w:tblCellMar>
          <w:top w:w="15" w:type="dxa"/>
          <w:left w:w="15" w:type="dxa"/>
          <w:bottom w:w="15" w:type="dxa"/>
          <w:right w:w="15" w:type="dxa"/>
        </w:tblCellMar>
        <w:tblLook w:val="04A0" w:firstRow="1" w:lastRow="0" w:firstColumn="1" w:lastColumn="0" w:noHBand="0" w:noVBand="1"/>
      </w:tblPr>
      <w:tblGrid>
        <w:gridCol w:w="2848"/>
        <w:gridCol w:w="2642"/>
        <w:gridCol w:w="3810"/>
      </w:tblGrid>
      <w:tr w:rsidR="00EA1902" w:rsidRPr="00EA1902" w14:paraId="520B5020" w14:textId="77777777" w:rsidTr="00EA1902">
        <w:tc>
          <w:tcPr>
            <w:tcW w:w="2848"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53CDCD" w14:textId="77777777" w:rsidR="00EA1902" w:rsidRPr="00EA1902" w:rsidRDefault="00EA1902" w:rsidP="00EA1902">
            <w:pPr>
              <w:rPr>
                <w:rFonts w:asciiTheme="majorHAnsi" w:hAnsiTheme="majorHAnsi"/>
                <w:b/>
                <w:bCs/>
                <w:sz w:val="20"/>
                <w:szCs w:val="20"/>
              </w:rPr>
            </w:pPr>
            <w:r w:rsidRPr="00EA1902">
              <w:rPr>
                <w:rFonts w:asciiTheme="majorHAnsi" w:hAnsiTheme="majorHAnsi"/>
                <w:b/>
                <w:bCs/>
                <w:sz w:val="20"/>
                <w:szCs w:val="20"/>
              </w:rPr>
              <w:t>Stress Test</w:t>
            </w:r>
          </w:p>
        </w:tc>
        <w:tc>
          <w:tcPr>
            <w:tcW w:w="2642"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0B0FCE" w14:textId="77777777" w:rsidR="00EA1902" w:rsidRPr="00EA1902" w:rsidRDefault="00EA1902" w:rsidP="00EA1902">
            <w:pPr>
              <w:rPr>
                <w:rFonts w:asciiTheme="majorHAnsi" w:hAnsiTheme="majorHAnsi"/>
                <w:b/>
                <w:bCs/>
                <w:sz w:val="20"/>
                <w:szCs w:val="20"/>
              </w:rPr>
            </w:pPr>
            <w:r w:rsidRPr="00EA1902">
              <w:rPr>
                <w:rFonts w:asciiTheme="majorHAnsi" w:hAnsiTheme="majorHAnsi"/>
                <w:b/>
                <w:bCs/>
                <w:sz w:val="20"/>
                <w:szCs w:val="20"/>
              </w:rPr>
              <w:t>Existing Accountability Measures</w:t>
            </w:r>
          </w:p>
        </w:tc>
        <w:tc>
          <w:tcPr>
            <w:tcW w:w="38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26A45F9" w14:textId="77777777" w:rsidR="00EA1902" w:rsidRPr="00EA1902" w:rsidRDefault="00EA1902" w:rsidP="00EA1902">
            <w:pPr>
              <w:rPr>
                <w:rFonts w:asciiTheme="majorHAnsi" w:hAnsiTheme="majorHAnsi"/>
                <w:b/>
                <w:bCs/>
                <w:sz w:val="20"/>
                <w:szCs w:val="20"/>
              </w:rPr>
            </w:pPr>
            <w:r w:rsidRPr="00EA1902">
              <w:rPr>
                <w:rFonts w:asciiTheme="majorHAnsi" w:hAnsiTheme="majorHAnsi"/>
                <w:b/>
                <w:bCs/>
                <w:sz w:val="20"/>
                <w:szCs w:val="20"/>
              </w:rPr>
              <w:t>Proposed Accountability Measures</w:t>
            </w:r>
          </w:p>
        </w:tc>
      </w:tr>
      <w:tr w:rsidR="00EA1902" w:rsidRPr="00EA1902" w14:paraId="7C52176C" w14:textId="77777777" w:rsidTr="00EA1902">
        <w:tc>
          <w:tcPr>
            <w:tcW w:w="28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0DC055"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 xml:space="preserve">9. Major corruption or fraud. </w:t>
            </w:r>
            <w:r w:rsidRPr="00EA1902">
              <w:rPr>
                <w:rFonts w:asciiTheme="majorHAnsi" w:hAnsiTheme="majorHAnsi"/>
                <w:sz w:val="20"/>
                <w:szCs w:val="20"/>
              </w:rPr>
              <w:br/>
            </w:r>
          </w:p>
          <w:p w14:paraId="05983527"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Consequence: major impact on corporate reputation, significant litigation and loss of reserves.</w:t>
            </w:r>
          </w:p>
        </w:tc>
        <w:tc>
          <w:tcPr>
            <w:tcW w:w="2642"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3BDC74"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 xml:space="preserve">ICANN has annual independent audit that includes testing of internal controls designed to prevent fraud and corruption.  </w:t>
            </w:r>
          </w:p>
          <w:p w14:paraId="02852C54" w14:textId="77777777" w:rsidR="00EA1902" w:rsidRPr="00EA1902" w:rsidRDefault="00EA1902" w:rsidP="00EA1902">
            <w:pPr>
              <w:rPr>
                <w:rFonts w:asciiTheme="majorHAnsi" w:hAnsiTheme="majorHAnsi"/>
                <w:sz w:val="20"/>
                <w:szCs w:val="20"/>
              </w:rPr>
            </w:pPr>
          </w:p>
          <w:p w14:paraId="4A02525B"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ICANN maintains an anonymous hotline for employees to report suspected fraud.</w:t>
            </w:r>
          </w:p>
          <w:p w14:paraId="561E3D9C" w14:textId="77777777" w:rsidR="00EA1902" w:rsidRPr="00EA1902" w:rsidRDefault="00EA1902" w:rsidP="00EA1902">
            <w:pPr>
              <w:rPr>
                <w:rFonts w:asciiTheme="majorHAnsi" w:hAnsiTheme="majorHAnsi"/>
                <w:sz w:val="20"/>
                <w:szCs w:val="20"/>
              </w:rPr>
            </w:pPr>
          </w:p>
          <w:p w14:paraId="612E5E44"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 xml:space="preserve">ICANN Board can dismiss CEO and/or executives responsible. </w:t>
            </w:r>
          </w:p>
          <w:p w14:paraId="4AE33350" w14:textId="77777777" w:rsidR="00EA1902" w:rsidRPr="00EA1902" w:rsidRDefault="00EA1902" w:rsidP="00EA1902">
            <w:pPr>
              <w:rPr>
                <w:rFonts w:asciiTheme="majorHAnsi" w:hAnsiTheme="majorHAnsi"/>
                <w:sz w:val="20"/>
                <w:szCs w:val="20"/>
              </w:rPr>
            </w:pPr>
          </w:p>
          <w:p w14:paraId="09347163"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The community has no ability to force the Board to report or take action against suspected corruption or fraud.</w:t>
            </w:r>
          </w:p>
        </w:tc>
        <w:tc>
          <w:tcPr>
            <w:tcW w:w="38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EE96F7"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One proposed measure is to empower the community to force ICANN’s Board to consider a recommendation arising from an AoC Review.  An ATRT could make recommendations to avoid conflicts of interest. An ICANN Board decision against those recommendations could be challenged with a Reconsideration and/or IRP.</w:t>
            </w:r>
          </w:p>
          <w:p w14:paraId="4B225DD1" w14:textId="77777777" w:rsidR="00EA1902" w:rsidRPr="00EA1902" w:rsidRDefault="00EA1902" w:rsidP="00EA1902">
            <w:pPr>
              <w:rPr>
                <w:rFonts w:asciiTheme="majorHAnsi" w:hAnsiTheme="majorHAnsi"/>
                <w:sz w:val="20"/>
                <w:szCs w:val="20"/>
              </w:rPr>
            </w:pPr>
          </w:p>
          <w:p w14:paraId="0075FDD6"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Another proposed measure would empower the community to veto ICANN’s proposed annual budget.  This measure enables blocking a budget proposal that is tainted by corruption or fraud.</w:t>
            </w:r>
          </w:p>
          <w:p w14:paraId="4997A53A" w14:textId="77777777" w:rsidR="00EA1902" w:rsidRPr="00EA1902" w:rsidRDefault="00EA1902" w:rsidP="00EA1902">
            <w:pPr>
              <w:rPr>
                <w:rFonts w:asciiTheme="majorHAnsi" w:hAnsiTheme="majorHAnsi"/>
                <w:sz w:val="20"/>
                <w:szCs w:val="20"/>
              </w:rPr>
            </w:pPr>
          </w:p>
          <w:p w14:paraId="59AA7B89" w14:textId="77777777" w:rsidR="00EA1902" w:rsidRPr="00EA1902" w:rsidRDefault="00EA1902" w:rsidP="00EA1902">
            <w:pPr>
              <w:rPr>
                <w:rFonts w:asciiTheme="majorHAnsi" w:hAnsiTheme="majorHAnsi"/>
                <w:sz w:val="20"/>
                <w:szCs w:val="20"/>
              </w:rPr>
            </w:pPr>
            <w:r w:rsidRPr="00EA1902">
              <w:rPr>
                <w:rFonts w:asciiTheme="majorHAnsi" w:hAnsiTheme="majorHAnsi"/>
                <w:sz w:val="20"/>
                <w:szCs w:val="20"/>
              </w:rPr>
              <w:t>If ICANN’s Board were involved, or if the Board did not act decisively in preventing corruption or fraud (for instance by enforcing internal controls or policies), a proposed measure empowers the community to remove individual Directors or recall the entire Board.</w:t>
            </w:r>
          </w:p>
        </w:tc>
      </w:tr>
    </w:tbl>
    <w:p w14:paraId="749772A2" w14:textId="77777777" w:rsidR="006F6D58" w:rsidRPr="006F6D58" w:rsidRDefault="006F6D58" w:rsidP="006F6D58">
      <w:pPr>
        <w:ind w:left="720"/>
        <w:rPr>
          <w:rFonts w:asciiTheme="majorHAnsi" w:hAnsiTheme="majorHAnsi"/>
          <w:sz w:val="20"/>
        </w:rPr>
      </w:pPr>
    </w:p>
    <w:p w14:paraId="71159FE5" w14:textId="41335E90" w:rsidR="006F6D58" w:rsidRPr="00A864FF" w:rsidRDefault="006F6D58" w:rsidP="006F6D58">
      <w:pPr>
        <w:ind w:left="720"/>
        <w:rPr>
          <w:rFonts w:asciiTheme="majorHAnsi" w:hAnsiTheme="majorHAnsi"/>
          <w:sz w:val="22"/>
        </w:rPr>
      </w:pPr>
      <w:r w:rsidRPr="00A864FF">
        <w:rPr>
          <w:rFonts w:asciiTheme="majorHAnsi" w:hAnsiTheme="majorHAnsi"/>
          <w:sz w:val="22"/>
        </w:rPr>
        <w:t xml:space="preserve">Note that </w:t>
      </w:r>
      <w:r w:rsidR="00EA1902" w:rsidRPr="00A864FF">
        <w:rPr>
          <w:rFonts w:asciiTheme="majorHAnsi" w:hAnsiTheme="majorHAnsi"/>
          <w:sz w:val="22"/>
        </w:rPr>
        <w:t xml:space="preserve">existing accountability </w:t>
      </w:r>
      <w:r w:rsidRPr="00A864FF">
        <w:rPr>
          <w:rFonts w:asciiTheme="majorHAnsi" w:hAnsiTheme="majorHAnsi"/>
          <w:sz w:val="22"/>
        </w:rPr>
        <w:t>measures provide some accountability to the community</w:t>
      </w:r>
      <w:r w:rsidR="00EA1902" w:rsidRPr="00A864FF">
        <w:rPr>
          <w:rFonts w:asciiTheme="majorHAnsi" w:hAnsiTheme="majorHAnsi"/>
          <w:sz w:val="22"/>
        </w:rPr>
        <w:t xml:space="preserve"> for events of corruption</w:t>
      </w:r>
      <w:r w:rsidRPr="00A864FF">
        <w:rPr>
          <w:rFonts w:asciiTheme="majorHAnsi" w:hAnsiTheme="majorHAnsi"/>
          <w:sz w:val="22"/>
        </w:rPr>
        <w:t xml:space="preserve">.   </w:t>
      </w:r>
      <w:r w:rsidR="003451F0" w:rsidRPr="00A864FF">
        <w:rPr>
          <w:rFonts w:asciiTheme="majorHAnsi" w:hAnsiTheme="majorHAnsi"/>
          <w:sz w:val="22"/>
        </w:rPr>
        <w:t>The hotline</w:t>
      </w:r>
      <w:r w:rsidRPr="00A864FF">
        <w:rPr>
          <w:rFonts w:asciiTheme="majorHAnsi" w:hAnsiTheme="majorHAnsi"/>
          <w:sz w:val="22"/>
        </w:rPr>
        <w:t>, for example, was recommended by an ATRT team and we underst</w:t>
      </w:r>
      <w:r w:rsidR="00EA1902" w:rsidRPr="00A864FF">
        <w:rPr>
          <w:rFonts w:asciiTheme="majorHAnsi" w:hAnsiTheme="majorHAnsi"/>
          <w:sz w:val="22"/>
        </w:rPr>
        <w:t>and it has been implemented by I</w:t>
      </w:r>
      <w:r w:rsidRPr="00A864FF">
        <w:rPr>
          <w:rFonts w:asciiTheme="majorHAnsi" w:hAnsiTheme="majorHAnsi"/>
          <w:sz w:val="22"/>
        </w:rPr>
        <w:t>CANN.   If it were not implemented, however, there is no means to force implementation under existing accountability measures.   </w:t>
      </w:r>
    </w:p>
    <w:p w14:paraId="65A3F585" w14:textId="77777777" w:rsidR="006F6D58" w:rsidRPr="00A864FF" w:rsidRDefault="006F6D58" w:rsidP="006F6D58">
      <w:pPr>
        <w:ind w:left="720"/>
        <w:rPr>
          <w:rFonts w:asciiTheme="majorHAnsi" w:hAnsiTheme="majorHAnsi"/>
          <w:sz w:val="22"/>
        </w:rPr>
      </w:pPr>
    </w:p>
    <w:p w14:paraId="5E0EEDB8" w14:textId="4CAEC666" w:rsidR="006F6D58" w:rsidRPr="00A864FF" w:rsidRDefault="006F6D58" w:rsidP="006F6D58">
      <w:pPr>
        <w:ind w:left="720"/>
        <w:rPr>
          <w:rFonts w:asciiTheme="majorHAnsi" w:hAnsiTheme="majorHAnsi"/>
          <w:sz w:val="22"/>
        </w:rPr>
      </w:pPr>
      <w:r w:rsidRPr="00A864FF">
        <w:rPr>
          <w:rFonts w:asciiTheme="majorHAnsi" w:hAnsiTheme="majorHAnsi"/>
          <w:sz w:val="22"/>
        </w:rPr>
        <w:t>Our proposed accountability measures add further ways the community could prevent or respond to corruption.  </w:t>
      </w:r>
      <w:r w:rsidR="003841EB" w:rsidRPr="00A864FF">
        <w:rPr>
          <w:rFonts w:asciiTheme="majorHAnsi" w:hAnsiTheme="majorHAnsi"/>
          <w:sz w:val="22"/>
        </w:rPr>
        <w:t>The community c</w:t>
      </w:r>
      <w:r w:rsidRPr="00A864FF">
        <w:rPr>
          <w:rFonts w:asciiTheme="majorHAnsi" w:hAnsiTheme="majorHAnsi"/>
          <w:sz w:val="22"/>
        </w:rPr>
        <w:t xml:space="preserve">ould </w:t>
      </w:r>
      <w:r w:rsidR="003841EB" w:rsidRPr="00A864FF">
        <w:rPr>
          <w:rFonts w:asciiTheme="majorHAnsi" w:hAnsiTheme="majorHAnsi"/>
          <w:sz w:val="22"/>
        </w:rPr>
        <w:t>challenge</w:t>
      </w:r>
      <w:r w:rsidRPr="00A864FF">
        <w:rPr>
          <w:rFonts w:asciiTheme="majorHAnsi" w:hAnsiTheme="majorHAnsi"/>
          <w:sz w:val="22"/>
        </w:rPr>
        <w:t xml:space="preserve"> </w:t>
      </w:r>
      <w:r w:rsidR="003841EB" w:rsidRPr="00A864FF">
        <w:rPr>
          <w:rFonts w:asciiTheme="majorHAnsi" w:hAnsiTheme="majorHAnsi"/>
          <w:sz w:val="22"/>
        </w:rPr>
        <w:t xml:space="preserve">ICANN’s failure to </w:t>
      </w:r>
      <w:r w:rsidRPr="00A864FF">
        <w:rPr>
          <w:rFonts w:asciiTheme="majorHAnsi" w:hAnsiTheme="majorHAnsi"/>
          <w:sz w:val="22"/>
        </w:rPr>
        <w:t xml:space="preserve">implement a recommendation </w:t>
      </w:r>
      <w:r w:rsidR="003841EB" w:rsidRPr="00A864FF">
        <w:rPr>
          <w:rFonts w:asciiTheme="majorHAnsi" w:hAnsiTheme="majorHAnsi"/>
          <w:sz w:val="22"/>
        </w:rPr>
        <w:t>from an ATRT, for example.</w:t>
      </w:r>
      <w:r w:rsidRPr="00A864FF">
        <w:rPr>
          <w:rFonts w:asciiTheme="majorHAnsi" w:hAnsiTheme="majorHAnsi"/>
          <w:sz w:val="22"/>
        </w:rPr>
        <w:t xml:space="preserve"> .   </w:t>
      </w:r>
      <w:r w:rsidR="003841EB" w:rsidRPr="00A864FF">
        <w:rPr>
          <w:rFonts w:asciiTheme="majorHAnsi" w:hAnsiTheme="majorHAnsi"/>
          <w:sz w:val="22"/>
        </w:rPr>
        <w:t>As in</w:t>
      </w:r>
      <w:r w:rsidRPr="00A864FF">
        <w:rPr>
          <w:rFonts w:asciiTheme="majorHAnsi" w:hAnsiTheme="majorHAnsi"/>
          <w:sz w:val="22"/>
        </w:rPr>
        <w:t xml:space="preserve"> most of the stress tests,</w:t>
      </w:r>
      <w:r w:rsidR="003841EB" w:rsidRPr="00A864FF">
        <w:rPr>
          <w:rFonts w:asciiTheme="majorHAnsi" w:hAnsiTheme="majorHAnsi"/>
          <w:sz w:val="22"/>
        </w:rPr>
        <w:t xml:space="preserve"> adequate accountability is provided only if community powers are enforceable, including blocking bylaws, decisions of an IRP, blocking budgets, etc</w:t>
      </w:r>
      <w:r w:rsidRPr="00A864FF">
        <w:rPr>
          <w:rFonts w:asciiTheme="majorHAnsi" w:hAnsiTheme="majorHAnsi"/>
          <w:sz w:val="22"/>
        </w:rPr>
        <w:t>.</w:t>
      </w:r>
    </w:p>
    <w:p w14:paraId="7DC29617" w14:textId="77777777" w:rsidR="006F6D58" w:rsidRDefault="006F6D58">
      <w:pPr>
        <w:rPr>
          <w:rFonts w:asciiTheme="majorHAnsi" w:hAnsiTheme="majorHAnsi"/>
          <w:sz w:val="22"/>
        </w:rPr>
      </w:pPr>
    </w:p>
    <w:p w14:paraId="17318602" w14:textId="77777777" w:rsidR="003841EB" w:rsidRDefault="003841EB">
      <w:pPr>
        <w:rPr>
          <w:rFonts w:asciiTheme="majorHAnsi" w:hAnsiTheme="majorHAnsi"/>
          <w:b/>
          <w:sz w:val="22"/>
        </w:rPr>
      </w:pPr>
      <w:r>
        <w:rPr>
          <w:rFonts w:asciiTheme="majorHAnsi" w:hAnsiTheme="majorHAnsi"/>
          <w:b/>
          <w:sz w:val="22"/>
        </w:rPr>
        <w:br w:type="page"/>
      </w:r>
    </w:p>
    <w:p w14:paraId="1314C786" w14:textId="67FE05CD" w:rsidR="00125818" w:rsidRDefault="006805A4" w:rsidP="006805A4">
      <w:pPr>
        <w:rPr>
          <w:rFonts w:asciiTheme="majorHAnsi" w:hAnsiTheme="majorHAnsi"/>
          <w:sz w:val="22"/>
        </w:rPr>
      </w:pPr>
      <w:r w:rsidRPr="00872A3F">
        <w:rPr>
          <w:rFonts w:asciiTheme="majorHAnsi" w:hAnsiTheme="majorHAnsi"/>
          <w:b/>
          <w:sz w:val="22"/>
        </w:rPr>
        <w:t>Capture by insiders</w:t>
      </w:r>
      <w:r>
        <w:rPr>
          <w:rFonts w:asciiTheme="majorHAnsi" w:hAnsiTheme="majorHAnsi"/>
          <w:b/>
          <w:sz w:val="22"/>
        </w:rPr>
        <w:t xml:space="preserve">.  </w:t>
      </w:r>
      <w:r>
        <w:rPr>
          <w:rFonts w:asciiTheme="majorHAnsi" w:hAnsiTheme="majorHAnsi"/>
          <w:sz w:val="22"/>
        </w:rPr>
        <w:t xml:space="preserve">Public comments from </w:t>
      </w:r>
      <w:r w:rsidRPr="006805A4">
        <w:rPr>
          <w:rFonts w:asciiTheme="majorHAnsi" w:hAnsiTheme="majorHAnsi"/>
          <w:sz w:val="22"/>
        </w:rPr>
        <w:t>Govt-ES, CRG</w:t>
      </w:r>
      <w:r w:rsidRPr="00872A3F">
        <w:rPr>
          <w:rFonts w:asciiTheme="majorHAnsi" w:hAnsiTheme="majorHAnsi"/>
          <w:sz w:val="22"/>
        </w:rPr>
        <w:t xml:space="preserve">, </w:t>
      </w:r>
      <w:r>
        <w:rPr>
          <w:rFonts w:asciiTheme="majorHAnsi" w:hAnsiTheme="majorHAnsi"/>
          <w:sz w:val="22"/>
        </w:rPr>
        <w:t xml:space="preserve">and </w:t>
      </w:r>
      <w:r w:rsidRPr="00872A3F">
        <w:rPr>
          <w:rFonts w:asciiTheme="majorHAnsi" w:hAnsiTheme="majorHAnsi"/>
          <w:sz w:val="22"/>
        </w:rPr>
        <w:t>DBA</w:t>
      </w:r>
      <w:r>
        <w:rPr>
          <w:rFonts w:asciiTheme="majorHAnsi" w:hAnsiTheme="majorHAnsi"/>
          <w:sz w:val="22"/>
        </w:rPr>
        <w:t xml:space="preserve"> noted that stress tests did not adequately </w:t>
      </w:r>
      <w:r w:rsidR="00125818">
        <w:rPr>
          <w:rFonts w:asciiTheme="majorHAnsi" w:hAnsiTheme="majorHAnsi"/>
          <w:sz w:val="22"/>
        </w:rPr>
        <w:t>reflect</w:t>
      </w:r>
      <w:r>
        <w:rPr>
          <w:rFonts w:asciiTheme="majorHAnsi" w:hAnsiTheme="majorHAnsi"/>
          <w:sz w:val="22"/>
        </w:rPr>
        <w:t xml:space="preserve"> scenarios where parties inside an AC/SO succeeded in acquiring undue influence over the published positions of the AC/SO. </w:t>
      </w:r>
      <w:r w:rsidR="00125818">
        <w:rPr>
          <w:rFonts w:asciiTheme="majorHAnsi" w:hAnsiTheme="majorHAnsi"/>
          <w:sz w:val="22"/>
        </w:rPr>
        <w:t xml:space="preserve">Also, </w:t>
      </w:r>
      <w:r>
        <w:rPr>
          <w:rFonts w:asciiTheme="majorHAnsi" w:hAnsiTheme="majorHAnsi"/>
          <w:sz w:val="22"/>
        </w:rPr>
        <w:t xml:space="preserve">NTIA Secretary </w:t>
      </w:r>
      <w:r w:rsidR="00125818">
        <w:rPr>
          <w:rFonts w:asciiTheme="majorHAnsi" w:hAnsiTheme="majorHAnsi"/>
          <w:sz w:val="22"/>
        </w:rPr>
        <w:t>S</w:t>
      </w:r>
      <w:r>
        <w:rPr>
          <w:rFonts w:asciiTheme="majorHAnsi" w:hAnsiTheme="majorHAnsi"/>
          <w:sz w:val="22"/>
        </w:rPr>
        <w:t>trickling</w:t>
      </w:r>
      <w:r w:rsidR="00125818">
        <w:rPr>
          <w:rFonts w:asciiTheme="majorHAnsi" w:hAnsiTheme="majorHAnsi"/>
          <w:sz w:val="22"/>
        </w:rPr>
        <w:t xml:space="preserve"> asked about “potential risk of capture” in his 16-Jun statement. </w:t>
      </w:r>
      <w:r>
        <w:rPr>
          <w:rFonts w:asciiTheme="majorHAnsi" w:hAnsiTheme="majorHAnsi"/>
          <w:sz w:val="22"/>
        </w:rPr>
        <w:t xml:space="preserve"> </w:t>
      </w:r>
    </w:p>
    <w:p w14:paraId="215F1AC1" w14:textId="77777777" w:rsidR="00125818" w:rsidRDefault="00125818" w:rsidP="006805A4">
      <w:pPr>
        <w:rPr>
          <w:rFonts w:asciiTheme="majorHAnsi" w:hAnsiTheme="majorHAnsi"/>
          <w:sz w:val="22"/>
        </w:rPr>
      </w:pPr>
    </w:p>
    <w:p w14:paraId="65C10358" w14:textId="7BE15C4D" w:rsidR="006805A4" w:rsidRDefault="006805A4" w:rsidP="006805A4">
      <w:pPr>
        <w:rPr>
          <w:rFonts w:asciiTheme="majorHAnsi" w:hAnsiTheme="majorHAnsi"/>
          <w:sz w:val="22"/>
          <w:szCs w:val="22"/>
        </w:rPr>
      </w:pPr>
      <w:r w:rsidRPr="00EE4469">
        <w:rPr>
          <w:rFonts w:asciiTheme="majorHAnsi" w:hAnsiTheme="majorHAnsi"/>
          <w:sz w:val="22"/>
          <w:szCs w:val="22"/>
        </w:rPr>
        <w:t>We believe th</w:t>
      </w:r>
      <w:r w:rsidR="00125818">
        <w:rPr>
          <w:rFonts w:asciiTheme="majorHAnsi" w:hAnsiTheme="majorHAnsi"/>
          <w:sz w:val="22"/>
          <w:szCs w:val="22"/>
        </w:rPr>
        <w:t xml:space="preserve">e capture </w:t>
      </w:r>
      <w:r>
        <w:rPr>
          <w:rFonts w:asciiTheme="majorHAnsi" w:hAnsiTheme="majorHAnsi"/>
          <w:sz w:val="22"/>
          <w:szCs w:val="22"/>
        </w:rPr>
        <w:t xml:space="preserve">scenario </w:t>
      </w:r>
      <w:r w:rsidRPr="00EE4469">
        <w:rPr>
          <w:rFonts w:asciiTheme="majorHAnsi" w:hAnsiTheme="majorHAnsi"/>
          <w:sz w:val="22"/>
          <w:szCs w:val="22"/>
        </w:rPr>
        <w:t xml:space="preserve">is </w:t>
      </w:r>
      <w:r>
        <w:rPr>
          <w:rFonts w:asciiTheme="majorHAnsi" w:hAnsiTheme="majorHAnsi"/>
          <w:sz w:val="22"/>
          <w:szCs w:val="22"/>
        </w:rPr>
        <w:t>partly</w:t>
      </w:r>
      <w:r w:rsidRPr="00EE4469">
        <w:rPr>
          <w:rFonts w:asciiTheme="majorHAnsi" w:hAnsiTheme="majorHAnsi"/>
          <w:sz w:val="22"/>
          <w:szCs w:val="22"/>
        </w:rPr>
        <w:t xml:space="preserve"> </w:t>
      </w:r>
      <w:r>
        <w:rPr>
          <w:rFonts w:asciiTheme="majorHAnsi" w:hAnsiTheme="majorHAnsi"/>
          <w:sz w:val="22"/>
          <w:szCs w:val="22"/>
        </w:rPr>
        <w:t>addressed</w:t>
      </w:r>
      <w:r w:rsidRPr="00EE4469">
        <w:rPr>
          <w:rFonts w:asciiTheme="majorHAnsi" w:hAnsiTheme="majorHAnsi"/>
          <w:sz w:val="22"/>
          <w:szCs w:val="22"/>
        </w:rPr>
        <w:t xml:space="preserve"> in Stress Test</w:t>
      </w:r>
      <w:r>
        <w:rPr>
          <w:rFonts w:asciiTheme="majorHAnsi" w:hAnsiTheme="majorHAnsi"/>
          <w:sz w:val="22"/>
          <w:szCs w:val="22"/>
        </w:rPr>
        <w:t>s</w:t>
      </w:r>
      <w:r w:rsidR="00125818">
        <w:rPr>
          <w:rFonts w:asciiTheme="majorHAnsi" w:hAnsiTheme="majorHAnsi"/>
          <w:sz w:val="22"/>
          <w:szCs w:val="22"/>
        </w:rPr>
        <w:t xml:space="preserve"> </w:t>
      </w:r>
      <w:r>
        <w:rPr>
          <w:rFonts w:asciiTheme="majorHAnsi" w:hAnsiTheme="majorHAnsi"/>
          <w:sz w:val="22"/>
          <w:szCs w:val="22"/>
        </w:rPr>
        <w:t>12 and 13</w:t>
      </w:r>
      <w:r w:rsidRPr="00EE4469">
        <w:rPr>
          <w:rFonts w:asciiTheme="majorHAnsi" w:hAnsiTheme="majorHAnsi"/>
          <w:sz w:val="22"/>
          <w:szCs w:val="22"/>
        </w:rPr>
        <w:t>, on p</w:t>
      </w:r>
      <w:r w:rsidR="00125818">
        <w:rPr>
          <w:rFonts w:asciiTheme="majorHAnsi" w:hAnsiTheme="majorHAnsi"/>
          <w:sz w:val="22"/>
          <w:szCs w:val="22"/>
        </w:rPr>
        <w:t xml:space="preserve">. </w:t>
      </w:r>
      <w:r>
        <w:rPr>
          <w:rFonts w:asciiTheme="majorHAnsi" w:hAnsiTheme="majorHAnsi"/>
          <w:sz w:val="22"/>
          <w:szCs w:val="22"/>
        </w:rPr>
        <w:t>80 of our proposal:</w:t>
      </w:r>
    </w:p>
    <w:p w14:paraId="38AA3F14" w14:textId="77777777" w:rsidR="006805A4" w:rsidRDefault="006805A4" w:rsidP="006805A4">
      <w:pPr>
        <w:rPr>
          <w:rFonts w:asciiTheme="majorHAnsi" w:hAnsiTheme="majorHAnsi"/>
          <w:sz w:val="22"/>
          <w:szCs w:val="22"/>
        </w:rPr>
      </w:pPr>
    </w:p>
    <w:tbl>
      <w:tblPr>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2790"/>
        <w:gridCol w:w="4230"/>
      </w:tblGrid>
      <w:tr w:rsidR="006805A4" w14:paraId="35A321B7" w14:textId="77777777" w:rsidTr="00125818">
        <w:tc>
          <w:tcPr>
            <w:tcW w:w="2520" w:type="dxa"/>
          </w:tcPr>
          <w:p w14:paraId="7642C29F" w14:textId="77777777" w:rsidR="006805A4" w:rsidRDefault="006805A4" w:rsidP="006805A4">
            <w:pPr>
              <w:pStyle w:val="Normal1"/>
            </w:pPr>
            <w:r>
              <w:rPr>
                <w:rFonts w:ascii="Calibri" w:eastAsia="Calibri" w:hAnsi="Calibri" w:cs="Calibri"/>
                <w:sz w:val="20"/>
              </w:rPr>
              <w:t>Stress Test</w:t>
            </w:r>
          </w:p>
        </w:tc>
        <w:tc>
          <w:tcPr>
            <w:tcW w:w="2790" w:type="dxa"/>
          </w:tcPr>
          <w:p w14:paraId="7A313E3A" w14:textId="77777777" w:rsidR="006805A4" w:rsidRDefault="006805A4" w:rsidP="006805A4">
            <w:pPr>
              <w:pStyle w:val="Normal1"/>
            </w:pPr>
            <w:r>
              <w:rPr>
                <w:rFonts w:ascii="Calibri" w:eastAsia="Calibri" w:hAnsi="Calibri" w:cs="Calibri"/>
                <w:sz w:val="20"/>
              </w:rPr>
              <w:t>Existing Accountability Measures</w:t>
            </w:r>
          </w:p>
        </w:tc>
        <w:tc>
          <w:tcPr>
            <w:tcW w:w="4230" w:type="dxa"/>
          </w:tcPr>
          <w:p w14:paraId="4E2D29A3" w14:textId="77777777" w:rsidR="006805A4" w:rsidRDefault="006805A4" w:rsidP="006805A4">
            <w:pPr>
              <w:pStyle w:val="Normal1"/>
            </w:pPr>
            <w:r>
              <w:rPr>
                <w:rFonts w:ascii="Calibri" w:eastAsia="Calibri" w:hAnsi="Calibri" w:cs="Calibri"/>
                <w:sz w:val="20"/>
              </w:rPr>
              <w:t>Proposed Accountability Measures</w:t>
            </w:r>
          </w:p>
        </w:tc>
      </w:tr>
      <w:tr w:rsidR="006805A4" w14:paraId="604637B4" w14:textId="77777777" w:rsidTr="00125818">
        <w:tc>
          <w:tcPr>
            <w:tcW w:w="2520" w:type="dxa"/>
          </w:tcPr>
          <w:p w14:paraId="4E51389B" w14:textId="77777777" w:rsidR="006805A4" w:rsidRDefault="006805A4" w:rsidP="006805A4">
            <w:pPr>
              <w:pStyle w:val="Normal1"/>
            </w:pPr>
            <w:r>
              <w:rPr>
                <w:rFonts w:ascii="Calibri" w:eastAsia="Calibri" w:hAnsi="Calibri" w:cs="Calibri"/>
                <w:sz w:val="20"/>
              </w:rPr>
              <w:t xml:space="preserve">12. Capture by one or several groups of stakeholders.  </w:t>
            </w:r>
          </w:p>
          <w:p w14:paraId="1CF564F5" w14:textId="77777777" w:rsidR="006805A4" w:rsidRDefault="006805A4" w:rsidP="006805A4">
            <w:pPr>
              <w:pStyle w:val="Normal1"/>
            </w:pPr>
          </w:p>
          <w:p w14:paraId="0D2ECBE5" w14:textId="77777777" w:rsidR="006805A4" w:rsidRDefault="006805A4" w:rsidP="006805A4">
            <w:pPr>
              <w:pStyle w:val="Normal1"/>
            </w:pPr>
            <w:r>
              <w:rPr>
                <w:rFonts w:ascii="Calibri" w:eastAsia="Calibri" w:hAnsi="Calibri" w:cs="Calibri"/>
                <w:sz w:val="20"/>
              </w:rPr>
              <w:t>Consequence: major impact on trust in multistakeholder model, prejudice to other stakeholders.</w:t>
            </w:r>
          </w:p>
        </w:tc>
        <w:tc>
          <w:tcPr>
            <w:tcW w:w="2790" w:type="dxa"/>
          </w:tcPr>
          <w:p w14:paraId="5750CF34" w14:textId="77777777" w:rsidR="006805A4" w:rsidRDefault="006805A4" w:rsidP="006805A4">
            <w:pPr>
              <w:pStyle w:val="Normal1"/>
            </w:pPr>
            <w:r>
              <w:rPr>
                <w:rFonts w:ascii="Calibri" w:eastAsia="Calibri" w:hAnsi="Calibri" w:cs="Calibri"/>
                <w:sz w:val="20"/>
              </w:rPr>
              <w:t>Regarding capture by governments, the GAC could change its Operating Principle 47 to use majority voting for formal GAC advice, but ICANN bylaws would require due deference only to advice that had GAC consensus.</w:t>
            </w:r>
          </w:p>
          <w:p w14:paraId="5229F4E0" w14:textId="77777777" w:rsidR="006805A4" w:rsidRDefault="006805A4" w:rsidP="006805A4">
            <w:pPr>
              <w:pStyle w:val="Normal1"/>
            </w:pPr>
          </w:p>
          <w:p w14:paraId="2EA4204D" w14:textId="77777777" w:rsidR="006805A4" w:rsidRDefault="006805A4" w:rsidP="006805A4">
            <w:pPr>
              <w:pStyle w:val="Normal1"/>
              <w:jc w:val="center"/>
            </w:pPr>
          </w:p>
        </w:tc>
        <w:tc>
          <w:tcPr>
            <w:tcW w:w="4230" w:type="dxa"/>
          </w:tcPr>
          <w:p w14:paraId="6977E52A" w14:textId="77777777" w:rsidR="006805A4" w:rsidRDefault="006805A4" w:rsidP="006805A4">
            <w:pPr>
              <w:pStyle w:val="Normal1"/>
            </w:pPr>
            <w:r>
              <w:rPr>
                <w:rFonts w:ascii="Calibri" w:eastAsia="Calibri" w:hAnsi="Calibri" w:cs="Calibri"/>
                <w:sz w:val="20"/>
              </w:rPr>
              <w:t>CCWG proposals for community empowerment rely upon supermajority to veto ICANN budgets and strategic plans, to remove ICANN board director(s).   A supermajority requirement is an effective prevention of capture by one or a few groups, provided that quorum requirements are high enough.</w:t>
            </w:r>
          </w:p>
          <w:p w14:paraId="379F6921" w14:textId="77777777" w:rsidR="006805A4" w:rsidRDefault="006805A4" w:rsidP="006805A4">
            <w:pPr>
              <w:pStyle w:val="Normal1"/>
            </w:pPr>
          </w:p>
          <w:p w14:paraId="7990EDE7" w14:textId="77777777" w:rsidR="006805A4" w:rsidRDefault="006805A4" w:rsidP="006805A4">
            <w:pPr>
              <w:pStyle w:val="Normal1"/>
            </w:pPr>
            <w:r>
              <w:rPr>
                <w:rFonts w:ascii="Calibri" w:eastAsia="Calibri" w:hAnsi="Calibri" w:cs="Calibri"/>
                <w:sz w:val="20"/>
              </w:rPr>
              <w:t xml:space="preserve">Each AC/SO/SG needs accountability and transparency rules to prevent capture from those outside that community. </w:t>
            </w:r>
          </w:p>
          <w:p w14:paraId="4803ABBB" w14:textId="77777777" w:rsidR="006805A4" w:rsidRDefault="006805A4" w:rsidP="006805A4">
            <w:pPr>
              <w:pStyle w:val="Normal1"/>
            </w:pPr>
          </w:p>
          <w:p w14:paraId="4FE005AA" w14:textId="77777777" w:rsidR="006805A4" w:rsidRDefault="006805A4" w:rsidP="006805A4">
            <w:pPr>
              <w:pStyle w:val="Normal1"/>
            </w:pPr>
            <w:r>
              <w:rPr>
                <w:rFonts w:ascii="Calibri" w:eastAsia="Calibri" w:hAnsi="Calibri" w:cs="Calibri"/>
                <w:sz w:val="20"/>
              </w:rPr>
              <w:t xml:space="preserve">To prevent capture by governments, another proposed measure would amend ICANN bylaws (Article XI, Section 2, item 1j) to obligate trying to find a mutually agreeable solution only where GAC advice was supported by GAC consensus. </w:t>
            </w:r>
          </w:p>
        </w:tc>
      </w:tr>
      <w:tr w:rsidR="006805A4" w14:paraId="6FB5935E" w14:textId="77777777" w:rsidTr="00125818">
        <w:tc>
          <w:tcPr>
            <w:tcW w:w="2520" w:type="dxa"/>
          </w:tcPr>
          <w:p w14:paraId="00D3D248" w14:textId="77777777" w:rsidR="006805A4" w:rsidRDefault="006805A4" w:rsidP="006805A4">
            <w:pPr>
              <w:pStyle w:val="Normal1"/>
            </w:pPr>
            <w:r>
              <w:rPr>
                <w:rFonts w:ascii="Calibri" w:eastAsia="Calibri" w:hAnsi="Calibri" w:cs="Calibri"/>
                <w:sz w:val="20"/>
              </w:rPr>
              <w:t>Conclusions:</w:t>
            </w:r>
          </w:p>
          <w:p w14:paraId="5936B81F" w14:textId="77777777" w:rsidR="006805A4" w:rsidRDefault="006805A4" w:rsidP="006805A4">
            <w:pPr>
              <w:pStyle w:val="Normal1"/>
              <w:rPr>
                <w:rFonts w:ascii="Calibri" w:eastAsia="Calibri" w:hAnsi="Calibri" w:cs="Calibri"/>
                <w:sz w:val="20"/>
              </w:rPr>
            </w:pPr>
            <w:r>
              <w:rPr>
                <w:rFonts w:ascii="Calibri" w:eastAsia="Calibri" w:hAnsi="Calibri" w:cs="Calibri"/>
                <w:sz w:val="20"/>
              </w:rPr>
              <w:t>This threat is not directly related to the transition of IANA stewardship</w:t>
            </w:r>
          </w:p>
        </w:tc>
        <w:tc>
          <w:tcPr>
            <w:tcW w:w="2790" w:type="dxa"/>
          </w:tcPr>
          <w:p w14:paraId="23425E4C" w14:textId="77777777" w:rsidR="006805A4" w:rsidRDefault="006805A4" w:rsidP="006805A4">
            <w:pPr>
              <w:pStyle w:val="Normal1"/>
            </w:pPr>
          </w:p>
          <w:p w14:paraId="4428512A" w14:textId="77777777" w:rsidR="006805A4" w:rsidRDefault="006805A4" w:rsidP="006805A4">
            <w:pPr>
              <w:pStyle w:val="Normal1"/>
            </w:pPr>
            <w:r>
              <w:rPr>
                <w:rFonts w:ascii="Calibri" w:eastAsia="Calibri" w:hAnsi="Calibri" w:cs="Calibri"/>
                <w:sz w:val="20"/>
              </w:rPr>
              <w:t>Existing measures would be inadequate</w:t>
            </w:r>
          </w:p>
        </w:tc>
        <w:tc>
          <w:tcPr>
            <w:tcW w:w="4230" w:type="dxa"/>
          </w:tcPr>
          <w:p w14:paraId="59BEA401" w14:textId="77777777" w:rsidR="006805A4" w:rsidRDefault="006805A4" w:rsidP="006805A4">
            <w:pPr>
              <w:pStyle w:val="Normal1"/>
            </w:pPr>
          </w:p>
          <w:p w14:paraId="01A69BD9" w14:textId="77777777" w:rsidR="006805A4" w:rsidRDefault="006805A4" w:rsidP="006805A4">
            <w:pPr>
              <w:pStyle w:val="Normal1"/>
            </w:pPr>
            <w:r>
              <w:rPr>
                <w:rFonts w:ascii="Calibri" w:eastAsia="Calibri" w:hAnsi="Calibri" w:cs="Calibri"/>
                <w:sz w:val="20"/>
              </w:rPr>
              <w:t xml:space="preserve">Proposed measures would be adequate. </w:t>
            </w:r>
          </w:p>
        </w:tc>
      </w:tr>
    </w:tbl>
    <w:p w14:paraId="23E37E8E" w14:textId="77777777" w:rsidR="006805A4" w:rsidRDefault="006805A4" w:rsidP="006805A4">
      <w:pPr>
        <w:rPr>
          <w:rFonts w:asciiTheme="majorHAnsi" w:hAnsiTheme="majorHAnsi"/>
          <w:sz w:val="22"/>
        </w:rPr>
      </w:pPr>
    </w:p>
    <w:p w14:paraId="4652A994" w14:textId="425CE780" w:rsidR="006805A4" w:rsidRDefault="006805A4">
      <w:pPr>
        <w:rPr>
          <w:rFonts w:asciiTheme="majorHAnsi" w:hAnsiTheme="majorHAnsi"/>
          <w:sz w:val="22"/>
        </w:rPr>
      </w:pPr>
      <w:r>
        <w:rPr>
          <w:rFonts w:asciiTheme="majorHAnsi" w:hAnsiTheme="majorHAnsi"/>
          <w:sz w:val="22"/>
        </w:rPr>
        <w:t xml:space="preserve">We believe Stress Tests 12 and 13 could be expanded to address capture by parties inside an AC/SO. </w:t>
      </w:r>
    </w:p>
    <w:p w14:paraId="6C405B98" w14:textId="77777777" w:rsidR="006805A4" w:rsidRDefault="006805A4">
      <w:pPr>
        <w:rPr>
          <w:rFonts w:asciiTheme="majorHAnsi" w:hAnsiTheme="majorHAnsi"/>
          <w:sz w:val="22"/>
        </w:rPr>
      </w:pPr>
    </w:p>
    <w:p w14:paraId="473A4ED1" w14:textId="77777777" w:rsidR="00602456" w:rsidRDefault="00602456">
      <w:pPr>
        <w:rPr>
          <w:rFonts w:asciiTheme="majorHAnsi" w:hAnsiTheme="majorHAnsi"/>
          <w:sz w:val="22"/>
        </w:rPr>
      </w:pPr>
    </w:p>
    <w:p w14:paraId="22EE8417" w14:textId="77777777" w:rsidR="00602456" w:rsidRDefault="00602456">
      <w:pPr>
        <w:rPr>
          <w:rFonts w:asciiTheme="majorHAnsi" w:hAnsiTheme="majorHAnsi"/>
          <w:sz w:val="22"/>
        </w:rPr>
      </w:pPr>
    </w:p>
    <w:p w14:paraId="54B01CAA" w14:textId="413508F3" w:rsidR="00602456" w:rsidRDefault="00602456" w:rsidP="00602456">
      <w:pPr>
        <w:rPr>
          <w:rFonts w:asciiTheme="majorHAnsi" w:hAnsiTheme="majorHAnsi"/>
          <w:sz w:val="22"/>
        </w:rPr>
      </w:pPr>
      <w:r>
        <w:rPr>
          <w:rFonts w:asciiTheme="majorHAnsi" w:hAnsiTheme="majorHAnsi"/>
          <w:b/>
          <w:sz w:val="22"/>
        </w:rPr>
        <w:t xml:space="preserve">Enforcement of contract provisions that exceed limited mission of ICANN.  </w:t>
      </w:r>
      <w:r w:rsidRPr="00C70CC2">
        <w:rPr>
          <w:rFonts w:asciiTheme="majorHAnsi" w:hAnsiTheme="majorHAnsi"/>
          <w:sz w:val="22"/>
        </w:rPr>
        <w:t xml:space="preserve">In a public comment from </w:t>
      </w:r>
      <w:r w:rsidRPr="00872A3F">
        <w:rPr>
          <w:rFonts w:asciiTheme="majorHAnsi" w:hAnsiTheme="majorHAnsi"/>
          <w:sz w:val="22"/>
        </w:rPr>
        <w:t>David Post</w:t>
      </w:r>
      <w:r>
        <w:rPr>
          <w:rFonts w:asciiTheme="majorHAnsi" w:hAnsiTheme="majorHAnsi"/>
          <w:sz w:val="22"/>
        </w:rPr>
        <w:t xml:space="preserve"> and Danielle Kehl</w:t>
      </w:r>
      <w:r w:rsidR="00A864FF">
        <w:rPr>
          <w:rFonts w:asciiTheme="majorHAnsi" w:hAnsiTheme="majorHAnsi"/>
          <w:sz w:val="22"/>
        </w:rPr>
        <w:t xml:space="preserve"> (</w:t>
      </w:r>
      <w:hyperlink r:id="rId8" w:history="1">
        <w:r w:rsidR="00A864FF" w:rsidRPr="00A864FF">
          <w:rPr>
            <w:rStyle w:val="Hyperlink"/>
            <w:rFonts w:asciiTheme="majorHAnsi" w:hAnsiTheme="majorHAnsi"/>
            <w:sz w:val="22"/>
          </w:rPr>
          <w:t>link</w:t>
        </w:r>
      </w:hyperlink>
      <w:bookmarkStart w:id="0" w:name="_GoBack"/>
      <w:bookmarkEnd w:id="0"/>
      <w:r w:rsidR="00A864FF">
        <w:rPr>
          <w:rFonts w:asciiTheme="majorHAnsi" w:hAnsiTheme="majorHAnsi"/>
          <w:sz w:val="22"/>
        </w:rPr>
        <w:t>)</w:t>
      </w:r>
      <w:r>
        <w:rPr>
          <w:rFonts w:asciiTheme="majorHAnsi" w:hAnsiTheme="majorHAnsi"/>
          <w:sz w:val="22"/>
        </w:rPr>
        <w:t>, two additional stress tests were proposed:</w:t>
      </w:r>
    </w:p>
    <w:p w14:paraId="03488884" w14:textId="77777777" w:rsidR="00602456" w:rsidRPr="00872A3F" w:rsidRDefault="00602456" w:rsidP="00602456">
      <w:pPr>
        <w:rPr>
          <w:rFonts w:asciiTheme="majorHAnsi" w:hAnsiTheme="majorHAnsi"/>
          <w:b/>
          <w:sz w:val="22"/>
        </w:rPr>
      </w:pPr>
    </w:p>
    <w:p w14:paraId="10A9F2DE" w14:textId="77777777" w:rsidR="00602456" w:rsidRDefault="00602456" w:rsidP="00602456">
      <w:pPr>
        <w:ind w:left="720"/>
        <w:rPr>
          <w:rFonts w:asciiTheme="majorHAnsi" w:hAnsiTheme="majorHAnsi"/>
          <w:sz w:val="22"/>
        </w:rPr>
      </w:pPr>
      <w:r>
        <w:rPr>
          <w:rFonts w:asciiTheme="majorHAnsi" w:hAnsiTheme="majorHAnsi"/>
          <w:sz w:val="22"/>
        </w:rPr>
        <w:t>First, they describe a scenario where ICANN enforces the new gTLD registry and registrar contract provision to investigate and respond to reports of abuse, resulting in terminations of some name registrations.    They indicate this is not the result of consensus policy and ask how a registry operator could challenge the enforcement by ICANN, under present and proposed accountability mechanisms.    The improved IRP could give an aggrieved party an opportunity to challenge, with a potentially binding decision.</w:t>
      </w:r>
    </w:p>
    <w:p w14:paraId="62D6E9FE" w14:textId="77777777" w:rsidR="00602456" w:rsidRDefault="00602456" w:rsidP="00602456">
      <w:pPr>
        <w:ind w:left="720"/>
        <w:rPr>
          <w:rFonts w:asciiTheme="majorHAnsi" w:hAnsiTheme="majorHAnsi"/>
          <w:sz w:val="22"/>
        </w:rPr>
      </w:pPr>
    </w:p>
    <w:p w14:paraId="69DBA0B8" w14:textId="77777777" w:rsidR="00602456" w:rsidRDefault="00602456" w:rsidP="00602456">
      <w:pPr>
        <w:ind w:left="720"/>
        <w:rPr>
          <w:rFonts w:asciiTheme="majorHAnsi" w:hAnsiTheme="majorHAnsi"/>
          <w:sz w:val="22"/>
        </w:rPr>
      </w:pPr>
      <w:r>
        <w:rPr>
          <w:rFonts w:asciiTheme="majorHAnsi" w:hAnsiTheme="majorHAnsi"/>
          <w:sz w:val="22"/>
        </w:rPr>
        <w:t>Second, they describe a scenario where ICANN compliance department terminates registrars for failing to investigate and respond to reports of copyright infringement.  They ask how an aggrieved party operator could challenge the termination actions by ICANN, under present and proposed accountability mechanisms.    The improved IRP could give an aggrieved party an opportunity to challenge, with a potentially binding decision.</w:t>
      </w:r>
    </w:p>
    <w:p w14:paraId="29B19ED1" w14:textId="77777777" w:rsidR="00602456" w:rsidRDefault="00602456" w:rsidP="00602456">
      <w:pPr>
        <w:ind w:left="720"/>
        <w:rPr>
          <w:rFonts w:asciiTheme="majorHAnsi" w:hAnsiTheme="majorHAnsi"/>
          <w:sz w:val="22"/>
        </w:rPr>
      </w:pPr>
    </w:p>
    <w:p w14:paraId="1E2687F4" w14:textId="77777777" w:rsidR="00602456" w:rsidRDefault="00602456" w:rsidP="00602456">
      <w:pPr>
        <w:rPr>
          <w:rFonts w:asciiTheme="majorHAnsi" w:hAnsiTheme="majorHAnsi"/>
          <w:sz w:val="22"/>
        </w:rPr>
      </w:pPr>
    </w:p>
    <w:p w14:paraId="0129E81B" w14:textId="77777777" w:rsidR="006805A4" w:rsidRDefault="006805A4">
      <w:pPr>
        <w:rPr>
          <w:rFonts w:asciiTheme="majorHAnsi" w:hAnsiTheme="majorHAnsi"/>
          <w:sz w:val="22"/>
        </w:rPr>
      </w:pPr>
    </w:p>
    <w:p w14:paraId="3FB9F5AD" w14:textId="77777777" w:rsidR="006805A4" w:rsidRDefault="006805A4">
      <w:pPr>
        <w:rPr>
          <w:rFonts w:asciiTheme="majorHAnsi" w:hAnsiTheme="majorHAnsi"/>
          <w:sz w:val="22"/>
        </w:rPr>
      </w:pPr>
    </w:p>
    <w:p w14:paraId="621BF266" w14:textId="2BCB0ADA" w:rsidR="00EE4469" w:rsidRDefault="00872A3F">
      <w:pPr>
        <w:rPr>
          <w:rFonts w:asciiTheme="majorHAnsi" w:hAnsiTheme="majorHAnsi"/>
          <w:sz w:val="22"/>
        </w:rPr>
      </w:pPr>
      <w:r w:rsidRPr="00872A3F">
        <w:rPr>
          <w:rFonts w:asciiTheme="majorHAnsi" w:hAnsiTheme="majorHAnsi"/>
          <w:b/>
          <w:sz w:val="22"/>
        </w:rPr>
        <w:t xml:space="preserve">Member/Designator representatives </w:t>
      </w:r>
      <w:r w:rsidR="000A0607">
        <w:rPr>
          <w:rFonts w:asciiTheme="majorHAnsi" w:hAnsiTheme="majorHAnsi"/>
          <w:b/>
          <w:sz w:val="22"/>
        </w:rPr>
        <w:t xml:space="preserve">fail to honor voting instructions from </w:t>
      </w:r>
      <w:r w:rsidRPr="00872A3F">
        <w:rPr>
          <w:rFonts w:asciiTheme="majorHAnsi" w:hAnsiTheme="majorHAnsi"/>
          <w:b/>
          <w:sz w:val="22"/>
        </w:rPr>
        <w:t>their AC/SO.</w:t>
      </w:r>
      <w:r>
        <w:rPr>
          <w:rFonts w:asciiTheme="majorHAnsi" w:hAnsiTheme="majorHAnsi"/>
          <w:b/>
          <w:sz w:val="22"/>
        </w:rPr>
        <w:t xml:space="preserve">  </w:t>
      </w:r>
      <w:r w:rsidRPr="00872A3F">
        <w:rPr>
          <w:rFonts w:asciiTheme="majorHAnsi" w:hAnsiTheme="majorHAnsi"/>
          <w:sz w:val="22"/>
        </w:rPr>
        <w:t>Several</w:t>
      </w:r>
      <w:r>
        <w:rPr>
          <w:rFonts w:asciiTheme="majorHAnsi" w:hAnsiTheme="majorHAnsi"/>
          <w:sz w:val="22"/>
        </w:rPr>
        <w:t xml:space="preserve"> individuals asked us to evaluate a stress test scenario where the individual selected by an AC/SO failed to follow their AC/SO voting instructions when exercising one of the community power</w:t>
      </w:r>
      <w:r w:rsidR="00EE4469">
        <w:rPr>
          <w:rFonts w:asciiTheme="majorHAnsi" w:hAnsiTheme="majorHAnsi"/>
          <w:sz w:val="22"/>
        </w:rPr>
        <w:t xml:space="preserve">s proposed by CCWG.  </w:t>
      </w:r>
      <w:r w:rsidR="00EE4469" w:rsidRPr="00EE4469">
        <w:rPr>
          <w:rFonts w:asciiTheme="majorHAnsi" w:hAnsiTheme="majorHAnsi"/>
          <w:sz w:val="22"/>
          <w:szCs w:val="22"/>
        </w:rPr>
        <w:t>We believe th</w:t>
      </w:r>
      <w:r w:rsidR="00EE4469">
        <w:rPr>
          <w:rFonts w:asciiTheme="majorHAnsi" w:hAnsiTheme="majorHAnsi"/>
          <w:sz w:val="22"/>
          <w:szCs w:val="22"/>
        </w:rPr>
        <w:t xml:space="preserve">is scenario </w:t>
      </w:r>
      <w:r w:rsidR="00EE4469" w:rsidRPr="00EE4469">
        <w:rPr>
          <w:rFonts w:asciiTheme="majorHAnsi" w:hAnsiTheme="majorHAnsi"/>
          <w:sz w:val="22"/>
          <w:szCs w:val="22"/>
        </w:rPr>
        <w:t xml:space="preserve">is </w:t>
      </w:r>
      <w:r w:rsidR="00EE4469">
        <w:rPr>
          <w:rFonts w:asciiTheme="majorHAnsi" w:hAnsiTheme="majorHAnsi"/>
          <w:sz w:val="22"/>
          <w:szCs w:val="22"/>
        </w:rPr>
        <w:t>partly</w:t>
      </w:r>
      <w:r w:rsidR="00EE4469" w:rsidRPr="00EE4469">
        <w:rPr>
          <w:rFonts w:asciiTheme="majorHAnsi" w:hAnsiTheme="majorHAnsi"/>
          <w:sz w:val="22"/>
          <w:szCs w:val="22"/>
        </w:rPr>
        <w:t xml:space="preserve"> </w:t>
      </w:r>
      <w:r w:rsidR="00EE4469">
        <w:rPr>
          <w:rFonts w:asciiTheme="majorHAnsi" w:hAnsiTheme="majorHAnsi"/>
          <w:sz w:val="22"/>
          <w:szCs w:val="22"/>
        </w:rPr>
        <w:t>addressed</w:t>
      </w:r>
      <w:r w:rsidR="00EE4469" w:rsidRPr="00EE4469">
        <w:rPr>
          <w:rFonts w:asciiTheme="majorHAnsi" w:hAnsiTheme="majorHAnsi"/>
          <w:sz w:val="22"/>
          <w:szCs w:val="22"/>
        </w:rPr>
        <w:t xml:space="preserve"> in Stress Test #</w:t>
      </w:r>
      <w:r w:rsidR="00EE4469">
        <w:rPr>
          <w:rFonts w:asciiTheme="majorHAnsi" w:hAnsiTheme="majorHAnsi"/>
          <w:sz w:val="22"/>
          <w:szCs w:val="22"/>
        </w:rPr>
        <w:t>13</w:t>
      </w:r>
      <w:r w:rsidR="00EE4469" w:rsidRPr="00EE4469">
        <w:rPr>
          <w:rFonts w:asciiTheme="majorHAnsi" w:hAnsiTheme="majorHAnsi"/>
          <w:sz w:val="22"/>
          <w:szCs w:val="22"/>
        </w:rPr>
        <w:t xml:space="preserve">, on page </w:t>
      </w:r>
      <w:r w:rsidR="006805A4">
        <w:rPr>
          <w:rFonts w:asciiTheme="majorHAnsi" w:hAnsiTheme="majorHAnsi"/>
          <w:sz w:val="22"/>
          <w:szCs w:val="22"/>
        </w:rPr>
        <w:t>81</w:t>
      </w:r>
      <w:r w:rsidR="00EE4469" w:rsidRPr="00EE4469">
        <w:rPr>
          <w:rFonts w:asciiTheme="majorHAnsi" w:hAnsiTheme="majorHAnsi"/>
          <w:sz w:val="22"/>
          <w:szCs w:val="22"/>
        </w:rPr>
        <w:t xml:space="preserve"> of our proposal.</w:t>
      </w:r>
    </w:p>
    <w:p w14:paraId="7CD920C1" w14:textId="77777777" w:rsidR="00EE4469" w:rsidRDefault="00EE4469">
      <w:pPr>
        <w:rPr>
          <w:rFonts w:asciiTheme="majorHAnsi" w:hAnsiTheme="majorHAnsi"/>
          <w:sz w:val="22"/>
        </w:rPr>
      </w:pPr>
    </w:p>
    <w:p w14:paraId="30CA9875" w14:textId="706C679A" w:rsidR="00EE4469" w:rsidRDefault="00D6609E" w:rsidP="00784406">
      <w:pPr>
        <w:ind w:left="720"/>
        <w:rPr>
          <w:rFonts w:asciiTheme="majorHAnsi" w:hAnsiTheme="majorHAnsi"/>
          <w:sz w:val="22"/>
        </w:rPr>
      </w:pPr>
      <w:r>
        <w:rPr>
          <w:rFonts w:asciiTheme="majorHAnsi" w:hAnsiTheme="majorHAnsi"/>
          <w:sz w:val="22"/>
        </w:rPr>
        <w:t>We discussed adding another stress test to explicitly address the scenario of “rogue” voting in community mechanisms.    Potential ways to address the stress test include:</w:t>
      </w:r>
    </w:p>
    <w:p w14:paraId="47CDA9B4" w14:textId="77777777" w:rsidR="00D6609E" w:rsidRDefault="00D6609E" w:rsidP="00784406">
      <w:pPr>
        <w:ind w:left="720"/>
        <w:rPr>
          <w:rFonts w:asciiTheme="majorHAnsi" w:hAnsiTheme="majorHAnsi"/>
          <w:sz w:val="22"/>
        </w:rPr>
      </w:pPr>
    </w:p>
    <w:p w14:paraId="2F9C7B6B" w14:textId="72947CCD" w:rsidR="00D6609E" w:rsidRDefault="00D6609E" w:rsidP="00784406">
      <w:pPr>
        <w:ind w:left="1440"/>
        <w:rPr>
          <w:rFonts w:asciiTheme="majorHAnsi" w:hAnsiTheme="majorHAnsi"/>
          <w:sz w:val="22"/>
        </w:rPr>
      </w:pPr>
      <w:r>
        <w:rPr>
          <w:rFonts w:asciiTheme="majorHAnsi" w:hAnsiTheme="majorHAnsi"/>
          <w:sz w:val="22"/>
        </w:rPr>
        <w:t>The voting rules for community empowerment mechanisms could specify procedures to invalidate a vote if any member/designator representative voted against the express wishes of their AC/SO.</w:t>
      </w:r>
    </w:p>
    <w:p w14:paraId="61DAF81A" w14:textId="77777777" w:rsidR="00D6609E" w:rsidRDefault="00D6609E" w:rsidP="00784406">
      <w:pPr>
        <w:ind w:left="1440"/>
        <w:rPr>
          <w:rFonts w:asciiTheme="majorHAnsi" w:hAnsiTheme="majorHAnsi"/>
          <w:sz w:val="22"/>
        </w:rPr>
      </w:pPr>
    </w:p>
    <w:p w14:paraId="41F1B2FD" w14:textId="21377564" w:rsidR="00D6609E" w:rsidRDefault="00D6609E" w:rsidP="00784406">
      <w:pPr>
        <w:ind w:left="1440"/>
        <w:rPr>
          <w:rFonts w:asciiTheme="majorHAnsi" w:hAnsiTheme="majorHAnsi"/>
          <w:sz w:val="22"/>
        </w:rPr>
      </w:pPr>
      <w:r>
        <w:rPr>
          <w:rFonts w:asciiTheme="majorHAnsi" w:hAnsiTheme="majorHAnsi"/>
          <w:sz w:val="22"/>
        </w:rPr>
        <w:t xml:space="preserve">If any elected AC/SO officer is aware that their designator or member representative is not following AC/SO policy or position in casting their votes in a community mechanism, the officer could publicize this issue to ICANN staff and to all other AC/SO communities.   </w:t>
      </w:r>
    </w:p>
    <w:p w14:paraId="4584B7DD" w14:textId="77777777" w:rsidR="00D6609E" w:rsidRDefault="00D6609E" w:rsidP="00784406">
      <w:pPr>
        <w:ind w:left="1440"/>
        <w:rPr>
          <w:rFonts w:asciiTheme="majorHAnsi" w:hAnsiTheme="majorHAnsi"/>
          <w:sz w:val="22"/>
        </w:rPr>
      </w:pPr>
    </w:p>
    <w:p w14:paraId="699188C0" w14:textId="7525AFF0" w:rsidR="00872A3F" w:rsidRPr="00D6609E" w:rsidRDefault="00D6609E" w:rsidP="00784406">
      <w:pPr>
        <w:ind w:left="1440"/>
        <w:rPr>
          <w:rFonts w:asciiTheme="majorHAnsi" w:hAnsiTheme="majorHAnsi"/>
          <w:sz w:val="22"/>
        </w:rPr>
      </w:pPr>
      <w:r>
        <w:rPr>
          <w:rFonts w:asciiTheme="majorHAnsi" w:hAnsiTheme="majorHAnsi"/>
          <w:sz w:val="22"/>
        </w:rPr>
        <w:t>After such notice, the results of community voting would be set aside, pending correction of the problem by the AC/SO.  Correction might entail giving more explicit instructions to voting representative, or replacing the voting representative.   Upon notice that the problem has been remedied, another round of voting would be held.</w:t>
      </w:r>
    </w:p>
    <w:p w14:paraId="1F2B8346" w14:textId="77777777" w:rsidR="00564B4A" w:rsidRDefault="00564B4A">
      <w:pPr>
        <w:rPr>
          <w:rFonts w:asciiTheme="majorHAnsi" w:hAnsiTheme="majorHAnsi"/>
          <w:sz w:val="22"/>
        </w:rPr>
      </w:pPr>
    </w:p>
    <w:p w14:paraId="276C1162" w14:textId="68985962" w:rsidR="000A0607" w:rsidRDefault="000A0607" w:rsidP="000A0607">
      <w:pPr>
        <w:ind w:left="720"/>
        <w:rPr>
          <w:rFonts w:asciiTheme="majorHAnsi" w:hAnsiTheme="majorHAnsi"/>
          <w:sz w:val="22"/>
        </w:rPr>
      </w:pPr>
      <w:r>
        <w:rPr>
          <w:rFonts w:asciiTheme="majorHAnsi" w:hAnsiTheme="majorHAnsi"/>
          <w:sz w:val="22"/>
        </w:rPr>
        <w:t>Note that the Empowered AC/SO model being developed in Buenos Aires</w:t>
      </w:r>
      <w:r w:rsidR="00A864FF">
        <w:rPr>
          <w:rFonts w:asciiTheme="majorHAnsi" w:hAnsiTheme="majorHAnsi"/>
          <w:sz w:val="22"/>
        </w:rPr>
        <w:t xml:space="preserve"> would fully mitigate this stress test, since the elected officers of the AC/SO would exercise their votes directly.</w:t>
      </w:r>
    </w:p>
    <w:p w14:paraId="39BF5F67" w14:textId="77777777" w:rsidR="00564B4A" w:rsidRDefault="00564B4A">
      <w:pPr>
        <w:rPr>
          <w:rFonts w:asciiTheme="majorHAnsi" w:hAnsiTheme="majorHAnsi"/>
          <w:sz w:val="22"/>
        </w:rPr>
      </w:pPr>
    </w:p>
    <w:p w14:paraId="24106E99" w14:textId="77777777" w:rsidR="008014D9" w:rsidRDefault="008014D9">
      <w:pPr>
        <w:rPr>
          <w:rFonts w:asciiTheme="majorHAnsi" w:hAnsiTheme="majorHAnsi"/>
          <w:sz w:val="22"/>
        </w:rPr>
      </w:pPr>
    </w:p>
    <w:p w14:paraId="2C0D8141" w14:textId="0A3CE32D" w:rsidR="00E364E0" w:rsidRDefault="00E364E0">
      <w:pPr>
        <w:rPr>
          <w:rFonts w:asciiTheme="majorHAnsi" w:hAnsiTheme="majorHAnsi"/>
          <w:sz w:val="22"/>
        </w:rPr>
      </w:pPr>
      <w:r w:rsidRPr="00784406">
        <w:rPr>
          <w:rFonts w:asciiTheme="majorHAnsi" w:hAnsiTheme="majorHAnsi"/>
          <w:b/>
          <w:sz w:val="22"/>
        </w:rPr>
        <w:t>Revocation and reassignments of ccTLD managers</w:t>
      </w:r>
      <w:r>
        <w:rPr>
          <w:rFonts w:asciiTheme="majorHAnsi" w:hAnsiTheme="majorHAnsi"/>
          <w:sz w:val="22"/>
        </w:rPr>
        <w:t xml:space="preserve">.   In their public comment, the government of India noted that ST #21 did not </w:t>
      </w:r>
      <w:r w:rsidR="00784406">
        <w:rPr>
          <w:rFonts w:asciiTheme="majorHAnsi" w:hAnsiTheme="majorHAnsi"/>
          <w:sz w:val="22"/>
        </w:rPr>
        <w:t xml:space="preserve">address revocation and reassignment of ccTLD managers. The ST team believes this issue must wait for the ccNSO to develop policy pursuant to the most recent Framework of Interpretation. </w:t>
      </w:r>
    </w:p>
    <w:p w14:paraId="37A9F1EC" w14:textId="77777777" w:rsidR="00A864FF" w:rsidRDefault="00A864FF">
      <w:pPr>
        <w:rPr>
          <w:rFonts w:asciiTheme="majorHAnsi" w:hAnsiTheme="majorHAnsi"/>
          <w:sz w:val="22"/>
        </w:rPr>
      </w:pPr>
    </w:p>
    <w:p w14:paraId="4714290D" w14:textId="7CC2545B" w:rsidR="0087695E" w:rsidRDefault="008014D9">
      <w:pPr>
        <w:rPr>
          <w:rFonts w:asciiTheme="majorHAnsi" w:hAnsiTheme="majorHAnsi"/>
          <w:sz w:val="22"/>
        </w:rPr>
      </w:pPr>
      <w:r w:rsidRPr="008014D9">
        <w:rPr>
          <w:rFonts w:asciiTheme="majorHAnsi" w:hAnsiTheme="majorHAnsi"/>
          <w:b/>
          <w:sz w:val="22"/>
        </w:rPr>
        <w:lastRenderedPageBreak/>
        <w:t>Response to legislation.</w:t>
      </w:r>
      <w:r>
        <w:rPr>
          <w:rFonts w:asciiTheme="majorHAnsi" w:hAnsiTheme="majorHAnsi"/>
          <w:sz w:val="22"/>
        </w:rPr>
        <w:t xml:space="preserve"> </w:t>
      </w:r>
      <w:r w:rsidR="0087695E">
        <w:rPr>
          <w:rFonts w:asciiTheme="majorHAnsi" w:hAnsiTheme="majorHAnsi"/>
          <w:sz w:val="22"/>
        </w:rPr>
        <w:t xml:space="preserve">In his public comment, Richard Hill suggests </w:t>
      </w:r>
      <w:r>
        <w:rPr>
          <w:rFonts w:asciiTheme="majorHAnsi" w:hAnsiTheme="majorHAnsi"/>
          <w:sz w:val="22"/>
        </w:rPr>
        <w:t xml:space="preserve">ST #4 (regarding ICANN response to legislation) </w:t>
      </w:r>
      <w:r w:rsidR="0087695E">
        <w:rPr>
          <w:rFonts w:asciiTheme="majorHAnsi" w:hAnsiTheme="majorHAnsi"/>
          <w:sz w:val="22"/>
        </w:rPr>
        <w:t xml:space="preserve">points to need to relocate ICANN’s place of incorporation. CCWG legal </w:t>
      </w:r>
      <w:r w:rsidR="00D6609E">
        <w:rPr>
          <w:rFonts w:asciiTheme="majorHAnsi" w:hAnsiTheme="majorHAnsi"/>
          <w:sz w:val="22"/>
        </w:rPr>
        <w:t>advice suggests this would not insulate ICANN from jurisdictional reach of governments.</w:t>
      </w:r>
    </w:p>
    <w:p w14:paraId="7B0848FC" w14:textId="77777777" w:rsidR="00C70CC2" w:rsidRDefault="00C70CC2">
      <w:pPr>
        <w:rPr>
          <w:rFonts w:asciiTheme="majorHAnsi" w:hAnsiTheme="majorHAnsi"/>
          <w:sz w:val="22"/>
        </w:rPr>
      </w:pPr>
    </w:p>
    <w:p w14:paraId="0340B0B8" w14:textId="3DEDB971" w:rsidR="00BD08F8" w:rsidRPr="00BD08F8" w:rsidRDefault="00A864FF" w:rsidP="00BD08F8">
      <w:pPr>
        <w:rPr>
          <w:rFonts w:asciiTheme="majorHAnsi" w:hAnsiTheme="majorHAnsi"/>
          <w:sz w:val="22"/>
        </w:rPr>
      </w:pPr>
      <w:r w:rsidRPr="00A864FF">
        <w:rPr>
          <w:rFonts w:asciiTheme="majorHAnsi" w:hAnsiTheme="majorHAnsi"/>
          <w:b/>
          <w:sz w:val="22"/>
        </w:rPr>
        <w:t>NTIA Statement</w:t>
      </w:r>
      <w:r>
        <w:rPr>
          <w:rFonts w:asciiTheme="majorHAnsi" w:hAnsiTheme="majorHAnsi"/>
          <w:sz w:val="22"/>
        </w:rPr>
        <w:t xml:space="preserve">.  </w:t>
      </w:r>
      <w:r w:rsidR="00C70CC2">
        <w:rPr>
          <w:rFonts w:asciiTheme="majorHAnsi" w:hAnsiTheme="majorHAnsi"/>
          <w:sz w:val="22"/>
        </w:rPr>
        <w:t xml:space="preserve">There are </w:t>
      </w:r>
      <w:r w:rsidR="000C1561">
        <w:rPr>
          <w:rFonts w:asciiTheme="majorHAnsi" w:hAnsiTheme="majorHAnsi"/>
          <w:sz w:val="22"/>
        </w:rPr>
        <w:t xml:space="preserve">four stress test items </w:t>
      </w:r>
      <w:r w:rsidR="00BD08F8" w:rsidRPr="00BD08F8">
        <w:rPr>
          <w:rFonts w:asciiTheme="majorHAnsi" w:hAnsiTheme="majorHAnsi"/>
          <w:sz w:val="22"/>
        </w:rPr>
        <w:t xml:space="preserve">in Larry Strickling’s statement </w:t>
      </w:r>
      <w:r w:rsidR="00BD08F8">
        <w:rPr>
          <w:rFonts w:asciiTheme="majorHAnsi" w:hAnsiTheme="majorHAnsi"/>
          <w:sz w:val="22"/>
        </w:rPr>
        <w:t>from</w:t>
      </w:r>
      <w:r w:rsidR="00BD08F8" w:rsidRPr="00BD08F8">
        <w:rPr>
          <w:rFonts w:asciiTheme="majorHAnsi" w:hAnsiTheme="majorHAnsi"/>
          <w:sz w:val="22"/>
        </w:rPr>
        <w:t xml:space="preserve"> 16-Jun (</w:t>
      </w:r>
      <w:hyperlink r:id="rId9" w:history="1">
        <w:r w:rsidR="00BD08F8" w:rsidRPr="00BD08F8">
          <w:rPr>
            <w:rStyle w:val="Hyperlink"/>
            <w:rFonts w:asciiTheme="majorHAnsi" w:hAnsiTheme="majorHAnsi"/>
            <w:sz w:val="22"/>
          </w:rPr>
          <w:t>link</w:t>
        </w:r>
      </w:hyperlink>
      <w:r w:rsidR="00BD08F8" w:rsidRPr="00BD08F8">
        <w:rPr>
          <w:rFonts w:asciiTheme="majorHAnsi" w:hAnsiTheme="majorHAnsi"/>
          <w:sz w:val="22"/>
        </w:rPr>
        <w:t>):</w:t>
      </w:r>
    </w:p>
    <w:p w14:paraId="10A832AF" w14:textId="77777777" w:rsidR="00BD08F8" w:rsidRPr="00BD08F8" w:rsidRDefault="00BD08F8" w:rsidP="00BD08F8">
      <w:pPr>
        <w:rPr>
          <w:rFonts w:asciiTheme="majorHAnsi" w:hAnsiTheme="majorHAnsi"/>
          <w:sz w:val="22"/>
        </w:rPr>
      </w:pPr>
    </w:p>
    <w:p w14:paraId="1FAD2B95" w14:textId="77777777" w:rsidR="00BD08F8" w:rsidRPr="00BD08F8" w:rsidRDefault="00BD08F8" w:rsidP="00BD08F8">
      <w:pPr>
        <w:ind w:left="720"/>
        <w:rPr>
          <w:rFonts w:asciiTheme="majorHAnsi" w:hAnsiTheme="majorHAnsi"/>
          <w:sz w:val="22"/>
        </w:rPr>
      </w:pPr>
      <w:r w:rsidRPr="00BD08F8">
        <w:rPr>
          <w:rFonts w:asciiTheme="majorHAnsi" w:hAnsiTheme="majorHAnsi"/>
          <w:sz w:val="22"/>
        </w:rPr>
        <w:t>ST NTIA-1: Test preservation of the multistakeholder model if individual ICANN AC/SOs opt out of having votes in community empowerment mechanisms.</w:t>
      </w:r>
    </w:p>
    <w:p w14:paraId="516DBBF5" w14:textId="77777777" w:rsidR="00BD08F8" w:rsidRPr="00BD08F8" w:rsidRDefault="00BD08F8" w:rsidP="00BD08F8">
      <w:pPr>
        <w:ind w:left="720"/>
        <w:rPr>
          <w:rFonts w:asciiTheme="majorHAnsi" w:hAnsiTheme="majorHAnsi"/>
          <w:sz w:val="22"/>
        </w:rPr>
      </w:pPr>
    </w:p>
    <w:p w14:paraId="79D0951F" w14:textId="77777777" w:rsidR="00BD08F8" w:rsidRPr="00BD08F8" w:rsidRDefault="00BD08F8" w:rsidP="00BD08F8">
      <w:pPr>
        <w:ind w:left="720"/>
        <w:rPr>
          <w:rFonts w:asciiTheme="majorHAnsi" w:hAnsiTheme="majorHAnsi"/>
          <w:sz w:val="22"/>
        </w:rPr>
      </w:pPr>
      <w:r w:rsidRPr="00BD08F8">
        <w:rPr>
          <w:rFonts w:asciiTheme="majorHAnsi" w:hAnsiTheme="majorHAnsi"/>
          <w:sz w:val="22"/>
        </w:rPr>
        <w:t>ST NTIA-2:  Address the potential risk of capture?   (ST 12 and 13 partly address this, but not adequately for capture by internal parties in an AC/SO)</w:t>
      </w:r>
    </w:p>
    <w:p w14:paraId="51F5AE69" w14:textId="77777777" w:rsidR="00BD08F8" w:rsidRPr="00BD08F8" w:rsidRDefault="00BD08F8" w:rsidP="00BD08F8">
      <w:pPr>
        <w:ind w:left="720"/>
        <w:rPr>
          <w:rFonts w:asciiTheme="majorHAnsi" w:hAnsiTheme="majorHAnsi"/>
          <w:sz w:val="22"/>
        </w:rPr>
      </w:pPr>
    </w:p>
    <w:p w14:paraId="5930DE91" w14:textId="77777777" w:rsidR="00BD08F8" w:rsidRPr="00BD08F8" w:rsidRDefault="00BD08F8" w:rsidP="00BD08F8">
      <w:pPr>
        <w:ind w:left="720"/>
        <w:rPr>
          <w:rFonts w:asciiTheme="majorHAnsi" w:hAnsiTheme="majorHAnsi"/>
          <w:sz w:val="22"/>
        </w:rPr>
      </w:pPr>
      <w:r w:rsidRPr="00BD08F8">
        <w:rPr>
          <w:rFonts w:asciiTheme="majorHAnsi" w:hAnsiTheme="majorHAnsi"/>
          <w:sz w:val="22"/>
        </w:rPr>
        <w:t>ST NTIA-3: Barriers to entry for new participants? </w:t>
      </w:r>
    </w:p>
    <w:p w14:paraId="42D73425" w14:textId="77777777" w:rsidR="00BD08F8" w:rsidRPr="00BD08F8" w:rsidRDefault="00BD08F8" w:rsidP="00BD08F8">
      <w:pPr>
        <w:ind w:left="720"/>
        <w:rPr>
          <w:rFonts w:asciiTheme="majorHAnsi" w:hAnsiTheme="majorHAnsi"/>
          <w:sz w:val="22"/>
        </w:rPr>
      </w:pPr>
    </w:p>
    <w:p w14:paraId="54F8569E" w14:textId="77777777" w:rsidR="00BD08F8" w:rsidRPr="00BD08F8" w:rsidRDefault="00BD08F8" w:rsidP="00BD08F8">
      <w:pPr>
        <w:ind w:left="720"/>
        <w:rPr>
          <w:rFonts w:asciiTheme="majorHAnsi" w:hAnsiTheme="majorHAnsi"/>
          <w:sz w:val="22"/>
        </w:rPr>
      </w:pPr>
      <w:r w:rsidRPr="00BD08F8">
        <w:rPr>
          <w:rFonts w:asciiTheme="majorHAnsi" w:hAnsiTheme="majorHAnsi"/>
          <w:sz w:val="22"/>
        </w:rPr>
        <w:t>ST NTIA-4: Unintended consequences of “operationalizing” groups that to date have been advisory in nature (e.g. GAC)?</w:t>
      </w:r>
    </w:p>
    <w:p w14:paraId="0DB2C51A" w14:textId="77777777" w:rsidR="00A864FF" w:rsidRDefault="00A864FF">
      <w:pPr>
        <w:rPr>
          <w:rFonts w:asciiTheme="majorHAnsi" w:hAnsiTheme="majorHAnsi"/>
          <w:sz w:val="22"/>
        </w:rPr>
      </w:pPr>
    </w:p>
    <w:p w14:paraId="2C2DA516" w14:textId="1EEB5087" w:rsidR="000C1561" w:rsidRDefault="00A864FF">
      <w:pPr>
        <w:rPr>
          <w:rFonts w:asciiTheme="majorHAnsi" w:hAnsiTheme="majorHAnsi"/>
          <w:sz w:val="22"/>
        </w:rPr>
      </w:pPr>
      <w:r w:rsidRPr="00A864FF">
        <w:rPr>
          <w:rFonts w:asciiTheme="majorHAnsi" w:hAnsiTheme="majorHAnsi"/>
          <w:b/>
          <w:sz w:val="22"/>
        </w:rPr>
        <w:t>ICANN Legal/Board questions</w:t>
      </w:r>
      <w:r>
        <w:rPr>
          <w:rFonts w:asciiTheme="majorHAnsi" w:hAnsiTheme="majorHAnsi"/>
          <w:sz w:val="22"/>
        </w:rPr>
        <w:t xml:space="preserve">.  </w:t>
      </w:r>
      <w:r w:rsidR="000C1561">
        <w:rPr>
          <w:rFonts w:asciiTheme="majorHAnsi" w:hAnsiTheme="majorHAnsi"/>
          <w:sz w:val="22"/>
        </w:rPr>
        <w:t>There are many stress test items in the ICANN Legal/ICANN Board letter of 1</w:t>
      </w:r>
      <w:r w:rsidR="00602456">
        <w:rPr>
          <w:rFonts w:asciiTheme="majorHAnsi" w:hAnsiTheme="majorHAnsi"/>
          <w:sz w:val="22"/>
        </w:rPr>
        <w:t>9</w:t>
      </w:r>
      <w:r w:rsidR="000C1561">
        <w:rPr>
          <w:rFonts w:asciiTheme="majorHAnsi" w:hAnsiTheme="majorHAnsi"/>
          <w:sz w:val="22"/>
        </w:rPr>
        <w:t>-Jun</w:t>
      </w:r>
      <w:r w:rsidR="00602456">
        <w:rPr>
          <w:rFonts w:asciiTheme="majorHAnsi" w:hAnsiTheme="majorHAnsi"/>
          <w:sz w:val="22"/>
        </w:rPr>
        <w:t xml:space="preserve"> (</w:t>
      </w:r>
      <w:hyperlink r:id="rId10" w:history="1">
        <w:r w:rsidR="00602456" w:rsidRPr="00602456">
          <w:rPr>
            <w:rStyle w:val="Hyperlink"/>
            <w:rFonts w:asciiTheme="majorHAnsi" w:hAnsiTheme="majorHAnsi"/>
            <w:sz w:val="22"/>
          </w:rPr>
          <w:t>link</w:t>
        </w:r>
      </w:hyperlink>
      <w:r w:rsidR="00602456">
        <w:rPr>
          <w:rFonts w:asciiTheme="majorHAnsi" w:hAnsiTheme="majorHAnsi"/>
          <w:sz w:val="22"/>
        </w:rPr>
        <w:t>).   Have not yet had time to analyze.</w:t>
      </w:r>
    </w:p>
    <w:p w14:paraId="047CA202" w14:textId="77777777" w:rsidR="00602456" w:rsidRDefault="00602456">
      <w:pPr>
        <w:rPr>
          <w:rFonts w:asciiTheme="majorHAnsi" w:hAnsiTheme="majorHAnsi"/>
          <w:sz w:val="22"/>
        </w:rPr>
      </w:pPr>
    </w:p>
    <w:p w14:paraId="447D1BE4" w14:textId="77777777" w:rsidR="00A864FF" w:rsidRDefault="00A864FF">
      <w:pPr>
        <w:rPr>
          <w:rFonts w:asciiTheme="majorHAnsi" w:hAnsiTheme="majorHAnsi"/>
          <w:sz w:val="22"/>
        </w:rPr>
      </w:pPr>
    </w:p>
    <w:p w14:paraId="0EA3D34C" w14:textId="77777777" w:rsidR="00A864FF" w:rsidRDefault="00A864FF">
      <w:pPr>
        <w:rPr>
          <w:rFonts w:asciiTheme="majorHAnsi" w:hAnsiTheme="majorHAnsi"/>
          <w:sz w:val="22"/>
        </w:rPr>
      </w:pPr>
    </w:p>
    <w:p w14:paraId="1E19548F" w14:textId="77777777" w:rsidR="00BD08F8" w:rsidRDefault="00BD08F8">
      <w:pPr>
        <w:rPr>
          <w:rFonts w:asciiTheme="majorHAnsi" w:hAnsiTheme="majorHAnsi"/>
          <w:sz w:val="22"/>
        </w:rPr>
      </w:pPr>
    </w:p>
    <w:p w14:paraId="15DEF816" w14:textId="5D83B931" w:rsidR="00872A3F" w:rsidRDefault="00445F3E">
      <w:pPr>
        <w:rPr>
          <w:rFonts w:asciiTheme="majorHAnsi" w:hAnsiTheme="majorHAnsi"/>
          <w:sz w:val="22"/>
        </w:rPr>
      </w:pPr>
      <w:r>
        <w:rPr>
          <w:rFonts w:asciiTheme="majorHAnsi" w:hAnsiTheme="majorHAnsi"/>
          <w:sz w:val="22"/>
        </w:rPr>
        <w:t>Blank template</w:t>
      </w:r>
      <w:r w:rsidR="00602456">
        <w:rPr>
          <w:rFonts w:asciiTheme="majorHAnsi" w:hAnsiTheme="majorHAnsi"/>
          <w:sz w:val="22"/>
        </w:rPr>
        <w:t xml:space="preserve"> for Stress Tests</w:t>
      </w:r>
      <w:r>
        <w:rPr>
          <w:rFonts w:asciiTheme="majorHAnsi" w:hAnsiTheme="majorHAnsi"/>
          <w:sz w:val="22"/>
        </w:rPr>
        <w:t>:</w:t>
      </w:r>
    </w:p>
    <w:p w14:paraId="7DBBC0B7" w14:textId="77777777" w:rsidR="00564B4A" w:rsidRDefault="00564B4A">
      <w:pPr>
        <w:rPr>
          <w:rFonts w:asciiTheme="majorHAnsi" w:hAnsiTheme="majorHAnsi"/>
          <w:sz w:val="22"/>
        </w:rPr>
      </w:pPr>
    </w:p>
    <w:tbl>
      <w:tblPr>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564B4A" w14:paraId="32530FC2" w14:textId="77777777" w:rsidTr="00B47A0B">
        <w:trPr>
          <w:tblHeader/>
        </w:trPr>
        <w:tc>
          <w:tcPr>
            <w:tcW w:w="3258" w:type="dxa"/>
          </w:tcPr>
          <w:p w14:paraId="26DD2591" w14:textId="77777777" w:rsidR="00564B4A" w:rsidRDefault="00564B4A" w:rsidP="00B47A0B">
            <w:pPr>
              <w:pStyle w:val="Normal1"/>
            </w:pPr>
            <w:r>
              <w:rPr>
                <w:rFonts w:ascii="Calibri" w:eastAsia="Calibri" w:hAnsi="Calibri" w:cs="Calibri"/>
                <w:sz w:val="20"/>
              </w:rPr>
              <w:t>Stress Test</w:t>
            </w:r>
          </w:p>
        </w:tc>
        <w:tc>
          <w:tcPr>
            <w:tcW w:w="2970" w:type="dxa"/>
          </w:tcPr>
          <w:p w14:paraId="0CF6F389" w14:textId="77777777" w:rsidR="00564B4A" w:rsidRDefault="00564B4A" w:rsidP="00B47A0B">
            <w:pPr>
              <w:pStyle w:val="Normal1"/>
            </w:pPr>
            <w:r>
              <w:rPr>
                <w:rFonts w:ascii="Calibri" w:eastAsia="Calibri" w:hAnsi="Calibri" w:cs="Calibri"/>
                <w:sz w:val="20"/>
              </w:rPr>
              <w:t>Existing Accountability Measures</w:t>
            </w:r>
          </w:p>
        </w:tc>
        <w:tc>
          <w:tcPr>
            <w:tcW w:w="3924" w:type="dxa"/>
          </w:tcPr>
          <w:p w14:paraId="78E989A9" w14:textId="77777777" w:rsidR="00564B4A" w:rsidRDefault="00564B4A" w:rsidP="00B47A0B">
            <w:pPr>
              <w:pStyle w:val="Normal1"/>
            </w:pPr>
            <w:r>
              <w:rPr>
                <w:rFonts w:ascii="Calibri" w:eastAsia="Calibri" w:hAnsi="Calibri" w:cs="Calibri"/>
                <w:sz w:val="20"/>
              </w:rPr>
              <w:t>Proposed Accountability Measures</w:t>
            </w:r>
          </w:p>
        </w:tc>
      </w:tr>
      <w:tr w:rsidR="00564B4A" w14:paraId="4EB3742F" w14:textId="77777777" w:rsidTr="00B47A0B">
        <w:tc>
          <w:tcPr>
            <w:tcW w:w="3258" w:type="dxa"/>
          </w:tcPr>
          <w:p w14:paraId="37904697" w14:textId="4A0254B1" w:rsidR="00564B4A" w:rsidRDefault="00564B4A" w:rsidP="00B47A0B">
            <w:pPr>
              <w:pStyle w:val="Normal1"/>
            </w:pPr>
            <w:r>
              <w:rPr>
                <w:rFonts w:ascii="Calibri" w:eastAsia="Calibri" w:hAnsi="Calibri" w:cs="Calibri"/>
                <w:sz w:val="20"/>
              </w:rPr>
              <w:t xml:space="preserve"> </w:t>
            </w:r>
          </w:p>
          <w:p w14:paraId="34F0E2C7" w14:textId="77777777" w:rsidR="00564B4A" w:rsidRDefault="00564B4A" w:rsidP="00B47A0B">
            <w:pPr>
              <w:pStyle w:val="Normal1"/>
            </w:pPr>
            <w:r>
              <w:rPr>
                <w:rFonts w:ascii="Calibri" w:eastAsia="Calibri" w:hAnsi="Calibri" w:cs="Calibri"/>
                <w:sz w:val="20"/>
              </w:rPr>
              <w:t xml:space="preserve"> </w:t>
            </w:r>
          </w:p>
          <w:p w14:paraId="1838B08E" w14:textId="77777777" w:rsidR="00564B4A" w:rsidRDefault="00564B4A" w:rsidP="00B47A0B">
            <w:pPr>
              <w:pStyle w:val="Normal1"/>
            </w:pPr>
          </w:p>
          <w:p w14:paraId="48784BD7" w14:textId="77777777" w:rsidR="00564B4A" w:rsidRDefault="00564B4A" w:rsidP="00564B4A">
            <w:pPr>
              <w:pStyle w:val="Normal1"/>
              <w:rPr>
                <w:rFonts w:ascii="Calibri" w:eastAsia="Calibri" w:hAnsi="Calibri" w:cs="Calibri"/>
                <w:sz w:val="20"/>
              </w:rPr>
            </w:pPr>
            <w:r>
              <w:rPr>
                <w:rFonts w:ascii="Calibri" w:eastAsia="Calibri" w:hAnsi="Calibri" w:cs="Calibri"/>
                <w:sz w:val="20"/>
              </w:rPr>
              <w:t xml:space="preserve">Consequence: </w:t>
            </w:r>
          </w:p>
          <w:p w14:paraId="51D9FD45" w14:textId="77777777" w:rsidR="00445F3E" w:rsidRDefault="00445F3E" w:rsidP="00564B4A">
            <w:pPr>
              <w:pStyle w:val="Normal1"/>
            </w:pPr>
          </w:p>
        </w:tc>
        <w:tc>
          <w:tcPr>
            <w:tcW w:w="2970" w:type="dxa"/>
          </w:tcPr>
          <w:p w14:paraId="32D6170F" w14:textId="77777777" w:rsidR="00564B4A" w:rsidRDefault="00564B4A" w:rsidP="00B47A0B">
            <w:pPr>
              <w:pStyle w:val="Normal1"/>
            </w:pPr>
            <w:r>
              <w:rPr>
                <w:rFonts w:ascii="Calibri" w:eastAsia="Calibri" w:hAnsi="Calibri" w:cs="Calibri"/>
                <w:sz w:val="20"/>
              </w:rPr>
              <w:t xml:space="preserve"> </w:t>
            </w:r>
          </w:p>
        </w:tc>
        <w:tc>
          <w:tcPr>
            <w:tcW w:w="3924" w:type="dxa"/>
          </w:tcPr>
          <w:p w14:paraId="5A3F6FDE" w14:textId="77777777" w:rsidR="00564B4A" w:rsidRDefault="00564B4A" w:rsidP="00564B4A">
            <w:pPr>
              <w:pStyle w:val="Normal1"/>
            </w:pPr>
          </w:p>
        </w:tc>
      </w:tr>
      <w:tr w:rsidR="00564B4A" w14:paraId="6EA8CAC8" w14:textId="77777777" w:rsidTr="00B47A0B">
        <w:tc>
          <w:tcPr>
            <w:tcW w:w="3258" w:type="dxa"/>
          </w:tcPr>
          <w:p w14:paraId="557D156D" w14:textId="77777777" w:rsidR="00564B4A" w:rsidRDefault="00564B4A" w:rsidP="00B47A0B">
            <w:pPr>
              <w:pStyle w:val="Normal1"/>
            </w:pPr>
            <w:r>
              <w:rPr>
                <w:rFonts w:ascii="Calibri" w:eastAsia="Calibri" w:hAnsi="Calibri" w:cs="Calibri"/>
                <w:sz w:val="20"/>
              </w:rPr>
              <w:t>Conclusions:</w:t>
            </w:r>
          </w:p>
          <w:p w14:paraId="3AABD515" w14:textId="77777777" w:rsidR="00564B4A" w:rsidRDefault="00564B4A" w:rsidP="00B47A0B">
            <w:pPr>
              <w:pStyle w:val="Normal1"/>
              <w:rPr>
                <w:rFonts w:ascii="Calibri" w:eastAsia="Calibri" w:hAnsi="Calibri" w:cs="Calibri"/>
                <w:sz w:val="20"/>
              </w:rPr>
            </w:pPr>
            <w:r>
              <w:rPr>
                <w:rFonts w:ascii="Calibri" w:eastAsia="Calibri" w:hAnsi="Calibri" w:cs="Calibri"/>
                <w:sz w:val="20"/>
              </w:rPr>
              <w:t>This threat is not directly related to the transition of IANA stewardship</w:t>
            </w:r>
          </w:p>
        </w:tc>
        <w:tc>
          <w:tcPr>
            <w:tcW w:w="2970" w:type="dxa"/>
          </w:tcPr>
          <w:p w14:paraId="6D1A6257" w14:textId="77777777" w:rsidR="00564B4A" w:rsidRPr="00B90809" w:rsidRDefault="00564B4A" w:rsidP="00B47A0B">
            <w:pPr>
              <w:pStyle w:val="Normal1"/>
              <w:rPr>
                <w:sz w:val="20"/>
              </w:rPr>
            </w:pPr>
          </w:p>
          <w:p w14:paraId="283B8A09" w14:textId="113F3E6E" w:rsidR="00564B4A" w:rsidRDefault="00564B4A" w:rsidP="00445F3E">
            <w:pPr>
              <w:pStyle w:val="Normal1"/>
            </w:pPr>
            <w:r>
              <w:rPr>
                <w:rFonts w:ascii="Calibri" w:eastAsia="Calibri" w:hAnsi="Calibri" w:cs="Calibri"/>
                <w:sz w:val="20"/>
              </w:rPr>
              <w:t xml:space="preserve">Existing measures </w:t>
            </w:r>
          </w:p>
        </w:tc>
        <w:tc>
          <w:tcPr>
            <w:tcW w:w="3924" w:type="dxa"/>
          </w:tcPr>
          <w:p w14:paraId="0F2B3A70" w14:textId="77777777" w:rsidR="00564B4A" w:rsidRPr="00B90809" w:rsidRDefault="00564B4A" w:rsidP="00B47A0B">
            <w:pPr>
              <w:pStyle w:val="Normal1"/>
              <w:rPr>
                <w:sz w:val="20"/>
              </w:rPr>
            </w:pPr>
          </w:p>
          <w:p w14:paraId="086D92E3" w14:textId="424ABE6E" w:rsidR="00564B4A" w:rsidRDefault="00564B4A" w:rsidP="00445F3E">
            <w:pPr>
              <w:pStyle w:val="Normal1"/>
            </w:pPr>
            <w:r>
              <w:rPr>
                <w:rFonts w:ascii="Calibri" w:eastAsia="Calibri" w:hAnsi="Calibri" w:cs="Calibri"/>
                <w:sz w:val="20"/>
              </w:rPr>
              <w:t xml:space="preserve">Proposed measures </w:t>
            </w:r>
          </w:p>
        </w:tc>
      </w:tr>
    </w:tbl>
    <w:p w14:paraId="794E3E2D" w14:textId="77777777" w:rsidR="00564B4A" w:rsidRPr="00564B4A" w:rsidRDefault="00564B4A">
      <w:pPr>
        <w:rPr>
          <w:rFonts w:asciiTheme="majorHAnsi" w:hAnsiTheme="majorHAnsi"/>
          <w:sz w:val="22"/>
        </w:rPr>
      </w:pPr>
    </w:p>
    <w:sectPr w:rsidR="00564B4A" w:rsidRPr="00564B4A" w:rsidSect="000A0607">
      <w:footerReference w:type="even" r:id="rId11"/>
      <w:footerReference w:type="defaul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A92B" w14:textId="77777777" w:rsidR="00602456" w:rsidRDefault="00602456" w:rsidP="003841EB">
      <w:r>
        <w:separator/>
      </w:r>
    </w:p>
  </w:endnote>
  <w:endnote w:type="continuationSeparator" w:id="0">
    <w:p w14:paraId="4E54DF0C" w14:textId="77777777" w:rsidR="00602456" w:rsidRDefault="00602456" w:rsidP="0038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784F" w14:textId="77777777" w:rsidR="00602456" w:rsidRDefault="00602456" w:rsidP="00384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460AC" w14:textId="77777777" w:rsidR="00602456" w:rsidRDefault="00602456" w:rsidP="003841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50F87" w14:textId="77777777" w:rsidR="00602456" w:rsidRDefault="00602456" w:rsidP="00384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64FF">
      <w:rPr>
        <w:rStyle w:val="PageNumber"/>
        <w:noProof/>
      </w:rPr>
      <w:t>1</w:t>
    </w:r>
    <w:r>
      <w:rPr>
        <w:rStyle w:val="PageNumber"/>
      </w:rPr>
      <w:fldChar w:fldCharType="end"/>
    </w:r>
  </w:p>
  <w:p w14:paraId="38DA52BE" w14:textId="77777777" w:rsidR="00602456" w:rsidRDefault="00602456" w:rsidP="003841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687C6" w14:textId="77777777" w:rsidR="00602456" w:rsidRDefault="00602456" w:rsidP="003841EB">
      <w:r>
        <w:separator/>
      </w:r>
    </w:p>
  </w:footnote>
  <w:footnote w:type="continuationSeparator" w:id="0">
    <w:p w14:paraId="63530ED6" w14:textId="77777777" w:rsidR="00602456" w:rsidRDefault="00602456" w:rsidP="00384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4A"/>
    <w:rsid w:val="000A0607"/>
    <w:rsid w:val="000C1561"/>
    <w:rsid w:val="00125818"/>
    <w:rsid w:val="003451F0"/>
    <w:rsid w:val="003547C4"/>
    <w:rsid w:val="003841EB"/>
    <w:rsid w:val="00445F3E"/>
    <w:rsid w:val="00564B4A"/>
    <w:rsid w:val="00602456"/>
    <w:rsid w:val="006805A4"/>
    <w:rsid w:val="006F6D58"/>
    <w:rsid w:val="00784406"/>
    <w:rsid w:val="008014D9"/>
    <w:rsid w:val="00872A3F"/>
    <w:rsid w:val="0087695E"/>
    <w:rsid w:val="008D0708"/>
    <w:rsid w:val="00A864FF"/>
    <w:rsid w:val="00B47A0B"/>
    <w:rsid w:val="00BD08F8"/>
    <w:rsid w:val="00C70CC2"/>
    <w:rsid w:val="00CA2ACF"/>
    <w:rsid w:val="00D6609E"/>
    <w:rsid w:val="00E364E0"/>
    <w:rsid w:val="00EA1902"/>
    <w:rsid w:val="00EE4469"/>
    <w:rsid w:val="00F8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CDA5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4B4A"/>
    <w:rPr>
      <w:rFonts w:ascii="Times New Roman" w:eastAsia="Times New Roman" w:hAnsi="Times New Roman" w:cs="Times New Roman"/>
      <w:color w:val="000000"/>
      <w:szCs w:val="20"/>
    </w:rPr>
  </w:style>
  <w:style w:type="character" w:styleId="Hyperlink">
    <w:name w:val="Hyperlink"/>
    <w:basedOn w:val="DefaultParagraphFont"/>
    <w:uiPriority w:val="99"/>
    <w:unhideWhenUsed/>
    <w:rsid w:val="00BD08F8"/>
    <w:rPr>
      <w:color w:val="0000FF" w:themeColor="hyperlink"/>
      <w:u w:val="single"/>
    </w:rPr>
  </w:style>
  <w:style w:type="paragraph" w:styleId="ListParagraph">
    <w:name w:val="List Paragraph"/>
    <w:basedOn w:val="Normal"/>
    <w:uiPriority w:val="34"/>
    <w:qFormat/>
    <w:rsid w:val="00EA1902"/>
    <w:pPr>
      <w:ind w:left="720"/>
      <w:contextualSpacing/>
    </w:pPr>
  </w:style>
  <w:style w:type="paragraph" w:styleId="Footer">
    <w:name w:val="footer"/>
    <w:basedOn w:val="Normal"/>
    <w:link w:val="FooterChar"/>
    <w:uiPriority w:val="99"/>
    <w:unhideWhenUsed/>
    <w:rsid w:val="003841EB"/>
    <w:pPr>
      <w:tabs>
        <w:tab w:val="center" w:pos="4320"/>
        <w:tab w:val="right" w:pos="8640"/>
      </w:tabs>
    </w:pPr>
  </w:style>
  <w:style w:type="character" w:customStyle="1" w:styleId="FooterChar">
    <w:name w:val="Footer Char"/>
    <w:basedOn w:val="DefaultParagraphFont"/>
    <w:link w:val="Footer"/>
    <w:uiPriority w:val="99"/>
    <w:rsid w:val="003841EB"/>
  </w:style>
  <w:style w:type="character" w:styleId="PageNumber">
    <w:name w:val="page number"/>
    <w:basedOn w:val="DefaultParagraphFont"/>
    <w:uiPriority w:val="99"/>
    <w:semiHidden/>
    <w:unhideWhenUsed/>
    <w:rsid w:val="00384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4B4A"/>
    <w:rPr>
      <w:rFonts w:ascii="Times New Roman" w:eastAsia="Times New Roman" w:hAnsi="Times New Roman" w:cs="Times New Roman"/>
      <w:color w:val="000000"/>
      <w:szCs w:val="20"/>
    </w:rPr>
  </w:style>
  <w:style w:type="character" w:styleId="Hyperlink">
    <w:name w:val="Hyperlink"/>
    <w:basedOn w:val="DefaultParagraphFont"/>
    <w:uiPriority w:val="99"/>
    <w:unhideWhenUsed/>
    <w:rsid w:val="00BD08F8"/>
    <w:rPr>
      <w:color w:val="0000FF" w:themeColor="hyperlink"/>
      <w:u w:val="single"/>
    </w:rPr>
  </w:style>
  <w:style w:type="paragraph" w:styleId="ListParagraph">
    <w:name w:val="List Paragraph"/>
    <w:basedOn w:val="Normal"/>
    <w:uiPriority w:val="34"/>
    <w:qFormat/>
    <w:rsid w:val="00EA1902"/>
    <w:pPr>
      <w:ind w:left="720"/>
      <w:contextualSpacing/>
    </w:pPr>
  </w:style>
  <w:style w:type="paragraph" w:styleId="Footer">
    <w:name w:val="footer"/>
    <w:basedOn w:val="Normal"/>
    <w:link w:val="FooterChar"/>
    <w:uiPriority w:val="99"/>
    <w:unhideWhenUsed/>
    <w:rsid w:val="003841EB"/>
    <w:pPr>
      <w:tabs>
        <w:tab w:val="center" w:pos="4320"/>
        <w:tab w:val="right" w:pos="8640"/>
      </w:tabs>
    </w:pPr>
  </w:style>
  <w:style w:type="character" w:customStyle="1" w:styleId="FooterChar">
    <w:name w:val="Footer Char"/>
    <w:basedOn w:val="DefaultParagraphFont"/>
    <w:link w:val="Footer"/>
    <w:uiPriority w:val="99"/>
    <w:rsid w:val="003841EB"/>
  </w:style>
  <w:style w:type="character" w:styleId="PageNumber">
    <w:name w:val="page number"/>
    <w:basedOn w:val="DefaultParagraphFont"/>
    <w:uiPriority w:val="99"/>
    <w:semiHidden/>
    <w:unhideWhenUsed/>
    <w:rsid w:val="0038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ccwg-accountability-draft-proposal-04may15/msg00050.html" TargetMode="External"/><Relationship Id="rId9" Type="http://schemas.openxmlformats.org/officeDocument/2006/relationships/hyperlink" Target="http://www.ntia.doc.gov/blog/2015/stakeholder-proposals-come-together-icann-meeting-argentina" TargetMode="External"/><Relationship Id="rId10" Type="http://schemas.openxmlformats.org/officeDocument/2006/relationships/hyperlink" Target="http://mm.icann.org/pipermail/accountability-cross-community/attachments/20150619/1831ae72/ImplementationandImpactTestingQuestionsforCCWG-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880B-0300-094A-B5A0-BCA0EA3B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1836</Words>
  <Characters>10468</Characters>
  <Application>Microsoft Macintosh Word</Application>
  <DocSecurity>0</DocSecurity>
  <Lines>87</Lines>
  <Paragraphs>24</Paragraphs>
  <ScaleCrop>false</ScaleCrop>
  <Company>NetChoice</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cp:lastPrinted>2015-06-19T12:33:00Z</cp:lastPrinted>
  <dcterms:created xsi:type="dcterms:W3CDTF">2015-06-20T16:47:00Z</dcterms:created>
  <dcterms:modified xsi:type="dcterms:W3CDTF">2015-06-20T19:38:00Z</dcterms:modified>
</cp:coreProperties>
</file>