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237"/>
        <w:gridCol w:w="3237"/>
        <w:gridCol w:w="3238"/>
        <w:gridCol w:w="3238"/>
      </w:tblGrid>
      <w:tr w:rsidR="00C47E5E" w:rsidTr="000F53C7">
        <w:trPr>
          <w:tblHeader/>
        </w:trPr>
        <w:tc>
          <w:tcPr>
            <w:tcW w:w="3237" w:type="dxa"/>
            <w:shd w:val="clear" w:color="auto" w:fill="A5A5A5" w:themeFill="accent3"/>
          </w:tcPr>
          <w:p w:rsidR="00C47E5E" w:rsidRPr="00456D9B" w:rsidRDefault="00C47E5E">
            <w:pPr>
              <w:rPr>
                <w:b/>
              </w:rPr>
            </w:pPr>
            <w:r w:rsidRPr="00456D9B">
              <w:rPr>
                <w:b/>
              </w:rPr>
              <w:t>Board Response</w:t>
            </w:r>
            <w:r w:rsidR="00456D9B">
              <w:rPr>
                <w:b/>
              </w:rPr>
              <w:t xml:space="preserve"> (for full letter, please see </w:t>
            </w:r>
            <w:hyperlink r:id="rId7" w:history="1">
              <w:r w:rsidR="00356B19" w:rsidRPr="00356B19">
                <w:rPr>
                  <w:rStyle w:val="Hyperlink"/>
                  <w:b/>
                </w:rPr>
                <w:t>here</w:t>
              </w:r>
            </w:hyperlink>
            <w:r w:rsidR="00356B19">
              <w:rPr>
                <w:b/>
              </w:rPr>
              <w:t>)</w:t>
            </w:r>
          </w:p>
        </w:tc>
        <w:tc>
          <w:tcPr>
            <w:tcW w:w="3237" w:type="dxa"/>
            <w:shd w:val="clear" w:color="auto" w:fill="A5A5A5" w:themeFill="accent3"/>
          </w:tcPr>
          <w:p w:rsidR="00C47E5E" w:rsidRPr="00456D9B" w:rsidRDefault="00C47E5E">
            <w:pPr>
              <w:rPr>
                <w:b/>
              </w:rPr>
            </w:pPr>
            <w:r w:rsidRPr="00456D9B">
              <w:rPr>
                <w:b/>
              </w:rPr>
              <w:t>CCWG Current Position</w:t>
            </w:r>
          </w:p>
        </w:tc>
        <w:tc>
          <w:tcPr>
            <w:tcW w:w="3238" w:type="dxa"/>
            <w:shd w:val="clear" w:color="auto" w:fill="A5A5A5" w:themeFill="accent3"/>
          </w:tcPr>
          <w:p w:rsidR="00C47E5E" w:rsidRPr="00456D9B" w:rsidRDefault="000F53C7">
            <w:pPr>
              <w:rPr>
                <w:b/>
              </w:rPr>
            </w:pPr>
            <w:r>
              <w:rPr>
                <w:b/>
              </w:rPr>
              <w:t xml:space="preserve">CCWG </w:t>
            </w:r>
            <w:r w:rsidR="00C47E5E" w:rsidRPr="00456D9B">
              <w:rPr>
                <w:b/>
              </w:rPr>
              <w:t>Notes/</w:t>
            </w:r>
            <w:r>
              <w:rPr>
                <w:b/>
              </w:rPr>
              <w:t>D</w:t>
            </w:r>
            <w:bookmarkStart w:id="0" w:name="_GoBack"/>
            <w:bookmarkEnd w:id="0"/>
            <w:r w:rsidR="00C47E5E" w:rsidRPr="00456D9B">
              <w:rPr>
                <w:b/>
              </w:rPr>
              <w:t>iscussion</w:t>
            </w:r>
          </w:p>
        </w:tc>
        <w:tc>
          <w:tcPr>
            <w:tcW w:w="3238" w:type="dxa"/>
            <w:shd w:val="clear" w:color="auto" w:fill="A5A5A5" w:themeFill="accent3"/>
          </w:tcPr>
          <w:p w:rsidR="00C47E5E" w:rsidRPr="00456D9B" w:rsidRDefault="00456D9B">
            <w:pPr>
              <w:rPr>
                <w:b/>
              </w:rPr>
            </w:pPr>
            <w:r w:rsidRPr="00456D9B">
              <w:rPr>
                <w:b/>
              </w:rPr>
              <w:t>Proposed resolution</w:t>
            </w:r>
          </w:p>
        </w:tc>
      </w:tr>
      <w:tr w:rsidR="00C47E5E" w:rsidTr="00C47E5E">
        <w:tc>
          <w:tcPr>
            <w:tcW w:w="3237" w:type="dxa"/>
          </w:tcPr>
          <w:p w:rsidR="00456D9B" w:rsidRPr="00356B19" w:rsidRDefault="00456D9B" w:rsidP="00456D9B">
            <w:pPr>
              <w:autoSpaceDE w:val="0"/>
              <w:autoSpaceDN w:val="0"/>
              <w:adjustRightInd w:val="0"/>
              <w:rPr>
                <w:rFonts w:eastAsiaTheme="minorHAnsi" w:cstheme="minorHAnsi"/>
                <w:sz w:val="22"/>
                <w:szCs w:val="22"/>
              </w:rPr>
            </w:pPr>
            <w:r w:rsidRPr="00356B19">
              <w:rPr>
                <w:rFonts w:eastAsiaTheme="minorHAnsi" w:cstheme="minorHAnsi"/>
                <w:sz w:val="22"/>
                <w:szCs w:val="22"/>
              </w:rPr>
              <w:t>Regarding the Proposed Preamble as well as the Proposed Objectives, the Board has</w:t>
            </w:r>
          </w:p>
          <w:p w:rsidR="00456D9B" w:rsidRPr="00356B19" w:rsidRDefault="00456D9B" w:rsidP="00456D9B">
            <w:pPr>
              <w:autoSpaceDE w:val="0"/>
              <w:autoSpaceDN w:val="0"/>
              <w:adjustRightInd w:val="0"/>
              <w:rPr>
                <w:rFonts w:eastAsiaTheme="minorHAnsi" w:cstheme="minorHAnsi"/>
                <w:sz w:val="22"/>
                <w:szCs w:val="22"/>
              </w:rPr>
            </w:pPr>
            <w:r w:rsidRPr="00356B19">
              <w:rPr>
                <w:rFonts w:eastAsiaTheme="minorHAnsi" w:cstheme="minorHAnsi"/>
                <w:sz w:val="22"/>
                <w:szCs w:val="22"/>
              </w:rPr>
              <w:t>concerns about the potential focus on the concept of the “open and interoperable Internet,”</w:t>
            </w:r>
            <w:r w:rsidR="00356B19">
              <w:rPr>
                <w:rFonts w:eastAsiaTheme="minorHAnsi" w:cstheme="minorHAnsi"/>
                <w:sz w:val="22"/>
                <w:szCs w:val="22"/>
              </w:rPr>
              <w:t xml:space="preserve"> </w:t>
            </w:r>
            <w:r w:rsidRPr="00356B19">
              <w:rPr>
                <w:rFonts w:eastAsiaTheme="minorHAnsi" w:cstheme="minorHAnsi"/>
                <w:sz w:val="22"/>
                <w:szCs w:val="22"/>
              </w:rPr>
              <w:t>while not being clear on how the other guidelines laid out in the Preamble should be viewed</w:t>
            </w:r>
            <w:r w:rsidR="00356B19">
              <w:rPr>
                <w:rFonts w:eastAsiaTheme="minorHAnsi" w:cstheme="minorHAnsi"/>
                <w:sz w:val="22"/>
                <w:szCs w:val="22"/>
              </w:rPr>
              <w:t xml:space="preserve"> </w:t>
            </w:r>
            <w:r w:rsidRPr="00356B19">
              <w:rPr>
                <w:rFonts w:eastAsiaTheme="minorHAnsi" w:cstheme="minorHAnsi"/>
                <w:sz w:val="22"/>
                <w:szCs w:val="22"/>
              </w:rPr>
              <w:t>and how the concept is to be applied. The Preamble also creates potential inconsistencies</w:t>
            </w:r>
          </w:p>
          <w:p w:rsidR="00456D9B" w:rsidRPr="00356B19" w:rsidRDefault="00456D9B" w:rsidP="00456D9B">
            <w:pPr>
              <w:autoSpaceDE w:val="0"/>
              <w:autoSpaceDN w:val="0"/>
              <w:adjustRightInd w:val="0"/>
              <w:rPr>
                <w:rFonts w:eastAsiaTheme="minorHAnsi" w:cstheme="minorHAnsi"/>
                <w:sz w:val="22"/>
                <w:szCs w:val="22"/>
              </w:rPr>
            </w:pPr>
            <w:r w:rsidRPr="00356B19">
              <w:rPr>
                <w:rFonts w:eastAsiaTheme="minorHAnsi" w:cstheme="minorHAnsi"/>
                <w:sz w:val="22"/>
                <w:szCs w:val="22"/>
              </w:rPr>
              <w:t>with the Objectives and ICANN’s mission. Because of these potential inconsistencies, there</w:t>
            </w:r>
          </w:p>
          <w:p w:rsidR="00C47E5E" w:rsidRDefault="00456D9B" w:rsidP="00356B19">
            <w:pPr>
              <w:autoSpaceDE w:val="0"/>
              <w:autoSpaceDN w:val="0"/>
              <w:adjustRightInd w:val="0"/>
            </w:pPr>
            <w:r w:rsidRPr="00356B19">
              <w:rPr>
                <w:rFonts w:eastAsiaTheme="minorHAnsi" w:cstheme="minorHAnsi"/>
                <w:sz w:val="22"/>
                <w:szCs w:val="22"/>
              </w:rPr>
              <w:t xml:space="preserve">is the possibility that the Preamble presents more questions than it </w:t>
            </w:r>
            <w:proofErr w:type="gramStart"/>
            <w:r w:rsidRPr="00356B19">
              <w:rPr>
                <w:rFonts w:eastAsiaTheme="minorHAnsi" w:cstheme="minorHAnsi"/>
                <w:sz w:val="22"/>
                <w:szCs w:val="22"/>
              </w:rPr>
              <w:t>answers, and</w:t>
            </w:r>
            <w:proofErr w:type="gramEnd"/>
            <w:r w:rsidRPr="00356B19">
              <w:rPr>
                <w:rFonts w:eastAsiaTheme="minorHAnsi" w:cstheme="minorHAnsi"/>
                <w:sz w:val="22"/>
                <w:szCs w:val="22"/>
              </w:rPr>
              <w:t xml:space="preserve"> could result</w:t>
            </w:r>
            <w:r w:rsidR="00356B19">
              <w:rPr>
                <w:rFonts w:eastAsiaTheme="minorHAnsi" w:cstheme="minorHAnsi"/>
                <w:sz w:val="22"/>
                <w:szCs w:val="22"/>
              </w:rPr>
              <w:t xml:space="preserve"> </w:t>
            </w:r>
            <w:r w:rsidRPr="00356B19">
              <w:rPr>
                <w:rFonts w:eastAsiaTheme="minorHAnsi" w:cstheme="minorHAnsi"/>
                <w:sz w:val="22"/>
                <w:szCs w:val="22"/>
              </w:rPr>
              <w:t>in confusion during the application and selection phase, ultimately resulting in challenges</w:t>
            </w:r>
            <w:r w:rsidR="00356B19">
              <w:rPr>
                <w:rFonts w:eastAsiaTheme="minorHAnsi" w:cstheme="minorHAnsi"/>
                <w:sz w:val="22"/>
                <w:szCs w:val="22"/>
              </w:rPr>
              <w:t xml:space="preserve"> </w:t>
            </w:r>
            <w:r w:rsidRPr="00356B19">
              <w:rPr>
                <w:rFonts w:eastAsiaTheme="minorHAnsi" w:cstheme="minorHAnsi"/>
                <w:sz w:val="22"/>
                <w:szCs w:val="22"/>
              </w:rPr>
              <w:t>against selection process. Anything that reduces potential vagueness and inconsistency</w:t>
            </w:r>
            <w:r w:rsidR="00356B19">
              <w:rPr>
                <w:rFonts w:eastAsiaTheme="minorHAnsi" w:cstheme="minorHAnsi"/>
                <w:sz w:val="22"/>
                <w:szCs w:val="22"/>
              </w:rPr>
              <w:t xml:space="preserve"> </w:t>
            </w:r>
            <w:r w:rsidRPr="00356B19">
              <w:rPr>
                <w:rFonts w:eastAsiaTheme="minorHAnsi" w:cstheme="minorHAnsi"/>
                <w:sz w:val="22"/>
                <w:szCs w:val="22"/>
              </w:rPr>
              <w:t>should be done, and we are happy to help as desired.</w:t>
            </w:r>
          </w:p>
        </w:tc>
        <w:tc>
          <w:tcPr>
            <w:tcW w:w="3237" w:type="dxa"/>
          </w:tcPr>
          <w:p w:rsidR="00C47E5E" w:rsidRDefault="00380005" w:rsidP="00380005">
            <w:pPr>
              <w:autoSpaceDE w:val="0"/>
              <w:autoSpaceDN w:val="0"/>
              <w:adjustRightInd w:val="0"/>
            </w:pPr>
            <w:r w:rsidRPr="00380005">
              <w:rPr>
                <w:rFonts w:eastAsiaTheme="minorHAnsi" w:cstheme="minorHAnsi"/>
                <w:sz w:val="22"/>
                <w:szCs w:val="22"/>
              </w:rPr>
              <w:t>T</w:t>
            </w:r>
            <w:r w:rsidRPr="00380005">
              <w:rPr>
                <w:rFonts w:eastAsiaTheme="minorHAnsi" w:cstheme="minorHAnsi"/>
                <w:sz w:val="22"/>
                <w:szCs w:val="22"/>
              </w:rPr>
              <w:t xml:space="preserve">he objective of </w:t>
            </w:r>
            <w:r w:rsidRPr="00380005">
              <w:rPr>
                <w:rFonts w:eastAsiaTheme="minorHAnsi" w:cstheme="minorHAnsi"/>
                <w:sz w:val="22"/>
                <w:szCs w:val="22"/>
              </w:rPr>
              <w:t xml:space="preserve">the Preamble </w:t>
            </w:r>
            <w:r w:rsidRPr="00380005">
              <w:rPr>
                <w:rFonts w:eastAsiaTheme="minorHAnsi" w:cstheme="minorHAnsi"/>
                <w:sz w:val="22"/>
                <w:szCs w:val="22"/>
              </w:rPr>
              <w:t>is to offer overarching guidance for the review and selection of projects to which auction proceeds from the ICANN new gTLD program may be allocated.</w:t>
            </w:r>
          </w:p>
        </w:tc>
        <w:tc>
          <w:tcPr>
            <w:tcW w:w="3238" w:type="dxa"/>
          </w:tcPr>
          <w:p w:rsidR="00C47E5E" w:rsidRDefault="00C47E5E"/>
        </w:tc>
        <w:tc>
          <w:tcPr>
            <w:tcW w:w="3238" w:type="dxa"/>
          </w:tcPr>
          <w:p w:rsidR="00C47E5E" w:rsidRDefault="00C47E5E"/>
        </w:tc>
      </w:tr>
      <w:tr w:rsidR="00C47E5E" w:rsidTr="00C47E5E">
        <w:tc>
          <w:tcPr>
            <w:tcW w:w="3237" w:type="dxa"/>
          </w:tcPr>
          <w:p w:rsidR="00356B19" w:rsidRPr="00356B19" w:rsidRDefault="00356B19" w:rsidP="004A677C">
            <w:pPr>
              <w:autoSpaceDE w:val="0"/>
              <w:autoSpaceDN w:val="0"/>
              <w:adjustRightInd w:val="0"/>
              <w:rPr>
                <w:rFonts w:eastAsiaTheme="minorHAnsi" w:cstheme="minorHAnsi"/>
                <w:sz w:val="22"/>
                <w:szCs w:val="22"/>
              </w:rPr>
            </w:pPr>
            <w:r w:rsidRPr="004A677C">
              <w:rPr>
                <w:rFonts w:eastAsiaTheme="minorHAnsi" w:cstheme="minorHAnsi"/>
                <w:sz w:val="22"/>
                <w:szCs w:val="22"/>
              </w:rPr>
              <w:t>Some examples of areas of vagueness or inconsistency between and among the Preamble</w:t>
            </w:r>
            <w:r w:rsidR="004A677C">
              <w:rPr>
                <w:rFonts w:eastAsiaTheme="minorHAnsi" w:cstheme="minorHAnsi"/>
                <w:sz w:val="22"/>
                <w:szCs w:val="22"/>
              </w:rPr>
              <w:t xml:space="preserve"> </w:t>
            </w:r>
            <w:r w:rsidRPr="00356B19">
              <w:rPr>
                <w:rFonts w:eastAsiaTheme="minorHAnsi" w:cstheme="minorHAnsi"/>
                <w:sz w:val="22"/>
                <w:szCs w:val="22"/>
              </w:rPr>
              <w:t>and Objectives include:</w:t>
            </w:r>
          </w:p>
          <w:p w:rsidR="00356B19" w:rsidRDefault="00356B19" w:rsidP="00E32B99">
            <w:pPr>
              <w:pStyle w:val="ListParagraph"/>
              <w:numPr>
                <w:ilvl w:val="0"/>
                <w:numId w:val="1"/>
              </w:numPr>
              <w:autoSpaceDE w:val="0"/>
              <w:autoSpaceDN w:val="0"/>
              <w:adjustRightInd w:val="0"/>
              <w:rPr>
                <w:rFonts w:eastAsiaTheme="minorHAnsi" w:cstheme="minorHAnsi"/>
                <w:sz w:val="22"/>
                <w:szCs w:val="22"/>
              </w:rPr>
            </w:pPr>
            <w:r w:rsidRPr="00356B19">
              <w:rPr>
                <w:rFonts w:eastAsiaTheme="minorHAnsi" w:cstheme="minorHAnsi"/>
                <w:sz w:val="22"/>
                <w:szCs w:val="22"/>
              </w:rPr>
              <w:lastRenderedPageBreak/>
              <w:t>Is “benefit[</w:t>
            </w:r>
            <w:proofErr w:type="spellStart"/>
            <w:r w:rsidRPr="00356B19">
              <w:rPr>
                <w:rFonts w:eastAsiaTheme="minorHAnsi" w:cstheme="minorHAnsi"/>
                <w:sz w:val="22"/>
                <w:szCs w:val="22"/>
              </w:rPr>
              <w:t>ing</w:t>
            </w:r>
            <w:proofErr w:type="spellEnd"/>
            <w:r w:rsidRPr="00356B19">
              <w:rPr>
                <w:rFonts w:eastAsiaTheme="minorHAnsi" w:cstheme="minorHAnsi"/>
                <w:sz w:val="22"/>
                <w:szCs w:val="22"/>
              </w:rPr>
              <w:t>] the open an interoperable Internet” to be considered only through the</w:t>
            </w:r>
            <w:r>
              <w:rPr>
                <w:rFonts w:eastAsiaTheme="minorHAnsi" w:cstheme="minorHAnsi"/>
                <w:sz w:val="22"/>
                <w:szCs w:val="22"/>
              </w:rPr>
              <w:t xml:space="preserve"> </w:t>
            </w:r>
            <w:r w:rsidRPr="00356B19">
              <w:rPr>
                <w:rFonts w:eastAsiaTheme="minorHAnsi" w:cstheme="minorHAnsi"/>
                <w:sz w:val="22"/>
                <w:szCs w:val="22"/>
              </w:rPr>
              <w:t>lens of whether there is a “</w:t>
            </w:r>
            <w:proofErr w:type="spellStart"/>
            <w:proofErr w:type="gramStart"/>
            <w:r w:rsidRPr="00356B19">
              <w:rPr>
                <w:rFonts w:eastAsiaTheme="minorHAnsi" w:cstheme="minorHAnsi"/>
                <w:sz w:val="22"/>
                <w:szCs w:val="22"/>
              </w:rPr>
              <w:t>creat</w:t>
            </w:r>
            <w:proofErr w:type="spellEnd"/>
            <w:r w:rsidRPr="00356B19">
              <w:rPr>
                <w:rFonts w:eastAsiaTheme="minorHAnsi" w:cstheme="minorHAnsi"/>
                <w:sz w:val="22"/>
                <w:szCs w:val="22"/>
              </w:rPr>
              <w:t>[</w:t>
            </w:r>
            <w:proofErr w:type="gramEnd"/>
            <w:r w:rsidRPr="00356B19">
              <w:rPr>
                <w:rFonts w:eastAsiaTheme="minorHAnsi" w:cstheme="minorHAnsi"/>
                <w:sz w:val="22"/>
                <w:szCs w:val="22"/>
              </w:rPr>
              <w:t>ion of] social and economic values . . . that will</w:t>
            </w:r>
            <w:r>
              <w:rPr>
                <w:rFonts w:eastAsiaTheme="minorHAnsi" w:cstheme="minorHAnsi"/>
                <w:sz w:val="22"/>
                <w:szCs w:val="22"/>
              </w:rPr>
              <w:t xml:space="preserve"> </w:t>
            </w:r>
            <w:r w:rsidRPr="00356B19">
              <w:rPr>
                <w:rFonts w:eastAsiaTheme="minorHAnsi" w:cstheme="minorHAnsi"/>
                <w:sz w:val="22"/>
                <w:szCs w:val="22"/>
              </w:rPr>
              <w:t>create benefits for the Internet community.”?</w:t>
            </w:r>
          </w:p>
          <w:p w:rsidR="00C47E5E" w:rsidRDefault="00356B19" w:rsidP="00E32B99">
            <w:pPr>
              <w:pStyle w:val="ListParagraph"/>
              <w:numPr>
                <w:ilvl w:val="0"/>
                <w:numId w:val="1"/>
              </w:numPr>
              <w:autoSpaceDE w:val="0"/>
              <w:autoSpaceDN w:val="0"/>
              <w:adjustRightInd w:val="0"/>
              <w:rPr>
                <w:rFonts w:eastAsiaTheme="minorHAnsi" w:cstheme="minorHAnsi"/>
                <w:sz w:val="22"/>
                <w:szCs w:val="22"/>
              </w:rPr>
            </w:pPr>
            <w:r w:rsidRPr="00356B19">
              <w:rPr>
                <w:rFonts w:eastAsiaTheme="minorHAnsi" w:cstheme="minorHAnsi"/>
                <w:sz w:val="22"/>
                <w:szCs w:val="22"/>
              </w:rPr>
              <w:t>Is there a test that something serves the “open and in</w:t>
            </w:r>
            <w:r w:rsidRPr="00356B19">
              <w:rPr>
                <w:rFonts w:eastAsiaTheme="minorHAnsi" w:cstheme="minorHAnsi"/>
                <w:sz w:val="22"/>
                <w:szCs w:val="22"/>
              </w:rPr>
              <w:t xml:space="preserve">teroperable Internet” only if it </w:t>
            </w:r>
            <w:r w:rsidRPr="00356B19">
              <w:rPr>
                <w:rFonts w:eastAsiaTheme="minorHAnsi" w:cstheme="minorHAnsi"/>
                <w:sz w:val="22"/>
                <w:szCs w:val="22"/>
              </w:rPr>
              <w:t>provides “opportunities [] to participate, innovate and compete without impediments”?</w:t>
            </w:r>
            <w:r w:rsidRPr="00356B19">
              <w:rPr>
                <w:rFonts w:eastAsiaTheme="minorHAnsi" w:cstheme="minorHAnsi"/>
                <w:sz w:val="22"/>
                <w:szCs w:val="22"/>
              </w:rPr>
              <w:t xml:space="preserve"> </w:t>
            </w:r>
            <w:r w:rsidRPr="00356B19">
              <w:rPr>
                <w:rFonts w:eastAsiaTheme="minorHAnsi" w:cstheme="minorHAnsi"/>
                <w:sz w:val="22"/>
                <w:szCs w:val="22"/>
              </w:rPr>
              <w:t>How is “</w:t>
            </w:r>
            <w:proofErr w:type="spellStart"/>
            <w:r w:rsidRPr="00356B19">
              <w:rPr>
                <w:rFonts w:eastAsiaTheme="minorHAnsi" w:cstheme="minorHAnsi"/>
                <w:sz w:val="22"/>
                <w:szCs w:val="22"/>
              </w:rPr>
              <w:t>compet</w:t>
            </w:r>
            <w:proofErr w:type="spellEnd"/>
            <w:r w:rsidRPr="00356B19">
              <w:rPr>
                <w:rFonts w:eastAsiaTheme="minorHAnsi" w:cstheme="minorHAnsi"/>
                <w:sz w:val="22"/>
                <w:szCs w:val="22"/>
              </w:rPr>
              <w:t>[</w:t>
            </w:r>
            <w:proofErr w:type="spellStart"/>
            <w:r w:rsidRPr="00356B19">
              <w:rPr>
                <w:rFonts w:eastAsiaTheme="minorHAnsi" w:cstheme="minorHAnsi"/>
                <w:sz w:val="22"/>
                <w:szCs w:val="22"/>
              </w:rPr>
              <w:t>ition</w:t>
            </w:r>
            <w:proofErr w:type="spellEnd"/>
            <w:r w:rsidRPr="00356B19">
              <w:rPr>
                <w:rFonts w:eastAsiaTheme="minorHAnsi" w:cstheme="minorHAnsi"/>
                <w:sz w:val="22"/>
                <w:szCs w:val="22"/>
              </w:rPr>
              <w:t>] without impediments” to be considered when the Bylaws state</w:t>
            </w:r>
            <w:r w:rsidRPr="00356B19">
              <w:rPr>
                <w:rFonts w:eastAsiaTheme="minorHAnsi" w:cstheme="minorHAnsi"/>
                <w:sz w:val="22"/>
                <w:szCs w:val="22"/>
              </w:rPr>
              <w:t xml:space="preserve"> </w:t>
            </w:r>
            <w:r w:rsidRPr="00356B19">
              <w:rPr>
                <w:rFonts w:eastAsiaTheme="minorHAnsi" w:cstheme="minorHAnsi"/>
                <w:sz w:val="22"/>
                <w:szCs w:val="22"/>
              </w:rPr>
              <w:t>that one of ICANN’s core values is “[</w:t>
            </w:r>
            <w:proofErr w:type="spellStart"/>
            <w:r w:rsidRPr="00356B19">
              <w:rPr>
                <w:rFonts w:eastAsiaTheme="minorHAnsi" w:cstheme="minorHAnsi"/>
                <w:sz w:val="22"/>
                <w:szCs w:val="22"/>
              </w:rPr>
              <w:t>i</w:t>
            </w:r>
            <w:proofErr w:type="spellEnd"/>
            <w:r w:rsidRPr="00356B19">
              <w:rPr>
                <w:rFonts w:eastAsiaTheme="minorHAnsi" w:cstheme="minorHAnsi"/>
                <w:sz w:val="22"/>
                <w:szCs w:val="22"/>
              </w:rPr>
              <w:t>]</w:t>
            </w:r>
            <w:proofErr w:type="spellStart"/>
            <w:r w:rsidRPr="00356B19">
              <w:rPr>
                <w:rFonts w:eastAsiaTheme="minorHAnsi" w:cstheme="minorHAnsi"/>
                <w:sz w:val="22"/>
                <w:szCs w:val="22"/>
              </w:rPr>
              <w:t>ntroducing</w:t>
            </w:r>
            <w:proofErr w:type="spellEnd"/>
            <w:r w:rsidRPr="00356B19">
              <w:rPr>
                <w:rFonts w:eastAsiaTheme="minorHAnsi" w:cstheme="minorHAnsi"/>
                <w:sz w:val="22"/>
                <w:szCs w:val="22"/>
              </w:rPr>
              <w:t xml:space="preserve"> and promoting competition in the</w:t>
            </w:r>
            <w:r w:rsidRPr="00356B19">
              <w:rPr>
                <w:rFonts w:eastAsiaTheme="minorHAnsi" w:cstheme="minorHAnsi"/>
                <w:sz w:val="22"/>
                <w:szCs w:val="22"/>
              </w:rPr>
              <w:t xml:space="preserve"> </w:t>
            </w:r>
            <w:r w:rsidRPr="00356B19">
              <w:rPr>
                <w:rFonts w:eastAsiaTheme="minorHAnsi" w:cstheme="minorHAnsi"/>
                <w:sz w:val="22"/>
                <w:szCs w:val="22"/>
              </w:rPr>
              <w:t>registration of domain names where practicable and beneficial to the public interest</w:t>
            </w:r>
            <w:r>
              <w:rPr>
                <w:rFonts w:eastAsiaTheme="minorHAnsi" w:cstheme="minorHAnsi"/>
                <w:sz w:val="22"/>
                <w:szCs w:val="22"/>
              </w:rPr>
              <w:t xml:space="preserve"> </w:t>
            </w:r>
            <w:r w:rsidRPr="00356B19">
              <w:rPr>
                <w:rFonts w:eastAsiaTheme="minorHAnsi" w:cstheme="minorHAnsi"/>
                <w:sz w:val="22"/>
                <w:szCs w:val="22"/>
              </w:rPr>
              <w:t xml:space="preserve">as identified through the bottom-up, </w:t>
            </w:r>
            <w:proofErr w:type="spellStart"/>
            <w:r w:rsidRPr="00356B19">
              <w:rPr>
                <w:rFonts w:eastAsiaTheme="minorHAnsi" w:cstheme="minorHAnsi"/>
                <w:sz w:val="22"/>
                <w:szCs w:val="22"/>
              </w:rPr>
              <w:t>multistakeholder</w:t>
            </w:r>
            <w:proofErr w:type="spellEnd"/>
            <w:r w:rsidRPr="00356B19">
              <w:rPr>
                <w:rFonts w:eastAsiaTheme="minorHAnsi" w:cstheme="minorHAnsi"/>
                <w:sz w:val="22"/>
                <w:szCs w:val="22"/>
              </w:rPr>
              <w:t xml:space="preserve"> policy development process”?</w:t>
            </w:r>
            <w:r>
              <w:rPr>
                <w:rFonts w:eastAsiaTheme="minorHAnsi" w:cstheme="minorHAnsi"/>
                <w:sz w:val="22"/>
                <w:szCs w:val="22"/>
              </w:rPr>
              <w:t xml:space="preserve"> </w:t>
            </w:r>
            <w:r w:rsidRPr="00356B19">
              <w:rPr>
                <w:rFonts w:eastAsiaTheme="minorHAnsi" w:cstheme="minorHAnsi"/>
                <w:sz w:val="22"/>
                <w:szCs w:val="22"/>
              </w:rPr>
              <w:t xml:space="preserve">Is </w:t>
            </w:r>
            <w:r w:rsidRPr="00356B19">
              <w:rPr>
                <w:rFonts w:eastAsiaTheme="minorHAnsi" w:cstheme="minorHAnsi"/>
                <w:sz w:val="22"/>
                <w:szCs w:val="22"/>
              </w:rPr>
              <w:lastRenderedPageBreak/>
              <w:t>this inserting a new test for how ICANN would enhance and promote competition?</w:t>
            </w:r>
          </w:p>
          <w:p w:rsidR="00E32B99" w:rsidRPr="00E32B99" w:rsidRDefault="00E32B99" w:rsidP="00E32B99">
            <w:pPr>
              <w:pStyle w:val="ListParagraph"/>
              <w:numPr>
                <w:ilvl w:val="0"/>
                <w:numId w:val="1"/>
              </w:numPr>
              <w:autoSpaceDE w:val="0"/>
              <w:autoSpaceDN w:val="0"/>
              <w:adjustRightInd w:val="0"/>
              <w:rPr>
                <w:rFonts w:eastAsiaTheme="minorHAnsi" w:cstheme="minorHAnsi"/>
                <w:sz w:val="22"/>
                <w:szCs w:val="22"/>
              </w:rPr>
            </w:pPr>
            <w:r w:rsidRPr="00E32B99">
              <w:rPr>
                <w:rFonts w:eastAsiaTheme="minorHAnsi" w:cstheme="minorHAnsi"/>
                <w:sz w:val="22"/>
                <w:szCs w:val="22"/>
              </w:rPr>
              <w:t>Must all of the qualifiers placed into the guideline that selected applications “support</w:t>
            </w:r>
            <w:r w:rsidRPr="00E32B99">
              <w:rPr>
                <w:rFonts w:eastAsiaTheme="minorHAnsi" w:cstheme="minorHAnsi"/>
                <w:sz w:val="22"/>
                <w:szCs w:val="22"/>
              </w:rPr>
              <w:t xml:space="preserve"> </w:t>
            </w:r>
            <w:r w:rsidRPr="00E32B99">
              <w:rPr>
                <w:rFonts w:eastAsiaTheme="minorHAnsi" w:cstheme="minorHAnsi"/>
                <w:sz w:val="22"/>
                <w:szCs w:val="22"/>
              </w:rPr>
              <w:t>an Internet that is stable, scalable, agile, secure, sustainable and ultimately equitably</w:t>
            </w:r>
            <w:r w:rsidRPr="00E32B99">
              <w:rPr>
                <w:rFonts w:eastAsiaTheme="minorHAnsi" w:cstheme="minorHAnsi"/>
                <w:sz w:val="22"/>
                <w:szCs w:val="22"/>
              </w:rPr>
              <w:t xml:space="preserve"> </w:t>
            </w:r>
            <w:r w:rsidRPr="00E32B99">
              <w:rPr>
                <w:rFonts w:eastAsiaTheme="minorHAnsi" w:cstheme="minorHAnsi"/>
                <w:sz w:val="22"/>
                <w:szCs w:val="22"/>
              </w:rPr>
              <w:t>supports open access, future oriented developments, innovation and open standards,</w:t>
            </w:r>
            <w:r>
              <w:rPr>
                <w:rFonts w:eastAsiaTheme="minorHAnsi" w:cstheme="minorHAnsi"/>
                <w:sz w:val="22"/>
                <w:szCs w:val="22"/>
              </w:rPr>
              <w:t xml:space="preserve"> </w:t>
            </w:r>
            <w:r w:rsidRPr="00E32B99">
              <w:rPr>
                <w:rFonts w:eastAsiaTheme="minorHAnsi" w:cstheme="minorHAnsi"/>
                <w:sz w:val="22"/>
                <w:szCs w:val="22"/>
              </w:rPr>
              <w:t>for the benefit of the Internet</w:t>
            </w:r>
            <w:r>
              <w:rPr>
                <w:rFonts w:eastAsiaTheme="minorHAnsi" w:cstheme="minorHAnsi"/>
                <w:sz w:val="22"/>
                <w:szCs w:val="22"/>
              </w:rPr>
              <w:t xml:space="preserve"> </w:t>
            </w:r>
            <w:r w:rsidRPr="00E32B99">
              <w:rPr>
                <w:rFonts w:eastAsiaTheme="minorHAnsi" w:cstheme="minorHAnsi"/>
                <w:sz w:val="22"/>
                <w:szCs w:val="22"/>
              </w:rPr>
              <w:t>community” be met for each application?</w:t>
            </w:r>
          </w:p>
          <w:p w:rsidR="00E32B99" w:rsidRPr="00E32B99" w:rsidRDefault="00E32B99" w:rsidP="00E32B99">
            <w:pPr>
              <w:pStyle w:val="ListParagraph"/>
              <w:numPr>
                <w:ilvl w:val="0"/>
                <w:numId w:val="1"/>
              </w:numPr>
              <w:autoSpaceDE w:val="0"/>
              <w:autoSpaceDN w:val="0"/>
              <w:adjustRightInd w:val="0"/>
              <w:rPr>
                <w:rFonts w:eastAsiaTheme="minorHAnsi" w:cstheme="minorHAnsi"/>
                <w:sz w:val="22"/>
                <w:szCs w:val="22"/>
              </w:rPr>
            </w:pPr>
            <w:r w:rsidRPr="00E32B99">
              <w:rPr>
                <w:rFonts w:eastAsiaTheme="minorHAnsi" w:cstheme="minorHAnsi"/>
                <w:sz w:val="22"/>
                <w:szCs w:val="22"/>
              </w:rPr>
              <w:t>What is the intention of the guideline “Consistent with ICANN’s community activities</w:t>
            </w:r>
          </w:p>
          <w:p w:rsidR="00E32B99" w:rsidRPr="00E32B99" w:rsidRDefault="00E32B99" w:rsidP="00E32B99">
            <w:pPr>
              <w:pStyle w:val="ListParagraph"/>
              <w:autoSpaceDE w:val="0"/>
              <w:autoSpaceDN w:val="0"/>
              <w:adjustRightInd w:val="0"/>
              <w:ind w:left="360"/>
              <w:rPr>
                <w:rFonts w:eastAsiaTheme="minorHAnsi" w:cstheme="minorHAnsi"/>
                <w:sz w:val="22"/>
                <w:szCs w:val="22"/>
              </w:rPr>
            </w:pPr>
            <w:r w:rsidRPr="00E32B99">
              <w:rPr>
                <w:rFonts w:eastAsiaTheme="minorHAnsi" w:cstheme="minorHAnsi"/>
                <w:sz w:val="22"/>
                <w:szCs w:val="22"/>
              </w:rPr>
              <w:t>and consensus-building processes”? Does the application need to support activities</w:t>
            </w:r>
            <w:r>
              <w:rPr>
                <w:rFonts w:eastAsiaTheme="minorHAnsi" w:cstheme="minorHAnsi"/>
                <w:sz w:val="22"/>
                <w:szCs w:val="22"/>
              </w:rPr>
              <w:t xml:space="preserve"> </w:t>
            </w:r>
            <w:r w:rsidRPr="00E32B99">
              <w:rPr>
                <w:rFonts w:eastAsiaTheme="minorHAnsi" w:cstheme="minorHAnsi"/>
                <w:sz w:val="22"/>
                <w:szCs w:val="22"/>
              </w:rPr>
              <w:t>that are “consistent”? How is this determined?</w:t>
            </w:r>
          </w:p>
          <w:p w:rsidR="00E32B99" w:rsidRPr="00E32B99" w:rsidRDefault="00E32B99" w:rsidP="00E32B99">
            <w:pPr>
              <w:pStyle w:val="ListParagraph"/>
              <w:numPr>
                <w:ilvl w:val="0"/>
                <w:numId w:val="1"/>
              </w:numPr>
              <w:autoSpaceDE w:val="0"/>
              <w:autoSpaceDN w:val="0"/>
              <w:adjustRightInd w:val="0"/>
              <w:rPr>
                <w:rFonts w:eastAsiaTheme="minorHAnsi" w:cstheme="minorHAnsi"/>
                <w:sz w:val="22"/>
                <w:szCs w:val="22"/>
              </w:rPr>
            </w:pPr>
            <w:r w:rsidRPr="00E32B99">
              <w:rPr>
                <w:rFonts w:eastAsiaTheme="minorHAnsi" w:cstheme="minorHAnsi"/>
                <w:sz w:val="22"/>
                <w:szCs w:val="22"/>
              </w:rPr>
              <w:t>Must an applicant meet each of the Proposed Objectives, or any one plus</w:t>
            </w:r>
            <w:r>
              <w:rPr>
                <w:rFonts w:eastAsiaTheme="minorHAnsi" w:cstheme="minorHAnsi"/>
                <w:sz w:val="22"/>
                <w:szCs w:val="22"/>
              </w:rPr>
              <w:t xml:space="preserve"> </w:t>
            </w:r>
            <w:r w:rsidRPr="00E32B99">
              <w:rPr>
                <w:rFonts w:eastAsiaTheme="minorHAnsi" w:cstheme="minorHAnsi"/>
                <w:sz w:val="22"/>
                <w:szCs w:val="22"/>
              </w:rPr>
              <w:t>consistency with ICANN’s mission? Is there any prioritization of the objectives?</w:t>
            </w:r>
          </w:p>
          <w:p w:rsidR="00E32B99" w:rsidRPr="00E32B99" w:rsidRDefault="00E32B99" w:rsidP="00E32B99">
            <w:pPr>
              <w:pStyle w:val="ListParagraph"/>
              <w:numPr>
                <w:ilvl w:val="0"/>
                <w:numId w:val="1"/>
              </w:numPr>
              <w:autoSpaceDE w:val="0"/>
              <w:autoSpaceDN w:val="0"/>
              <w:adjustRightInd w:val="0"/>
              <w:rPr>
                <w:rFonts w:eastAsiaTheme="minorHAnsi" w:cstheme="minorHAnsi"/>
                <w:sz w:val="22"/>
                <w:szCs w:val="22"/>
              </w:rPr>
            </w:pPr>
            <w:r w:rsidRPr="00E32B99">
              <w:rPr>
                <w:rFonts w:eastAsiaTheme="minorHAnsi" w:cstheme="minorHAnsi"/>
                <w:sz w:val="22"/>
                <w:szCs w:val="22"/>
              </w:rPr>
              <w:lastRenderedPageBreak/>
              <w:t>As “benefiting the open and interoperable Internet” is a broader scope than the</w:t>
            </w:r>
            <w:r>
              <w:rPr>
                <w:rFonts w:eastAsiaTheme="minorHAnsi" w:cstheme="minorHAnsi"/>
                <w:sz w:val="22"/>
                <w:szCs w:val="22"/>
              </w:rPr>
              <w:t xml:space="preserve"> </w:t>
            </w:r>
            <w:r w:rsidRPr="00E32B99">
              <w:rPr>
                <w:rFonts w:eastAsiaTheme="minorHAnsi" w:cstheme="minorHAnsi"/>
                <w:sz w:val="22"/>
                <w:szCs w:val="22"/>
              </w:rPr>
              <w:t>ICANN Mission is, isn’t there a risk to confuse applicants on what the requests</w:t>
            </w:r>
            <w:r>
              <w:rPr>
                <w:rFonts w:eastAsiaTheme="minorHAnsi" w:cstheme="minorHAnsi"/>
                <w:sz w:val="22"/>
                <w:szCs w:val="22"/>
              </w:rPr>
              <w:t xml:space="preserve"> </w:t>
            </w:r>
            <w:r w:rsidRPr="00E32B99">
              <w:rPr>
                <w:rFonts w:eastAsiaTheme="minorHAnsi" w:cstheme="minorHAnsi"/>
                <w:sz w:val="22"/>
                <w:szCs w:val="22"/>
              </w:rPr>
              <w:t>should contribute to?</w:t>
            </w:r>
          </w:p>
        </w:tc>
        <w:tc>
          <w:tcPr>
            <w:tcW w:w="3237" w:type="dxa"/>
          </w:tcPr>
          <w:p w:rsidR="00CC5F76" w:rsidRPr="00CC5F76" w:rsidRDefault="00CC5F76" w:rsidP="00CC5F76">
            <w:pPr>
              <w:rPr>
                <w:rFonts w:eastAsia="Arial" w:cs="Arial"/>
                <w:sz w:val="22"/>
                <w:szCs w:val="22"/>
              </w:rPr>
            </w:pPr>
            <w:r w:rsidRPr="00CC5F76">
              <w:rPr>
                <w:rFonts w:eastAsia="Arial" w:cs="Arial"/>
                <w:sz w:val="22"/>
                <w:szCs w:val="22"/>
              </w:rPr>
              <w:lastRenderedPageBreak/>
              <w:t xml:space="preserve">Funded projects are required to be in alignment with ICANN’s </w:t>
            </w:r>
            <w:r>
              <w:rPr>
                <w:rFonts w:eastAsia="Arial" w:cs="Arial"/>
                <w:sz w:val="22"/>
                <w:szCs w:val="22"/>
              </w:rPr>
              <w:lastRenderedPageBreak/>
              <w:t>m</w:t>
            </w:r>
            <w:r w:rsidRPr="00CC5F76">
              <w:rPr>
                <w:rFonts w:eastAsia="Arial" w:cs="Arial"/>
                <w:sz w:val="22"/>
                <w:szCs w:val="22"/>
              </w:rPr>
              <w:t>ission statement</w:t>
            </w:r>
            <w:r w:rsidRPr="00CC5F76">
              <w:rPr>
                <w:sz w:val="22"/>
                <w:szCs w:val="22"/>
              </w:rPr>
              <w:footnoteReference w:id="1"/>
            </w:r>
            <w:r w:rsidRPr="00CC5F76">
              <w:rPr>
                <w:rFonts w:eastAsia="Arial" w:cs="Arial"/>
                <w:sz w:val="22"/>
                <w:szCs w:val="22"/>
              </w:rPr>
              <w:t xml:space="preserve"> and core principles, which are the basis for ICANN's U.S. tax-exempt status, and therefore must be in areas that are relevant to and support ICANN’s mission statement and core principles. ICANN's Mission Statement will therefore set the key parameters for the auction proceeds application and selection process. Members and participants of the Cross Community Working Group Auction Proceeds (CCWG AP) believe nevertheless that it is helpful to put the broader Internet context into consideration. </w:t>
            </w:r>
          </w:p>
          <w:p w:rsidR="00CC5F76" w:rsidRPr="00CC5F76" w:rsidRDefault="00CC5F76" w:rsidP="00CC5F76">
            <w:pPr>
              <w:rPr>
                <w:rFonts w:eastAsia="Arial" w:cs="Arial"/>
                <w:sz w:val="22"/>
                <w:szCs w:val="22"/>
              </w:rPr>
            </w:pPr>
          </w:p>
          <w:p w:rsidR="00CC5F76" w:rsidRPr="00CC5F76" w:rsidRDefault="00CC5F76" w:rsidP="00CC5F76">
            <w:pPr>
              <w:rPr>
                <w:rFonts w:eastAsia="Arial" w:cs="Arial"/>
                <w:sz w:val="22"/>
                <w:szCs w:val="22"/>
              </w:rPr>
            </w:pPr>
            <w:r w:rsidRPr="00CC5F76">
              <w:rPr>
                <w:rFonts w:eastAsia="Arial" w:cs="Arial"/>
                <w:sz w:val="22"/>
                <w:szCs w:val="22"/>
              </w:rPr>
              <w:t>The auction proceeds from the new gTLD program shall be used to support projects that are consistent with an “open and interoperable Internet</w:t>
            </w:r>
            <w:r w:rsidRPr="00CC5F76">
              <w:rPr>
                <w:sz w:val="22"/>
                <w:szCs w:val="22"/>
              </w:rPr>
              <w:footnoteReference w:id="2"/>
            </w:r>
            <w:r w:rsidRPr="00CC5F76">
              <w:rPr>
                <w:rFonts w:eastAsia="Arial" w:cs="Arial"/>
                <w:sz w:val="22"/>
                <w:szCs w:val="22"/>
              </w:rPr>
              <w:t xml:space="preserve">”. The concept of “open and interoperable Internet” can be described from many angles: technological, business, political, social and cultural and may have </w:t>
            </w:r>
            <w:r w:rsidRPr="00CC5F76">
              <w:rPr>
                <w:rFonts w:eastAsia="Arial" w:cs="Arial"/>
                <w:sz w:val="22"/>
                <w:szCs w:val="22"/>
              </w:rPr>
              <w:lastRenderedPageBreak/>
              <w:t xml:space="preserve">different meanings in different communities. This preamble does not provide a definitive description, as the Internet continues to evolve at every level. </w:t>
            </w:r>
          </w:p>
          <w:p w:rsidR="00CC5F76" w:rsidRPr="00CC5F76" w:rsidRDefault="00CC5F76" w:rsidP="00CC5F76">
            <w:pPr>
              <w:rPr>
                <w:rFonts w:eastAsia="Arial" w:cs="Arial"/>
                <w:sz w:val="22"/>
                <w:szCs w:val="22"/>
              </w:rPr>
            </w:pPr>
          </w:p>
          <w:p w:rsidR="00CC5F76" w:rsidRPr="00CC5F76" w:rsidRDefault="00CC5F76" w:rsidP="00CC5F76">
            <w:pPr>
              <w:rPr>
                <w:rFonts w:eastAsia="Arial" w:cs="Arial"/>
                <w:sz w:val="22"/>
                <w:szCs w:val="22"/>
              </w:rPr>
            </w:pPr>
            <w:r w:rsidRPr="00CC5F76">
              <w:rPr>
                <w:rFonts w:eastAsia="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of the opportunities they have provided to participate, innovate and compete without impediments. </w:t>
            </w:r>
          </w:p>
          <w:p w:rsidR="00CC5F76" w:rsidRDefault="00CC5F76" w:rsidP="00CC5F76">
            <w:pPr>
              <w:rPr>
                <w:rFonts w:eastAsia="Arial" w:cs="Arial"/>
                <w:sz w:val="22"/>
                <w:szCs w:val="22"/>
              </w:rPr>
            </w:pPr>
          </w:p>
          <w:p w:rsidR="00EF0E1A" w:rsidRPr="00EF0E1A" w:rsidRDefault="00EF0E1A" w:rsidP="00CC5F76">
            <w:pPr>
              <w:rPr>
                <w:rFonts w:eastAsia="Arial" w:cs="Arial"/>
                <w:sz w:val="22"/>
                <w:szCs w:val="22"/>
              </w:rPr>
            </w:pPr>
            <w:r w:rsidRPr="00EF0E1A">
              <w:rPr>
                <w:rFonts w:eastAsia="Arial" w:cs="Arial"/>
                <w:sz w:val="22"/>
                <w:szCs w:val="22"/>
              </w:rPr>
              <w:t xml:space="preserve">Therefore, the CCWG considers the following to be important guidelines for the review and selection of applications seeking auction proceeds funding: </w:t>
            </w:r>
          </w:p>
          <w:p w:rsidR="00EF0E1A" w:rsidRPr="00CC5F76" w:rsidRDefault="00EF0E1A" w:rsidP="00CC5F76">
            <w:pPr>
              <w:widowControl w:val="0"/>
              <w:numPr>
                <w:ilvl w:val="0"/>
                <w:numId w:val="2"/>
              </w:numPr>
              <w:pBdr>
                <w:top w:val="nil"/>
                <w:left w:val="nil"/>
                <w:bottom w:val="nil"/>
                <w:right w:val="nil"/>
                <w:between w:val="nil"/>
              </w:pBdr>
              <w:contextualSpacing/>
              <w:rPr>
                <w:rFonts w:eastAsia="Arial" w:cs="Arial"/>
                <w:sz w:val="22"/>
                <w:szCs w:val="22"/>
              </w:rPr>
            </w:pPr>
            <w:r w:rsidRPr="00EF0E1A">
              <w:rPr>
                <w:rFonts w:eastAsia="Arial" w:cs="Arial"/>
                <w:sz w:val="22"/>
                <w:szCs w:val="22"/>
              </w:rPr>
              <w:t>The purpose of an application must be aligned with ICANN's mission and core principles</w:t>
            </w:r>
          </w:p>
          <w:p w:rsidR="00EF0E1A" w:rsidRPr="00CC5F76" w:rsidRDefault="00EF0E1A" w:rsidP="00CC5F76">
            <w:pPr>
              <w:widowControl w:val="0"/>
              <w:numPr>
                <w:ilvl w:val="0"/>
                <w:numId w:val="2"/>
              </w:numPr>
              <w:pBdr>
                <w:top w:val="nil"/>
                <w:left w:val="nil"/>
                <w:bottom w:val="nil"/>
                <w:right w:val="nil"/>
                <w:between w:val="nil"/>
              </w:pBdr>
              <w:contextualSpacing/>
              <w:rPr>
                <w:rFonts w:eastAsia="Arial" w:cs="Arial"/>
                <w:sz w:val="22"/>
                <w:szCs w:val="22"/>
              </w:rPr>
            </w:pPr>
            <w:r w:rsidRPr="00EF0E1A">
              <w:rPr>
                <w:rFonts w:eastAsia="Arial" w:cs="Arial"/>
                <w:sz w:val="22"/>
                <w:szCs w:val="22"/>
              </w:rPr>
              <w:t xml:space="preserve">Consistent with ICANN's community activities and consensus-building </w:t>
            </w:r>
            <w:r w:rsidRPr="00EF0E1A">
              <w:rPr>
                <w:rFonts w:eastAsia="Arial" w:cs="Arial"/>
                <w:sz w:val="22"/>
                <w:szCs w:val="22"/>
              </w:rPr>
              <w:lastRenderedPageBreak/>
              <w:t>processes</w:t>
            </w:r>
            <w:r w:rsidRPr="00CC5F76">
              <w:footnoteReference w:id="3"/>
            </w:r>
          </w:p>
          <w:p w:rsidR="00EF0E1A" w:rsidRPr="00CC5F76" w:rsidRDefault="00EF0E1A" w:rsidP="00CC5F76">
            <w:pPr>
              <w:widowControl w:val="0"/>
              <w:numPr>
                <w:ilvl w:val="0"/>
                <w:numId w:val="2"/>
              </w:numPr>
              <w:pBdr>
                <w:top w:val="nil"/>
                <w:left w:val="nil"/>
                <w:bottom w:val="nil"/>
                <w:right w:val="nil"/>
                <w:between w:val="nil"/>
              </w:pBdr>
              <w:contextualSpacing/>
              <w:rPr>
                <w:rFonts w:eastAsia="Arial" w:cs="Arial"/>
                <w:sz w:val="22"/>
                <w:szCs w:val="22"/>
              </w:rPr>
            </w:pPr>
            <w:r w:rsidRPr="00EF0E1A">
              <w:rPr>
                <w:rFonts w:eastAsia="Arial" w:cs="Arial"/>
                <w:sz w:val="22"/>
                <w:szCs w:val="22"/>
              </w:rPr>
              <w:t xml:space="preserve">Create social and economic values for an “open and interoperable Internet” that will create benefits for the Internet community. </w:t>
            </w:r>
          </w:p>
          <w:p w:rsidR="00C47E5E" w:rsidRPr="00CC5F76" w:rsidRDefault="00EF0E1A" w:rsidP="00CC5F76">
            <w:pPr>
              <w:widowControl w:val="0"/>
              <w:numPr>
                <w:ilvl w:val="0"/>
                <w:numId w:val="2"/>
              </w:numPr>
              <w:pBdr>
                <w:top w:val="nil"/>
                <w:left w:val="nil"/>
                <w:bottom w:val="nil"/>
                <w:right w:val="nil"/>
                <w:between w:val="nil"/>
              </w:pBdr>
              <w:contextualSpacing/>
              <w:rPr>
                <w:rFonts w:eastAsia="Arial" w:cs="Arial"/>
                <w:sz w:val="22"/>
                <w:szCs w:val="22"/>
              </w:rPr>
            </w:pPr>
            <w:r w:rsidRPr="00EF0E1A">
              <w:rPr>
                <w:rFonts w:eastAsia="Arial" w:cs="Arial"/>
                <w:sz w:val="22"/>
                <w:szCs w:val="22"/>
              </w:rPr>
              <w:t>Support an Internet that is stable, scalable, agile, secure, sustainable and ultimately equitably supports open access, future oriented developments, innovation and open standards, for the benefit of the Internet community.</w:t>
            </w:r>
          </w:p>
        </w:tc>
        <w:tc>
          <w:tcPr>
            <w:tcW w:w="3238" w:type="dxa"/>
          </w:tcPr>
          <w:p w:rsidR="00C47E5E" w:rsidRDefault="00C47E5E"/>
        </w:tc>
        <w:tc>
          <w:tcPr>
            <w:tcW w:w="3238" w:type="dxa"/>
          </w:tcPr>
          <w:p w:rsidR="00C47E5E" w:rsidRDefault="00C47E5E"/>
        </w:tc>
      </w:tr>
      <w:tr w:rsidR="00C47E5E" w:rsidTr="00C47E5E">
        <w:tc>
          <w:tcPr>
            <w:tcW w:w="3237" w:type="dxa"/>
          </w:tcPr>
          <w:p w:rsidR="004A677C" w:rsidRPr="004A677C" w:rsidRDefault="004A677C" w:rsidP="004A677C">
            <w:pPr>
              <w:autoSpaceDE w:val="0"/>
              <w:autoSpaceDN w:val="0"/>
              <w:adjustRightInd w:val="0"/>
              <w:rPr>
                <w:rFonts w:eastAsiaTheme="minorHAnsi" w:cstheme="minorHAnsi"/>
                <w:sz w:val="22"/>
                <w:szCs w:val="22"/>
              </w:rPr>
            </w:pPr>
            <w:r w:rsidRPr="004A677C">
              <w:rPr>
                <w:rFonts w:eastAsiaTheme="minorHAnsi" w:cstheme="minorHAnsi"/>
                <w:sz w:val="22"/>
                <w:szCs w:val="22"/>
              </w:rPr>
              <w:lastRenderedPageBreak/>
              <w:t>We support the development of examples</w:t>
            </w:r>
            <w:r>
              <w:rPr>
                <w:rFonts w:eastAsiaTheme="minorHAnsi" w:cstheme="minorHAnsi"/>
                <w:sz w:val="22"/>
                <w:szCs w:val="22"/>
              </w:rPr>
              <w:t xml:space="preserve"> </w:t>
            </w:r>
            <w:r w:rsidRPr="004A677C">
              <w:rPr>
                <w:rFonts w:eastAsiaTheme="minorHAnsi" w:cstheme="minorHAnsi"/>
                <w:sz w:val="22"/>
                <w:szCs w:val="22"/>
              </w:rPr>
              <w:t>for the purpose of furthering deliberations or for the demonstration of principles. There is a</w:t>
            </w:r>
            <w:r>
              <w:rPr>
                <w:rFonts w:eastAsiaTheme="minorHAnsi" w:cstheme="minorHAnsi"/>
                <w:sz w:val="22"/>
                <w:szCs w:val="22"/>
              </w:rPr>
              <w:t xml:space="preserve"> </w:t>
            </w:r>
            <w:r w:rsidRPr="004A677C">
              <w:rPr>
                <w:rFonts w:eastAsiaTheme="minorHAnsi" w:cstheme="minorHAnsi"/>
                <w:sz w:val="22"/>
                <w:szCs w:val="22"/>
              </w:rPr>
              <w:t>risk, however, in creating a list of examples that will become the list of projects, or the</w:t>
            </w:r>
            <w:r>
              <w:rPr>
                <w:rFonts w:eastAsiaTheme="minorHAnsi" w:cstheme="minorHAnsi"/>
                <w:sz w:val="22"/>
                <w:szCs w:val="22"/>
              </w:rPr>
              <w:t xml:space="preserve"> </w:t>
            </w:r>
            <w:r w:rsidRPr="004A677C">
              <w:rPr>
                <w:rFonts w:eastAsiaTheme="minorHAnsi" w:cstheme="minorHAnsi"/>
                <w:sz w:val="22"/>
                <w:szCs w:val="22"/>
              </w:rPr>
              <w:t>samples within which applicants try to shoe-horn their projects. For instance, the publication</w:t>
            </w:r>
            <w:r>
              <w:rPr>
                <w:rFonts w:eastAsiaTheme="minorHAnsi" w:cstheme="minorHAnsi"/>
                <w:sz w:val="22"/>
                <w:szCs w:val="22"/>
              </w:rPr>
              <w:t xml:space="preserve"> </w:t>
            </w:r>
            <w:r w:rsidRPr="004A677C">
              <w:rPr>
                <w:rFonts w:eastAsiaTheme="minorHAnsi" w:cstheme="minorHAnsi"/>
                <w:sz w:val="22"/>
                <w:szCs w:val="22"/>
              </w:rPr>
              <w:t>of an example of whether a specific organization seeking funds for a specific purpose is</w:t>
            </w:r>
            <w:r>
              <w:rPr>
                <w:rFonts w:eastAsiaTheme="minorHAnsi" w:cstheme="minorHAnsi"/>
                <w:sz w:val="22"/>
                <w:szCs w:val="22"/>
              </w:rPr>
              <w:t xml:space="preserve"> </w:t>
            </w:r>
            <w:r w:rsidRPr="004A677C">
              <w:rPr>
                <w:rFonts w:eastAsiaTheme="minorHAnsi" w:cstheme="minorHAnsi"/>
                <w:sz w:val="22"/>
                <w:szCs w:val="22"/>
              </w:rPr>
              <w:t xml:space="preserve">within ICANN’s </w:t>
            </w:r>
            <w:r w:rsidRPr="004A677C">
              <w:rPr>
                <w:rFonts w:eastAsiaTheme="minorHAnsi" w:cstheme="minorHAnsi"/>
                <w:sz w:val="22"/>
                <w:szCs w:val="22"/>
              </w:rPr>
              <w:lastRenderedPageBreak/>
              <w:t>mission could lead that organization to a conclusion that it is entitled to funds</w:t>
            </w:r>
            <w:r>
              <w:rPr>
                <w:rFonts w:eastAsiaTheme="minorHAnsi" w:cstheme="minorHAnsi"/>
                <w:sz w:val="22"/>
                <w:szCs w:val="22"/>
              </w:rPr>
              <w:t xml:space="preserve"> </w:t>
            </w:r>
            <w:r w:rsidRPr="004A677C">
              <w:rPr>
                <w:rFonts w:eastAsiaTheme="minorHAnsi" w:cstheme="minorHAnsi"/>
                <w:sz w:val="22"/>
                <w:szCs w:val="22"/>
              </w:rPr>
              <w:t>if it applies. That is not the role of the CCWG-AP. We see a good value in using examples</w:t>
            </w:r>
            <w:r>
              <w:rPr>
                <w:rFonts w:eastAsiaTheme="minorHAnsi" w:cstheme="minorHAnsi"/>
                <w:sz w:val="22"/>
                <w:szCs w:val="22"/>
              </w:rPr>
              <w:t xml:space="preserve"> </w:t>
            </w:r>
            <w:r w:rsidRPr="004A677C">
              <w:rPr>
                <w:rFonts w:eastAsiaTheme="minorHAnsi" w:cstheme="minorHAnsi"/>
                <w:sz w:val="22"/>
                <w:szCs w:val="22"/>
              </w:rPr>
              <w:t>to help demonstrating a specific point relative to an objective, as an illustrative contribution to</w:t>
            </w:r>
            <w:r>
              <w:rPr>
                <w:rFonts w:eastAsiaTheme="minorHAnsi" w:cstheme="minorHAnsi"/>
                <w:sz w:val="22"/>
                <w:szCs w:val="22"/>
              </w:rPr>
              <w:t xml:space="preserve"> </w:t>
            </w:r>
            <w:r w:rsidRPr="004A677C">
              <w:rPr>
                <w:rFonts w:eastAsiaTheme="minorHAnsi" w:cstheme="minorHAnsi"/>
                <w:sz w:val="22"/>
                <w:szCs w:val="22"/>
              </w:rPr>
              <w:t>the description of an objective. But if examples are provided in a general fashion, they may</w:t>
            </w:r>
            <w:r>
              <w:rPr>
                <w:rFonts w:eastAsiaTheme="minorHAnsi" w:cstheme="minorHAnsi"/>
                <w:sz w:val="22"/>
                <w:szCs w:val="22"/>
              </w:rPr>
              <w:t xml:space="preserve"> </w:t>
            </w:r>
            <w:r w:rsidRPr="004A677C">
              <w:rPr>
                <w:rFonts w:eastAsiaTheme="minorHAnsi" w:cstheme="minorHAnsi"/>
                <w:sz w:val="22"/>
                <w:szCs w:val="22"/>
              </w:rPr>
              <w:t>be taken as directional guidance for applicants, which may create challenges in the</w:t>
            </w:r>
          </w:p>
          <w:p w:rsidR="004A677C" w:rsidRPr="004A677C" w:rsidRDefault="004A677C" w:rsidP="004A677C">
            <w:pPr>
              <w:autoSpaceDE w:val="0"/>
              <w:autoSpaceDN w:val="0"/>
              <w:adjustRightInd w:val="0"/>
              <w:rPr>
                <w:rFonts w:eastAsiaTheme="minorHAnsi" w:cstheme="minorHAnsi"/>
                <w:sz w:val="22"/>
                <w:szCs w:val="22"/>
              </w:rPr>
            </w:pPr>
            <w:r w:rsidRPr="004A677C">
              <w:rPr>
                <w:rFonts w:eastAsiaTheme="minorHAnsi" w:cstheme="minorHAnsi"/>
                <w:sz w:val="22"/>
                <w:szCs w:val="22"/>
              </w:rPr>
              <w:t>evaluation of applications, should decisions appear contradictory with the examples</w:t>
            </w:r>
            <w:r>
              <w:rPr>
                <w:rFonts w:eastAsiaTheme="minorHAnsi" w:cstheme="minorHAnsi"/>
                <w:sz w:val="22"/>
                <w:szCs w:val="22"/>
              </w:rPr>
              <w:t xml:space="preserve"> </w:t>
            </w:r>
            <w:r w:rsidRPr="004A677C">
              <w:rPr>
                <w:rFonts w:eastAsiaTheme="minorHAnsi" w:cstheme="minorHAnsi"/>
                <w:sz w:val="22"/>
                <w:szCs w:val="22"/>
              </w:rPr>
              <w:t>provided. In an ideal world CCWG-AP would use this list of examples as input for the</w:t>
            </w:r>
            <w:r>
              <w:rPr>
                <w:rFonts w:eastAsiaTheme="minorHAnsi" w:cstheme="minorHAnsi"/>
                <w:sz w:val="22"/>
                <w:szCs w:val="22"/>
              </w:rPr>
              <w:t xml:space="preserve"> </w:t>
            </w:r>
            <w:r w:rsidRPr="004A677C">
              <w:rPr>
                <w:rFonts w:eastAsiaTheme="minorHAnsi" w:cstheme="minorHAnsi"/>
                <w:sz w:val="22"/>
                <w:szCs w:val="22"/>
              </w:rPr>
              <w:t>generation of some general guidelines that may be useful in the ultimate mechanism, but</w:t>
            </w:r>
            <w:r>
              <w:rPr>
                <w:rFonts w:eastAsiaTheme="minorHAnsi" w:cstheme="minorHAnsi"/>
                <w:sz w:val="22"/>
                <w:szCs w:val="22"/>
              </w:rPr>
              <w:t xml:space="preserve"> </w:t>
            </w:r>
            <w:r w:rsidRPr="004A677C">
              <w:rPr>
                <w:rFonts w:eastAsiaTheme="minorHAnsi" w:cstheme="minorHAnsi"/>
                <w:sz w:val="22"/>
                <w:szCs w:val="22"/>
              </w:rPr>
              <w:t>would not present the list as a “consensus list of examples” in order to:</w:t>
            </w:r>
          </w:p>
          <w:p w:rsidR="004A677C" w:rsidRPr="004A677C" w:rsidRDefault="004A677C" w:rsidP="004A677C">
            <w:pPr>
              <w:autoSpaceDE w:val="0"/>
              <w:autoSpaceDN w:val="0"/>
              <w:adjustRightInd w:val="0"/>
              <w:rPr>
                <w:rFonts w:eastAsiaTheme="minorHAnsi" w:cstheme="minorHAnsi"/>
                <w:sz w:val="22"/>
                <w:szCs w:val="22"/>
              </w:rPr>
            </w:pPr>
            <w:r w:rsidRPr="004A677C">
              <w:rPr>
                <w:rFonts w:eastAsiaTheme="minorHAnsi" w:cstheme="minorHAnsi"/>
                <w:sz w:val="22"/>
                <w:szCs w:val="22"/>
              </w:rPr>
              <w:t>1. Be able to fully benefit from the lessons learned from the example projects;</w:t>
            </w:r>
          </w:p>
          <w:p w:rsidR="004A677C" w:rsidRPr="004A677C" w:rsidRDefault="004A677C" w:rsidP="004A677C">
            <w:pPr>
              <w:autoSpaceDE w:val="0"/>
              <w:autoSpaceDN w:val="0"/>
              <w:adjustRightInd w:val="0"/>
              <w:rPr>
                <w:rFonts w:eastAsiaTheme="minorHAnsi" w:cstheme="minorHAnsi"/>
                <w:sz w:val="22"/>
                <w:szCs w:val="22"/>
              </w:rPr>
            </w:pPr>
            <w:r w:rsidRPr="004A677C">
              <w:rPr>
                <w:rFonts w:eastAsiaTheme="minorHAnsi" w:cstheme="minorHAnsi"/>
                <w:sz w:val="22"/>
                <w:szCs w:val="22"/>
              </w:rPr>
              <w:t>2. Not raise false expectations or pre-emption of funding for specific proposals that may</w:t>
            </w:r>
          </w:p>
          <w:p w:rsidR="00C47E5E" w:rsidRPr="004A677C" w:rsidRDefault="004A677C" w:rsidP="004A677C">
            <w:pPr>
              <w:rPr>
                <w:rFonts w:cstheme="minorHAnsi"/>
              </w:rPr>
            </w:pPr>
            <w:r w:rsidRPr="004A677C">
              <w:rPr>
                <w:rFonts w:eastAsiaTheme="minorHAnsi" w:cstheme="minorHAnsi"/>
                <w:sz w:val="22"/>
                <w:szCs w:val="22"/>
              </w:rPr>
              <w:lastRenderedPageBreak/>
              <w:t>be presented to reflect the example projects.</w:t>
            </w:r>
          </w:p>
        </w:tc>
        <w:tc>
          <w:tcPr>
            <w:tcW w:w="3237" w:type="dxa"/>
          </w:tcPr>
          <w:p w:rsidR="00C47E5E" w:rsidRDefault="00C47E5E"/>
        </w:tc>
        <w:tc>
          <w:tcPr>
            <w:tcW w:w="3238" w:type="dxa"/>
          </w:tcPr>
          <w:p w:rsidR="00C47E5E" w:rsidRDefault="00C47E5E"/>
        </w:tc>
        <w:tc>
          <w:tcPr>
            <w:tcW w:w="3238" w:type="dxa"/>
          </w:tcPr>
          <w:p w:rsidR="00C47E5E" w:rsidRDefault="00C47E5E"/>
        </w:tc>
      </w:tr>
      <w:tr w:rsidR="00C47E5E" w:rsidTr="00C47E5E">
        <w:tc>
          <w:tcPr>
            <w:tcW w:w="3237" w:type="dxa"/>
          </w:tcPr>
          <w:p w:rsidR="004A677C" w:rsidRPr="004A677C" w:rsidRDefault="004A677C" w:rsidP="004A677C">
            <w:pPr>
              <w:autoSpaceDE w:val="0"/>
              <w:autoSpaceDN w:val="0"/>
              <w:adjustRightInd w:val="0"/>
              <w:rPr>
                <w:rFonts w:eastAsiaTheme="minorHAnsi" w:cstheme="minorHAnsi"/>
                <w:sz w:val="22"/>
                <w:szCs w:val="22"/>
              </w:rPr>
            </w:pPr>
            <w:r w:rsidRPr="004A677C">
              <w:rPr>
                <w:rFonts w:eastAsiaTheme="minorHAnsi" w:cstheme="minorHAnsi"/>
                <w:sz w:val="22"/>
                <w:szCs w:val="22"/>
              </w:rPr>
              <w:lastRenderedPageBreak/>
              <w:t>The Board also encourages the CCWG-AP, if examples are to be provided for illustrative</w:t>
            </w:r>
          </w:p>
          <w:p w:rsidR="004A677C" w:rsidRPr="004A677C" w:rsidRDefault="004A677C" w:rsidP="004A677C">
            <w:pPr>
              <w:autoSpaceDE w:val="0"/>
              <w:autoSpaceDN w:val="0"/>
              <w:adjustRightInd w:val="0"/>
              <w:rPr>
                <w:rFonts w:eastAsiaTheme="minorHAnsi" w:cstheme="minorHAnsi"/>
                <w:sz w:val="22"/>
                <w:szCs w:val="22"/>
              </w:rPr>
            </w:pPr>
            <w:r w:rsidRPr="004A677C">
              <w:rPr>
                <w:rFonts w:eastAsiaTheme="minorHAnsi" w:cstheme="minorHAnsi"/>
                <w:sz w:val="22"/>
                <w:szCs w:val="22"/>
              </w:rPr>
              <w:t>purposes, to provide additional “negative” examples of projects that would likely not be</w:t>
            </w:r>
          </w:p>
          <w:p w:rsidR="004A677C" w:rsidRPr="004A677C" w:rsidRDefault="004A677C" w:rsidP="004A677C">
            <w:pPr>
              <w:autoSpaceDE w:val="0"/>
              <w:autoSpaceDN w:val="0"/>
              <w:adjustRightInd w:val="0"/>
              <w:rPr>
                <w:rFonts w:eastAsiaTheme="minorHAnsi" w:cstheme="minorHAnsi"/>
                <w:sz w:val="22"/>
                <w:szCs w:val="22"/>
              </w:rPr>
            </w:pPr>
            <w:r w:rsidRPr="004A677C">
              <w:rPr>
                <w:rFonts w:eastAsiaTheme="minorHAnsi" w:cstheme="minorHAnsi"/>
                <w:sz w:val="22"/>
                <w:szCs w:val="22"/>
              </w:rPr>
              <w:t>proper for distribution. Some considerations could include the use of additional qualifiers</w:t>
            </w:r>
          </w:p>
          <w:p w:rsidR="004A677C" w:rsidRPr="004A677C" w:rsidRDefault="004A677C" w:rsidP="004A677C">
            <w:pPr>
              <w:autoSpaceDE w:val="0"/>
              <w:autoSpaceDN w:val="0"/>
              <w:adjustRightInd w:val="0"/>
              <w:rPr>
                <w:rFonts w:eastAsiaTheme="minorHAnsi" w:cstheme="minorHAnsi"/>
                <w:sz w:val="22"/>
                <w:szCs w:val="22"/>
              </w:rPr>
            </w:pPr>
            <w:r w:rsidRPr="004A677C">
              <w:rPr>
                <w:rFonts w:eastAsiaTheme="minorHAnsi" w:cstheme="minorHAnsi"/>
                <w:sz w:val="22"/>
                <w:szCs w:val="22"/>
              </w:rPr>
              <w:t>and explanation, such as whether funds should be available for use to support work that is</w:t>
            </w:r>
          </w:p>
          <w:p w:rsidR="00C47E5E" w:rsidRDefault="004A677C" w:rsidP="004A677C">
            <w:pPr>
              <w:autoSpaceDE w:val="0"/>
              <w:autoSpaceDN w:val="0"/>
              <w:adjustRightInd w:val="0"/>
            </w:pPr>
            <w:r w:rsidRPr="004A677C">
              <w:rPr>
                <w:rFonts w:eastAsiaTheme="minorHAnsi" w:cstheme="minorHAnsi"/>
                <w:sz w:val="22"/>
                <w:szCs w:val="22"/>
              </w:rPr>
              <w:t>already being done by other entities.</w:t>
            </w:r>
          </w:p>
        </w:tc>
        <w:tc>
          <w:tcPr>
            <w:tcW w:w="3237" w:type="dxa"/>
          </w:tcPr>
          <w:p w:rsidR="00CC5F76" w:rsidRPr="0099345D" w:rsidRDefault="00CC5F76" w:rsidP="00CC5F76">
            <w:pPr>
              <w:rPr>
                <w:sz w:val="22"/>
                <w:szCs w:val="22"/>
              </w:rPr>
            </w:pPr>
            <w:r w:rsidRPr="0099345D">
              <w:rPr>
                <w:sz w:val="22"/>
                <w:szCs w:val="22"/>
              </w:rPr>
              <w:t>Small and medium enterprises owned or led by women and youth, indigenous and other excluded communities can be effectively enabled to participate in the global economic</w:t>
            </w:r>
            <w:r>
              <w:rPr>
                <w:sz w:val="22"/>
                <w:szCs w:val="22"/>
              </w:rPr>
              <w:t xml:space="preserve"> </w:t>
            </w:r>
            <w:r w:rsidRPr="0099345D">
              <w:rPr>
                <w:sz w:val="22"/>
                <w:szCs w:val="22"/>
              </w:rPr>
              <w:t xml:space="preserve">community by "demand aggregators" and "supply aggregators" and other "economic-connectors". Examples are Siam Organic </w:t>
            </w:r>
          </w:p>
          <w:p w:rsidR="00CC5F76" w:rsidRDefault="00CC5F76" w:rsidP="00CC5F76">
            <w:pPr>
              <w:rPr>
                <w:sz w:val="22"/>
                <w:szCs w:val="22"/>
              </w:rPr>
            </w:pPr>
            <w:r w:rsidRPr="0099345D">
              <w:rPr>
                <w:sz w:val="22"/>
                <w:szCs w:val="22"/>
              </w:rPr>
              <w:t>and Cambodian - Color Silk</w:t>
            </w:r>
            <w:r w:rsidR="00853466">
              <w:rPr>
                <w:sz w:val="22"/>
                <w:szCs w:val="22"/>
              </w:rPr>
              <w:t xml:space="preserve">. </w:t>
            </w:r>
          </w:p>
          <w:p w:rsidR="00853466" w:rsidRDefault="00853466" w:rsidP="00CC5F76">
            <w:pPr>
              <w:rPr>
                <w:sz w:val="22"/>
                <w:szCs w:val="22"/>
              </w:rPr>
            </w:pPr>
          </w:p>
          <w:p w:rsidR="00C47E5E" w:rsidRPr="00853466" w:rsidRDefault="00853466">
            <w:pPr>
              <w:rPr>
                <w:sz w:val="22"/>
                <w:szCs w:val="22"/>
              </w:rPr>
            </w:pPr>
            <w:r w:rsidRPr="0099345D">
              <w:rPr>
                <w:sz w:val="22"/>
                <w:szCs w:val="22"/>
              </w:rPr>
              <w:t>Although a noble cause, the CCWG does not consider this type of project consistent with ICANN’s mission.</w:t>
            </w:r>
          </w:p>
        </w:tc>
        <w:tc>
          <w:tcPr>
            <w:tcW w:w="3238" w:type="dxa"/>
          </w:tcPr>
          <w:p w:rsidR="00C47E5E" w:rsidRDefault="00C47E5E"/>
        </w:tc>
        <w:tc>
          <w:tcPr>
            <w:tcW w:w="3238" w:type="dxa"/>
          </w:tcPr>
          <w:p w:rsidR="00C47E5E" w:rsidRDefault="00C47E5E"/>
        </w:tc>
      </w:tr>
      <w:tr w:rsidR="00C47E5E" w:rsidTr="00C47E5E">
        <w:tc>
          <w:tcPr>
            <w:tcW w:w="3237" w:type="dxa"/>
          </w:tcPr>
          <w:p w:rsidR="00081C9B" w:rsidRPr="00081C9B" w:rsidRDefault="00081C9B" w:rsidP="00081C9B">
            <w:pPr>
              <w:autoSpaceDE w:val="0"/>
              <w:autoSpaceDN w:val="0"/>
              <w:adjustRightInd w:val="0"/>
              <w:rPr>
                <w:rFonts w:eastAsiaTheme="minorHAnsi" w:cstheme="minorHAnsi"/>
                <w:sz w:val="22"/>
                <w:szCs w:val="22"/>
              </w:rPr>
            </w:pPr>
            <w:r w:rsidRPr="00081C9B">
              <w:rPr>
                <w:rFonts w:eastAsiaTheme="minorHAnsi" w:cstheme="minorHAnsi"/>
                <w:sz w:val="22"/>
                <w:szCs w:val="22"/>
              </w:rPr>
              <w:t>More specifically to the projects presented as examples, our overall observation is that while</w:t>
            </w:r>
          </w:p>
          <w:p w:rsidR="00081C9B" w:rsidRPr="00081C9B" w:rsidRDefault="00081C9B" w:rsidP="00081C9B">
            <w:pPr>
              <w:autoSpaceDE w:val="0"/>
              <w:autoSpaceDN w:val="0"/>
              <w:adjustRightInd w:val="0"/>
              <w:rPr>
                <w:rFonts w:eastAsiaTheme="minorHAnsi" w:cstheme="minorHAnsi"/>
                <w:sz w:val="22"/>
                <w:szCs w:val="22"/>
              </w:rPr>
            </w:pPr>
            <w:r w:rsidRPr="00081C9B">
              <w:rPr>
                <w:rFonts w:eastAsiaTheme="minorHAnsi" w:cstheme="minorHAnsi"/>
                <w:sz w:val="22"/>
                <w:szCs w:val="22"/>
              </w:rPr>
              <w:t>we agree that some of these are within ICANN’s mission, they are perhaps not a good use of</w:t>
            </w:r>
          </w:p>
          <w:p w:rsidR="00081C9B" w:rsidRPr="00081C9B" w:rsidRDefault="00081C9B" w:rsidP="00081C9B">
            <w:pPr>
              <w:autoSpaceDE w:val="0"/>
              <w:autoSpaceDN w:val="0"/>
              <w:adjustRightInd w:val="0"/>
              <w:rPr>
                <w:rFonts w:eastAsiaTheme="minorHAnsi" w:cstheme="minorHAnsi"/>
                <w:sz w:val="22"/>
                <w:szCs w:val="22"/>
              </w:rPr>
            </w:pPr>
            <w:r w:rsidRPr="00081C9B">
              <w:rPr>
                <w:rFonts w:eastAsiaTheme="minorHAnsi" w:cstheme="minorHAnsi"/>
                <w:sz w:val="22"/>
                <w:szCs w:val="22"/>
              </w:rPr>
              <w:t>funds. In noting whether any of these items are likely within mission, the Board is not</w:t>
            </w:r>
          </w:p>
          <w:p w:rsidR="00C47E5E" w:rsidRDefault="00081C9B" w:rsidP="00081C9B">
            <w:pPr>
              <w:autoSpaceDE w:val="0"/>
              <w:autoSpaceDN w:val="0"/>
              <w:adjustRightInd w:val="0"/>
            </w:pPr>
            <w:r w:rsidRPr="00081C9B">
              <w:rPr>
                <w:rFonts w:eastAsiaTheme="minorHAnsi" w:cstheme="minorHAnsi"/>
                <w:sz w:val="22"/>
                <w:szCs w:val="22"/>
              </w:rPr>
              <w:t>endorsing any example as a good allocation of funds.</w:t>
            </w:r>
          </w:p>
        </w:tc>
        <w:tc>
          <w:tcPr>
            <w:tcW w:w="3237" w:type="dxa"/>
          </w:tcPr>
          <w:p w:rsidR="00C47E5E" w:rsidRDefault="00C47E5E"/>
        </w:tc>
        <w:tc>
          <w:tcPr>
            <w:tcW w:w="3238" w:type="dxa"/>
          </w:tcPr>
          <w:p w:rsidR="00C47E5E" w:rsidRDefault="00C47E5E"/>
        </w:tc>
        <w:tc>
          <w:tcPr>
            <w:tcW w:w="3238" w:type="dxa"/>
          </w:tcPr>
          <w:p w:rsidR="00C47E5E" w:rsidRDefault="00C47E5E"/>
        </w:tc>
      </w:tr>
      <w:tr w:rsidR="00C47E5E" w:rsidTr="00C47E5E">
        <w:tc>
          <w:tcPr>
            <w:tcW w:w="3237" w:type="dxa"/>
          </w:tcPr>
          <w:p w:rsidR="00D51951" w:rsidRPr="00D51951" w:rsidRDefault="00D51951" w:rsidP="00D51951">
            <w:pPr>
              <w:autoSpaceDE w:val="0"/>
              <w:autoSpaceDN w:val="0"/>
              <w:adjustRightInd w:val="0"/>
              <w:rPr>
                <w:rFonts w:eastAsiaTheme="minorHAnsi" w:cstheme="minorHAnsi"/>
                <w:sz w:val="22"/>
                <w:szCs w:val="22"/>
              </w:rPr>
            </w:pPr>
            <w:r w:rsidRPr="00D51951">
              <w:rPr>
                <w:rFonts w:eastAsiaTheme="minorHAnsi" w:cstheme="minorHAnsi"/>
                <w:sz w:val="22"/>
                <w:szCs w:val="22"/>
              </w:rPr>
              <w:lastRenderedPageBreak/>
              <w:t>In Example 4, the direct awarding of individual scholarship grants would impose additional</w:t>
            </w:r>
          </w:p>
          <w:p w:rsidR="00D51951" w:rsidRPr="00D51951" w:rsidRDefault="00D51951" w:rsidP="00D51951">
            <w:pPr>
              <w:autoSpaceDE w:val="0"/>
              <w:autoSpaceDN w:val="0"/>
              <w:adjustRightInd w:val="0"/>
              <w:rPr>
                <w:rFonts w:eastAsiaTheme="minorHAnsi" w:cstheme="minorHAnsi"/>
                <w:sz w:val="22"/>
                <w:szCs w:val="22"/>
              </w:rPr>
            </w:pPr>
            <w:r w:rsidRPr="00D51951">
              <w:rPr>
                <w:rFonts w:eastAsiaTheme="minorHAnsi" w:cstheme="minorHAnsi"/>
                <w:sz w:val="22"/>
                <w:szCs w:val="22"/>
              </w:rPr>
              <w:t>regulatory requirements on ICANN to remain in compliance with applicable laws and</w:t>
            </w:r>
          </w:p>
          <w:p w:rsidR="00D51951" w:rsidRPr="00D51951" w:rsidRDefault="00D51951" w:rsidP="00D51951">
            <w:pPr>
              <w:autoSpaceDE w:val="0"/>
              <w:autoSpaceDN w:val="0"/>
              <w:adjustRightInd w:val="0"/>
              <w:rPr>
                <w:rFonts w:eastAsiaTheme="minorHAnsi" w:cstheme="minorHAnsi"/>
                <w:sz w:val="22"/>
                <w:szCs w:val="22"/>
              </w:rPr>
            </w:pPr>
            <w:r w:rsidRPr="00D51951">
              <w:rPr>
                <w:rFonts w:eastAsiaTheme="minorHAnsi" w:cstheme="minorHAnsi"/>
                <w:sz w:val="22"/>
                <w:szCs w:val="22"/>
              </w:rPr>
              <w:t xml:space="preserve">regulations. If the </w:t>
            </w:r>
            <w:r>
              <w:rPr>
                <w:rFonts w:eastAsiaTheme="minorHAnsi" w:cstheme="minorHAnsi"/>
                <w:sz w:val="22"/>
                <w:szCs w:val="22"/>
              </w:rPr>
              <w:t>r</w:t>
            </w:r>
            <w:r w:rsidRPr="00D51951">
              <w:rPr>
                <w:rFonts w:eastAsiaTheme="minorHAnsi" w:cstheme="minorHAnsi"/>
                <w:sz w:val="22"/>
                <w:szCs w:val="22"/>
              </w:rPr>
              <w:t>ecommendation is to develop a specific scholarship or fellowship</w:t>
            </w:r>
          </w:p>
          <w:p w:rsidR="00D51951" w:rsidRPr="00D51951" w:rsidRDefault="00D51951" w:rsidP="00D51951">
            <w:pPr>
              <w:autoSpaceDE w:val="0"/>
              <w:autoSpaceDN w:val="0"/>
              <w:adjustRightInd w:val="0"/>
              <w:rPr>
                <w:rFonts w:eastAsiaTheme="minorHAnsi" w:cstheme="minorHAnsi"/>
                <w:sz w:val="22"/>
                <w:szCs w:val="22"/>
              </w:rPr>
            </w:pPr>
            <w:r w:rsidRPr="00D51951">
              <w:rPr>
                <w:rFonts w:eastAsiaTheme="minorHAnsi" w:cstheme="minorHAnsi"/>
                <w:sz w:val="22"/>
                <w:szCs w:val="22"/>
              </w:rPr>
              <w:t>program through which scholarships could be awarded to individuals, that too would impose</w:t>
            </w:r>
            <w:r>
              <w:rPr>
                <w:rFonts w:eastAsiaTheme="minorHAnsi" w:cstheme="minorHAnsi"/>
                <w:sz w:val="22"/>
                <w:szCs w:val="22"/>
              </w:rPr>
              <w:t xml:space="preserve"> </w:t>
            </w:r>
            <w:r w:rsidRPr="00D51951">
              <w:rPr>
                <w:rFonts w:eastAsiaTheme="minorHAnsi" w:cstheme="minorHAnsi"/>
                <w:sz w:val="22"/>
                <w:szCs w:val="22"/>
              </w:rPr>
              <w:t>additional program development costs. Further work and detail would have to done to</w:t>
            </w:r>
          </w:p>
          <w:p w:rsidR="00C47E5E" w:rsidRPr="00D51951" w:rsidRDefault="00D51951" w:rsidP="00D51951">
            <w:pPr>
              <w:autoSpaceDE w:val="0"/>
              <w:autoSpaceDN w:val="0"/>
              <w:adjustRightInd w:val="0"/>
              <w:rPr>
                <w:rFonts w:eastAsiaTheme="minorHAnsi" w:cstheme="minorHAnsi"/>
                <w:sz w:val="22"/>
                <w:szCs w:val="22"/>
              </w:rPr>
            </w:pPr>
            <w:r w:rsidRPr="00D51951">
              <w:rPr>
                <w:rFonts w:eastAsiaTheme="minorHAnsi" w:cstheme="minorHAnsi"/>
                <w:sz w:val="22"/>
                <w:szCs w:val="22"/>
              </w:rPr>
              <w:t>assure alignment of a scholarship program with ICANN’s mission. Example 17 also poses</w:t>
            </w:r>
            <w:r>
              <w:rPr>
                <w:rFonts w:eastAsiaTheme="minorHAnsi" w:cstheme="minorHAnsi"/>
                <w:sz w:val="22"/>
                <w:szCs w:val="22"/>
              </w:rPr>
              <w:t xml:space="preserve"> </w:t>
            </w:r>
            <w:r w:rsidRPr="00D51951">
              <w:rPr>
                <w:rFonts w:eastAsiaTheme="minorHAnsi" w:cstheme="minorHAnsi"/>
                <w:sz w:val="22"/>
                <w:szCs w:val="22"/>
              </w:rPr>
              <w:t>some of the same concerns.</w:t>
            </w:r>
          </w:p>
        </w:tc>
        <w:tc>
          <w:tcPr>
            <w:tcW w:w="3237" w:type="dxa"/>
          </w:tcPr>
          <w:p w:rsidR="00C47E5E" w:rsidRDefault="00853466">
            <w:pPr>
              <w:rPr>
                <w:sz w:val="22"/>
                <w:szCs w:val="22"/>
              </w:rPr>
            </w:pPr>
            <w:r>
              <w:rPr>
                <w:sz w:val="22"/>
                <w:szCs w:val="22"/>
              </w:rPr>
              <w:t xml:space="preserve">Example 4: </w:t>
            </w:r>
            <w:r w:rsidRPr="0099345D">
              <w:rPr>
                <w:sz w:val="22"/>
                <w:szCs w:val="22"/>
              </w:rPr>
              <w:t>25 women and 25 men from around the world receive full scholarships at 12 different universities to conduct PhD studies on key technical issues around Internet infrastructure development. (As an example of potential impact/benefit of this project: They participate at ICANN meetings during the course of their studies and volunteer to spread their knowledge across the community. Their research is shared with the community. 3 of them are elected for the ICANN board 10 years later, and 5 of them get to serve at high ranking posts across the government and the private sector. They all support ICANN’s growth and development and continue to actively contribute to the community.</w:t>
            </w:r>
          </w:p>
          <w:p w:rsidR="00853466" w:rsidRDefault="00853466" w:rsidP="00853466">
            <w:r>
              <w:rPr>
                <w:sz w:val="22"/>
                <w:szCs w:val="22"/>
              </w:rPr>
              <w:t xml:space="preserve">Example 17: </w:t>
            </w:r>
            <w:r w:rsidRPr="00853466">
              <w:rPr>
                <w:sz w:val="22"/>
                <w:szCs w:val="22"/>
              </w:rPr>
              <w:t>ICANN Scholarship endowment fund</w:t>
            </w:r>
            <w:r w:rsidRPr="00853466">
              <w:rPr>
                <w:sz w:val="22"/>
                <w:szCs w:val="22"/>
              </w:rPr>
              <w:t xml:space="preserve">. </w:t>
            </w:r>
            <w:r w:rsidRPr="00853466">
              <w:rPr>
                <w:sz w:val="22"/>
                <w:szCs w:val="22"/>
              </w:rPr>
              <w:t xml:space="preserve">For example, X amount of the AP fund allocated to this fund and the incurred interest to support 100 DNS / IP engineers under 30 years old. These people will propose research topics and approved by </w:t>
            </w:r>
            <w:r w:rsidRPr="00853466">
              <w:rPr>
                <w:sz w:val="22"/>
                <w:szCs w:val="22"/>
              </w:rPr>
              <w:lastRenderedPageBreak/>
              <w:t>an ICANN-sponsored academic committee. The research result will be shared publicly.</w:t>
            </w:r>
          </w:p>
        </w:tc>
        <w:tc>
          <w:tcPr>
            <w:tcW w:w="3238" w:type="dxa"/>
          </w:tcPr>
          <w:p w:rsidR="00C47E5E" w:rsidRDefault="00C47E5E"/>
        </w:tc>
        <w:tc>
          <w:tcPr>
            <w:tcW w:w="3238" w:type="dxa"/>
          </w:tcPr>
          <w:p w:rsidR="00C47E5E" w:rsidRDefault="00C47E5E"/>
        </w:tc>
      </w:tr>
      <w:tr w:rsidR="00D51951" w:rsidTr="00C47E5E">
        <w:tc>
          <w:tcPr>
            <w:tcW w:w="3237" w:type="dxa"/>
          </w:tcPr>
          <w:p w:rsidR="00D51951" w:rsidRPr="00D51951" w:rsidRDefault="00D51951" w:rsidP="00D51951">
            <w:pPr>
              <w:autoSpaceDE w:val="0"/>
              <w:autoSpaceDN w:val="0"/>
              <w:adjustRightInd w:val="0"/>
              <w:rPr>
                <w:rFonts w:eastAsiaTheme="minorHAnsi" w:cstheme="minorHAnsi"/>
                <w:sz w:val="22"/>
                <w:szCs w:val="22"/>
              </w:rPr>
            </w:pPr>
            <w:r w:rsidRPr="00D51951">
              <w:rPr>
                <w:rFonts w:eastAsiaTheme="minorHAnsi" w:cstheme="minorHAnsi"/>
                <w:sz w:val="22"/>
                <w:szCs w:val="22"/>
              </w:rPr>
              <w:t xml:space="preserve">For </w:t>
            </w:r>
            <w:proofErr w:type="gramStart"/>
            <w:r w:rsidRPr="00D51951">
              <w:rPr>
                <w:rFonts w:eastAsiaTheme="minorHAnsi" w:cstheme="minorHAnsi"/>
                <w:sz w:val="22"/>
                <w:szCs w:val="22"/>
              </w:rPr>
              <w:t>Example</w:t>
            </w:r>
            <w:proofErr w:type="gramEnd"/>
            <w:r w:rsidRPr="00D51951">
              <w:rPr>
                <w:rFonts w:eastAsiaTheme="minorHAnsi" w:cstheme="minorHAnsi"/>
                <w:sz w:val="22"/>
                <w:szCs w:val="22"/>
              </w:rPr>
              <w:t xml:space="preserve"> 7, on supporting Internet infrastructure organizations through the provision of</w:t>
            </w:r>
            <w:r>
              <w:rPr>
                <w:rFonts w:eastAsiaTheme="minorHAnsi" w:cstheme="minorHAnsi"/>
                <w:sz w:val="22"/>
                <w:szCs w:val="22"/>
              </w:rPr>
              <w:t xml:space="preserve"> </w:t>
            </w:r>
            <w:r w:rsidRPr="00D51951">
              <w:rPr>
                <w:rFonts w:eastAsiaTheme="minorHAnsi" w:cstheme="minorHAnsi"/>
                <w:sz w:val="22"/>
                <w:szCs w:val="22"/>
              </w:rPr>
              <w:t>generators, chargers, and equipment to maintain local access to the Internet, while it is a</w:t>
            </w:r>
            <w:r>
              <w:rPr>
                <w:rFonts w:eastAsiaTheme="minorHAnsi" w:cstheme="minorHAnsi"/>
                <w:sz w:val="22"/>
                <w:szCs w:val="22"/>
              </w:rPr>
              <w:t xml:space="preserve"> </w:t>
            </w:r>
            <w:r w:rsidRPr="00D51951">
              <w:rPr>
                <w:rFonts w:eastAsiaTheme="minorHAnsi" w:cstheme="minorHAnsi"/>
                <w:sz w:val="22"/>
                <w:szCs w:val="22"/>
              </w:rPr>
              <w:t>very meaningful goal, is likely outside of ICANN’s mission. There may be other forms of</w:t>
            </w:r>
          </w:p>
          <w:p w:rsidR="00D51951" w:rsidRPr="00D51951" w:rsidRDefault="00D51951" w:rsidP="00D51951">
            <w:pPr>
              <w:autoSpaceDE w:val="0"/>
              <w:autoSpaceDN w:val="0"/>
              <w:adjustRightInd w:val="0"/>
              <w:rPr>
                <w:rFonts w:eastAsiaTheme="minorHAnsi" w:cstheme="minorHAnsi"/>
                <w:sz w:val="22"/>
                <w:szCs w:val="22"/>
              </w:rPr>
            </w:pPr>
            <w:r w:rsidRPr="00D51951">
              <w:rPr>
                <w:rFonts w:eastAsiaTheme="minorHAnsi" w:cstheme="minorHAnsi"/>
                <w:sz w:val="22"/>
                <w:szCs w:val="22"/>
              </w:rPr>
              <w:t>assistance or education that could be provided that are appropriately funded in alignment</w:t>
            </w:r>
            <w:r>
              <w:rPr>
                <w:rFonts w:eastAsiaTheme="minorHAnsi" w:cstheme="minorHAnsi"/>
                <w:sz w:val="22"/>
                <w:szCs w:val="22"/>
              </w:rPr>
              <w:t xml:space="preserve"> </w:t>
            </w:r>
            <w:r w:rsidRPr="00D51951">
              <w:rPr>
                <w:rFonts w:eastAsiaTheme="minorHAnsi" w:cstheme="minorHAnsi"/>
                <w:sz w:val="22"/>
                <w:szCs w:val="22"/>
              </w:rPr>
              <w:t>with ICANN’s mission.</w:t>
            </w:r>
          </w:p>
        </w:tc>
        <w:tc>
          <w:tcPr>
            <w:tcW w:w="3237" w:type="dxa"/>
          </w:tcPr>
          <w:p w:rsidR="00D51951" w:rsidRDefault="000F53C7">
            <w:r>
              <w:rPr>
                <w:sz w:val="22"/>
                <w:szCs w:val="22"/>
              </w:rPr>
              <w:t xml:space="preserve">Example 7: </w:t>
            </w:r>
            <w:r w:rsidR="00D51357" w:rsidRPr="0099345D">
              <w:rPr>
                <w:sz w:val="22"/>
                <w:szCs w:val="22"/>
              </w:rPr>
              <w:t xml:space="preserve">A global program to support disaster </w:t>
            </w:r>
            <w:r w:rsidR="00D51357">
              <w:rPr>
                <w:sz w:val="22"/>
                <w:szCs w:val="22"/>
              </w:rPr>
              <w:t>p</w:t>
            </w:r>
            <w:r w:rsidR="00D51357" w:rsidRPr="0099345D">
              <w:rPr>
                <w:sz w:val="22"/>
                <w:szCs w:val="22"/>
              </w:rPr>
              <w:t>reparedness</w:t>
            </w:r>
            <w:r w:rsidR="00D51357">
              <w:rPr>
                <w:sz w:val="22"/>
                <w:szCs w:val="22"/>
              </w:rPr>
              <w:t xml:space="preserve"> </w:t>
            </w:r>
            <w:r w:rsidR="00D51357" w:rsidRPr="0099345D">
              <w:rPr>
                <w:sz w:val="22"/>
                <w:szCs w:val="22"/>
              </w:rPr>
              <w:t>/</w:t>
            </w:r>
            <w:r w:rsidR="00D51357">
              <w:rPr>
                <w:sz w:val="22"/>
                <w:szCs w:val="22"/>
              </w:rPr>
              <w:t xml:space="preserve"> </w:t>
            </w:r>
            <w:r w:rsidR="00D51357" w:rsidRPr="0099345D">
              <w:rPr>
                <w:sz w:val="22"/>
                <w:szCs w:val="22"/>
              </w:rPr>
              <w:t xml:space="preserve">management for Internet infrastructure organizations is structured with support from international organizations, following best practices and encouraging collaboration among the community. (As an example of potential impact/benefit of this project: A disaster hits 3 African nations. The </w:t>
            </w:r>
            <w:proofErr w:type="spellStart"/>
            <w:r w:rsidR="00D51357" w:rsidRPr="0099345D">
              <w:rPr>
                <w:sz w:val="22"/>
                <w:szCs w:val="22"/>
              </w:rPr>
              <w:t>ccTLD</w:t>
            </w:r>
            <w:proofErr w:type="spellEnd"/>
            <w:r w:rsidR="00D51357" w:rsidRPr="0099345D">
              <w:rPr>
                <w:sz w:val="22"/>
                <w:szCs w:val="22"/>
              </w:rPr>
              <w:t>, ISPs, and other technical community organizations in the country have mechanisms in place to manage the disaster. They are well coordinated and able to have the Internet up and running very quickly to support first responders to do their work. There are funds available to provide assistance to technical community organizations (not eligible under humanitarian provisions) to receive generators, chargers, equipment and assistance to keep the Internet running.</w:t>
            </w:r>
          </w:p>
        </w:tc>
        <w:tc>
          <w:tcPr>
            <w:tcW w:w="3238" w:type="dxa"/>
          </w:tcPr>
          <w:p w:rsidR="00D51951" w:rsidRDefault="00D51951"/>
        </w:tc>
        <w:tc>
          <w:tcPr>
            <w:tcW w:w="3238" w:type="dxa"/>
          </w:tcPr>
          <w:p w:rsidR="00D51951" w:rsidRDefault="00D51951"/>
        </w:tc>
      </w:tr>
      <w:tr w:rsidR="005E6436" w:rsidTr="00C47E5E">
        <w:tc>
          <w:tcPr>
            <w:tcW w:w="3237" w:type="dxa"/>
          </w:tcPr>
          <w:p w:rsidR="00A34D19" w:rsidRPr="00A34D19" w:rsidRDefault="00A34D19" w:rsidP="00A34D19">
            <w:pPr>
              <w:autoSpaceDE w:val="0"/>
              <w:autoSpaceDN w:val="0"/>
              <w:adjustRightInd w:val="0"/>
              <w:rPr>
                <w:rFonts w:eastAsiaTheme="minorHAnsi" w:cstheme="minorHAnsi"/>
                <w:sz w:val="22"/>
                <w:szCs w:val="22"/>
              </w:rPr>
            </w:pPr>
            <w:r w:rsidRPr="00A34D19">
              <w:rPr>
                <w:rFonts w:eastAsiaTheme="minorHAnsi" w:cstheme="minorHAnsi"/>
                <w:sz w:val="22"/>
                <w:szCs w:val="22"/>
              </w:rPr>
              <w:lastRenderedPageBreak/>
              <w:t>Examples 8 and 9 name specific entities as part of the examples. The entities may not be</w:t>
            </w:r>
          </w:p>
          <w:p w:rsidR="00A34D19" w:rsidRPr="00A34D19" w:rsidRDefault="00A34D19" w:rsidP="00A34D19">
            <w:pPr>
              <w:autoSpaceDE w:val="0"/>
              <w:autoSpaceDN w:val="0"/>
              <w:adjustRightInd w:val="0"/>
              <w:rPr>
                <w:rFonts w:eastAsiaTheme="minorHAnsi" w:cstheme="minorHAnsi"/>
                <w:sz w:val="22"/>
                <w:szCs w:val="22"/>
              </w:rPr>
            </w:pPr>
            <w:r w:rsidRPr="00A34D19">
              <w:rPr>
                <w:rFonts w:eastAsiaTheme="minorHAnsi" w:cstheme="minorHAnsi"/>
                <w:sz w:val="22"/>
                <w:szCs w:val="22"/>
              </w:rPr>
              <w:t>only actors or organizations in their field. To the extent that examples name specific entities,</w:t>
            </w:r>
          </w:p>
          <w:p w:rsidR="005E6436" w:rsidRPr="00D51951" w:rsidRDefault="00A34D19" w:rsidP="00A34D19">
            <w:pPr>
              <w:autoSpaceDE w:val="0"/>
              <w:autoSpaceDN w:val="0"/>
              <w:adjustRightInd w:val="0"/>
              <w:rPr>
                <w:rFonts w:eastAsiaTheme="minorHAnsi" w:cstheme="minorHAnsi"/>
                <w:sz w:val="22"/>
                <w:szCs w:val="22"/>
              </w:rPr>
            </w:pPr>
            <w:r w:rsidRPr="00A34D19">
              <w:rPr>
                <w:rFonts w:eastAsiaTheme="minorHAnsi" w:cstheme="minorHAnsi"/>
                <w:sz w:val="22"/>
                <w:szCs w:val="22"/>
              </w:rPr>
              <w:t>there must be mechanisms to allow for fair distribution among similarly situated entities.</w:t>
            </w:r>
          </w:p>
        </w:tc>
        <w:tc>
          <w:tcPr>
            <w:tcW w:w="3237" w:type="dxa"/>
          </w:tcPr>
          <w:p w:rsidR="005E6436" w:rsidRDefault="00D51357">
            <w:pPr>
              <w:rPr>
                <w:sz w:val="22"/>
                <w:szCs w:val="22"/>
              </w:rPr>
            </w:pPr>
            <w:r>
              <w:rPr>
                <w:sz w:val="22"/>
                <w:szCs w:val="22"/>
              </w:rPr>
              <w:t xml:space="preserve">Example 8: </w:t>
            </w:r>
            <w:r w:rsidRPr="0099345D">
              <w:rPr>
                <w:sz w:val="22"/>
                <w:szCs w:val="22"/>
              </w:rPr>
              <w:t>The IETF endowment fund receives a donation (unrestricted gift) to support standards development</w:t>
            </w:r>
            <w:r>
              <w:rPr>
                <w:sz w:val="22"/>
                <w:szCs w:val="22"/>
              </w:rPr>
              <w:t>.</w:t>
            </w:r>
          </w:p>
          <w:p w:rsidR="00D51357" w:rsidRDefault="00D51357">
            <w:r>
              <w:rPr>
                <w:sz w:val="22"/>
                <w:szCs w:val="22"/>
              </w:rPr>
              <w:t xml:space="preserve">Example 9: </w:t>
            </w:r>
            <w:r w:rsidRPr="0099345D">
              <w:rPr>
                <w:sz w:val="22"/>
                <w:szCs w:val="22"/>
              </w:rPr>
              <w:t>ISC to receive a donation from the auction pool (unrestricted gift) to support BIND development and maintenance. Although ISC conducts commercial activities to guarantee the development of BIND, the organization is a non-profit one, and revenue is used for sustainability of BIND.</w:t>
            </w:r>
          </w:p>
        </w:tc>
        <w:tc>
          <w:tcPr>
            <w:tcW w:w="3238" w:type="dxa"/>
          </w:tcPr>
          <w:p w:rsidR="005E6436" w:rsidRDefault="005E6436"/>
        </w:tc>
        <w:tc>
          <w:tcPr>
            <w:tcW w:w="3238" w:type="dxa"/>
          </w:tcPr>
          <w:p w:rsidR="005E6436" w:rsidRDefault="005E6436"/>
        </w:tc>
      </w:tr>
      <w:tr w:rsidR="00A34D19" w:rsidTr="00C47E5E">
        <w:tc>
          <w:tcPr>
            <w:tcW w:w="3237" w:type="dxa"/>
          </w:tcPr>
          <w:p w:rsidR="00A34D19" w:rsidRPr="00A34D19" w:rsidRDefault="00A34D19" w:rsidP="00A34D19">
            <w:pPr>
              <w:autoSpaceDE w:val="0"/>
              <w:autoSpaceDN w:val="0"/>
              <w:adjustRightInd w:val="0"/>
              <w:rPr>
                <w:rFonts w:eastAsiaTheme="minorHAnsi" w:cstheme="minorHAnsi"/>
                <w:sz w:val="22"/>
                <w:szCs w:val="22"/>
              </w:rPr>
            </w:pPr>
            <w:r w:rsidRPr="00A34D19">
              <w:rPr>
                <w:rFonts w:eastAsiaTheme="minorHAnsi" w:cstheme="minorHAnsi"/>
                <w:sz w:val="22"/>
                <w:szCs w:val="22"/>
              </w:rPr>
              <w:t xml:space="preserve">For </w:t>
            </w:r>
            <w:proofErr w:type="gramStart"/>
            <w:r w:rsidRPr="00A34D19">
              <w:rPr>
                <w:rFonts w:eastAsiaTheme="minorHAnsi" w:cstheme="minorHAnsi"/>
                <w:sz w:val="22"/>
                <w:szCs w:val="22"/>
              </w:rPr>
              <w:t>Example</w:t>
            </w:r>
            <w:proofErr w:type="gramEnd"/>
            <w:r w:rsidRPr="00A34D19">
              <w:rPr>
                <w:rFonts w:eastAsiaTheme="minorHAnsi" w:cstheme="minorHAnsi"/>
                <w:sz w:val="22"/>
                <w:szCs w:val="22"/>
              </w:rPr>
              <w:t xml:space="preserve"> 10, on grants to support the development of NGOs and Internet Governance</w:t>
            </w:r>
          </w:p>
          <w:p w:rsidR="00A34D19" w:rsidRPr="00A34D19" w:rsidRDefault="00A34D19" w:rsidP="00A34D19">
            <w:pPr>
              <w:autoSpaceDE w:val="0"/>
              <w:autoSpaceDN w:val="0"/>
              <w:adjustRightInd w:val="0"/>
              <w:rPr>
                <w:rFonts w:eastAsiaTheme="minorHAnsi" w:cstheme="minorHAnsi"/>
                <w:sz w:val="22"/>
                <w:szCs w:val="22"/>
              </w:rPr>
            </w:pPr>
            <w:r w:rsidRPr="00A34D19">
              <w:rPr>
                <w:rFonts w:eastAsiaTheme="minorHAnsi" w:cstheme="minorHAnsi"/>
                <w:sz w:val="22"/>
                <w:szCs w:val="22"/>
              </w:rPr>
              <w:t xml:space="preserve">Forums, whereas ICANN participates in </w:t>
            </w:r>
            <w:proofErr w:type="gramStart"/>
            <w:r w:rsidRPr="00A34D19">
              <w:rPr>
                <w:rFonts w:eastAsiaTheme="minorHAnsi" w:cstheme="minorHAnsi"/>
                <w:sz w:val="22"/>
                <w:szCs w:val="22"/>
              </w:rPr>
              <w:t>an</w:t>
            </w:r>
            <w:proofErr w:type="gramEnd"/>
            <w:r w:rsidRPr="00A34D19">
              <w:rPr>
                <w:rFonts w:eastAsiaTheme="minorHAnsi" w:cstheme="minorHAnsi"/>
                <w:sz w:val="22"/>
                <w:szCs w:val="22"/>
              </w:rPr>
              <w:t xml:space="preserve"> supports wider Internet Governance (IG)</w:t>
            </w:r>
          </w:p>
          <w:p w:rsidR="00A34D19" w:rsidRPr="00A34D19" w:rsidRDefault="00A34D19" w:rsidP="00A34D19">
            <w:pPr>
              <w:autoSpaceDE w:val="0"/>
              <w:autoSpaceDN w:val="0"/>
              <w:adjustRightInd w:val="0"/>
              <w:rPr>
                <w:rFonts w:eastAsiaTheme="minorHAnsi" w:cstheme="minorHAnsi"/>
                <w:sz w:val="22"/>
                <w:szCs w:val="22"/>
              </w:rPr>
            </w:pPr>
            <w:r w:rsidRPr="00A34D19">
              <w:rPr>
                <w:rFonts w:eastAsiaTheme="minorHAnsi" w:cstheme="minorHAnsi"/>
                <w:sz w:val="22"/>
                <w:szCs w:val="22"/>
              </w:rPr>
              <w:t>development as it relates to our mission, it is well beyond ICANN’s mission to heavily invest</w:t>
            </w:r>
          </w:p>
          <w:p w:rsidR="00A34D19" w:rsidRPr="00A34D19" w:rsidRDefault="00A34D19" w:rsidP="00A34D19">
            <w:pPr>
              <w:autoSpaceDE w:val="0"/>
              <w:autoSpaceDN w:val="0"/>
              <w:adjustRightInd w:val="0"/>
              <w:rPr>
                <w:rFonts w:eastAsiaTheme="minorHAnsi" w:cstheme="minorHAnsi"/>
                <w:sz w:val="22"/>
                <w:szCs w:val="22"/>
              </w:rPr>
            </w:pPr>
            <w:r w:rsidRPr="00A34D19">
              <w:rPr>
                <w:rFonts w:eastAsiaTheme="minorHAnsi" w:cstheme="minorHAnsi"/>
                <w:sz w:val="22"/>
                <w:szCs w:val="22"/>
              </w:rPr>
              <w:t>in IG activities.</w:t>
            </w:r>
          </w:p>
        </w:tc>
        <w:tc>
          <w:tcPr>
            <w:tcW w:w="3237" w:type="dxa"/>
          </w:tcPr>
          <w:p w:rsidR="00A34D19" w:rsidRDefault="000F53C7">
            <w:r>
              <w:rPr>
                <w:sz w:val="22"/>
                <w:szCs w:val="22"/>
              </w:rPr>
              <w:t xml:space="preserve">Example 10: </w:t>
            </w:r>
            <w:proofErr w:type="gramStart"/>
            <w:r w:rsidR="00D51357" w:rsidRPr="0099345D">
              <w:rPr>
                <w:sz w:val="22"/>
                <w:szCs w:val="22"/>
              </w:rPr>
              <w:t>5 year</w:t>
            </w:r>
            <w:proofErr w:type="gramEnd"/>
            <w:r w:rsidR="00D51357" w:rsidRPr="0099345D">
              <w:rPr>
                <w:sz w:val="22"/>
                <w:szCs w:val="22"/>
              </w:rPr>
              <w:t xml:space="preserve"> grants to support the development of NGOs and Internet Governance forums in 100 locations at local, national, regional and global level increases participation at ICANN processes by 35%.</w:t>
            </w:r>
          </w:p>
        </w:tc>
        <w:tc>
          <w:tcPr>
            <w:tcW w:w="3238" w:type="dxa"/>
          </w:tcPr>
          <w:p w:rsidR="00A34D19" w:rsidRDefault="00A34D19"/>
        </w:tc>
        <w:tc>
          <w:tcPr>
            <w:tcW w:w="3238" w:type="dxa"/>
          </w:tcPr>
          <w:p w:rsidR="00A34D19" w:rsidRDefault="00A34D19"/>
        </w:tc>
      </w:tr>
      <w:tr w:rsidR="00A34D19" w:rsidTr="00C47E5E">
        <w:tc>
          <w:tcPr>
            <w:tcW w:w="3237" w:type="dxa"/>
          </w:tcPr>
          <w:p w:rsidR="00A34D19" w:rsidRPr="00A34D19" w:rsidRDefault="00A34D19" w:rsidP="00A34D19">
            <w:pPr>
              <w:autoSpaceDE w:val="0"/>
              <w:autoSpaceDN w:val="0"/>
              <w:adjustRightInd w:val="0"/>
              <w:rPr>
                <w:rFonts w:eastAsiaTheme="minorHAnsi" w:cstheme="minorHAnsi"/>
                <w:sz w:val="22"/>
                <w:szCs w:val="22"/>
              </w:rPr>
            </w:pPr>
            <w:r w:rsidRPr="00A34D19">
              <w:rPr>
                <w:rFonts w:eastAsiaTheme="minorHAnsi" w:cstheme="minorHAnsi"/>
                <w:sz w:val="22"/>
                <w:szCs w:val="22"/>
              </w:rPr>
              <w:t xml:space="preserve">For </w:t>
            </w:r>
            <w:proofErr w:type="gramStart"/>
            <w:r w:rsidRPr="00A34D19">
              <w:rPr>
                <w:rFonts w:eastAsiaTheme="minorHAnsi" w:cstheme="minorHAnsi"/>
                <w:sz w:val="22"/>
                <w:szCs w:val="22"/>
              </w:rPr>
              <w:t>Example</w:t>
            </w:r>
            <w:proofErr w:type="gramEnd"/>
            <w:r w:rsidRPr="00A34D19">
              <w:rPr>
                <w:rFonts w:eastAsiaTheme="minorHAnsi" w:cstheme="minorHAnsi"/>
                <w:sz w:val="22"/>
                <w:szCs w:val="22"/>
              </w:rPr>
              <w:t xml:space="preserve"> 11, on projects to improve ease of registration of generic domain names in</w:t>
            </w:r>
          </w:p>
          <w:p w:rsidR="00A34D19" w:rsidRPr="00A34D19" w:rsidRDefault="00A34D19" w:rsidP="00A34D19">
            <w:pPr>
              <w:autoSpaceDE w:val="0"/>
              <w:autoSpaceDN w:val="0"/>
              <w:adjustRightInd w:val="0"/>
              <w:rPr>
                <w:rFonts w:eastAsiaTheme="minorHAnsi" w:cstheme="minorHAnsi"/>
                <w:sz w:val="22"/>
                <w:szCs w:val="22"/>
              </w:rPr>
            </w:pPr>
            <w:r w:rsidRPr="00A34D19">
              <w:rPr>
                <w:rFonts w:eastAsiaTheme="minorHAnsi" w:cstheme="minorHAnsi"/>
                <w:sz w:val="22"/>
                <w:szCs w:val="22"/>
              </w:rPr>
              <w:t>developing countries, ICANN’s role is to ensure stability and security of the DNS by</w:t>
            </w:r>
          </w:p>
          <w:p w:rsidR="00A34D19" w:rsidRPr="00A34D19" w:rsidRDefault="00A34D19" w:rsidP="00A34D19">
            <w:pPr>
              <w:autoSpaceDE w:val="0"/>
              <w:autoSpaceDN w:val="0"/>
              <w:adjustRightInd w:val="0"/>
              <w:rPr>
                <w:rFonts w:eastAsiaTheme="minorHAnsi" w:cstheme="minorHAnsi"/>
                <w:sz w:val="22"/>
                <w:szCs w:val="22"/>
              </w:rPr>
            </w:pPr>
            <w:r w:rsidRPr="00A34D19">
              <w:rPr>
                <w:rFonts w:eastAsiaTheme="minorHAnsi" w:cstheme="minorHAnsi"/>
                <w:sz w:val="22"/>
                <w:szCs w:val="22"/>
              </w:rPr>
              <w:lastRenderedPageBreak/>
              <w:t>facilitating the allocation of names at the top level and to coordinating policy development</w:t>
            </w:r>
          </w:p>
          <w:p w:rsidR="00A34D19" w:rsidRPr="00A34D19" w:rsidRDefault="00A34D19" w:rsidP="00A34D19">
            <w:pPr>
              <w:autoSpaceDE w:val="0"/>
              <w:autoSpaceDN w:val="0"/>
              <w:adjustRightInd w:val="0"/>
              <w:rPr>
                <w:rFonts w:eastAsiaTheme="minorHAnsi" w:cstheme="minorHAnsi"/>
                <w:sz w:val="22"/>
                <w:szCs w:val="22"/>
              </w:rPr>
            </w:pPr>
            <w:r w:rsidRPr="00A34D19">
              <w:rPr>
                <w:rFonts w:eastAsiaTheme="minorHAnsi" w:cstheme="minorHAnsi"/>
                <w:sz w:val="22"/>
                <w:szCs w:val="22"/>
              </w:rPr>
              <w:t>and implementation. Registration systems development may well facilitate use of the DNS</w:t>
            </w:r>
            <w:r>
              <w:rPr>
                <w:rFonts w:eastAsiaTheme="minorHAnsi" w:cstheme="minorHAnsi"/>
                <w:sz w:val="22"/>
                <w:szCs w:val="22"/>
              </w:rPr>
              <w:t xml:space="preserve"> </w:t>
            </w:r>
            <w:r w:rsidRPr="00A34D19">
              <w:rPr>
                <w:rFonts w:eastAsiaTheme="minorHAnsi" w:cstheme="minorHAnsi"/>
                <w:sz w:val="22"/>
                <w:szCs w:val="22"/>
              </w:rPr>
              <w:t>in developing countries, which is clearly worthwhile, but specific support for this may be</w:t>
            </w:r>
          </w:p>
          <w:p w:rsidR="00A34D19" w:rsidRPr="00A34D19" w:rsidRDefault="00A34D19" w:rsidP="00A34D19">
            <w:pPr>
              <w:autoSpaceDE w:val="0"/>
              <w:autoSpaceDN w:val="0"/>
              <w:adjustRightInd w:val="0"/>
              <w:rPr>
                <w:rFonts w:eastAsiaTheme="minorHAnsi" w:cstheme="minorHAnsi"/>
                <w:sz w:val="22"/>
                <w:szCs w:val="22"/>
              </w:rPr>
            </w:pPr>
            <w:r w:rsidRPr="00A34D19">
              <w:rPr>
                <w:rFonts w:eastAsiaTheme="minorHAnsi" w:cstheme="minorHAnsi"/>
                <w:sz w:val="22"/>
                <w:szCs w:val="22"/>
              </w:rPr>
              <w:t>beyond our mission. We have similar concerns with Example 12 on the development of</w:t>
            </w:r>
            <w:r>
              <w:rPr>
                <w:rFonts w:eastAsiaTheme="minorHAnsi" w:cstheme="minorHAnsi"/>
                <w:sz w:val="22"/>
                <w:szCs w:val="22"/>
              </w:rPr>
              <w:t xml:space="preserve"> </w:t>
            </w:r>
            <w:r w:rsidRPr="00A34D19">
              <w:rPr>
                <w:rFonts w:eastAsiaTheme="minorHAnsi" w:cstheme="minorHAnsi"/>
                <w:sz w:val="22"/>
                <w:szCs w:val="22"/>
              </w:rPr>
              <w:t>IXPs.</w:t>
            </w:r>
          </w:p>
        </w:tc>
        <w:tc>
          <w:tcPr>
            <w:tcW w:w="3237" w:type="dxa"/>
          </w:tcPr>
          <w:p w:rsidR="00A34D19" w:rsidRDefault="00D51357">
            <w:r w:rsidRPr="00D51357">
              <w:rPr>
                <w:sz w:val="22"/>
                <w:szCs w:val="22"/>
              </w:rPr>
              <w:lastRenderedPageBreak/>
              <w:t xml:space="preserve">Example 11: </w:t>
            </w:r>
            <w:r w:rsidRPr="0099345D">
              <w:rPr>
                <w:sz w:val="22"/>
                <w:szCs w:val="22"/>
              </w:rPr>
              <w:t xml:space="preserve">Projects that can improve ease of registration of generic domain names in developing countries, (registration in their own language, payment in local currency, for example) in view of the scarcity of local ICANN </w:t>
            </w:r>
            <w:r w:rsidRPr="0099345D">
              <w:rPr>
                <w:sz w:val="22"/>
                <w:szCs w:val="22"/>
              </w:rPr>
              <w:lastRenderedPageBreak/>
              <w:t>accredited registrars in many of these nations.</w:t>
            </w:r>
          </w:p>
        </w:tc>
        <w:tc>
          <w:tcPr>
            <w:tcW w:w="3238" w:type="dxa"/>
          </w:tcPr>
          <w:p w:rsidR="00A34D19" w:rsidRDefault="00A34D19"/>
        </w:tc>
        <w:tc>
          <w:tcPr>
            <w:tcW w:w="3238" w:type="dxa"/>
          </w:tcPr>
          <w:p w:rsidR="00A34D19" w:rsidRDefault="00A34D19"/>
        </w:tc>
      </w:tr>
      <w:tr w:rsidR="00D51357" w:rsidTr="00C47E5E">
        <w:tc>
          <w:tcPr>
            <w:tcW w:w="3237" w:type="dxa"/>
          </w:tcPr>
          <w:p w:rsidR="00D51357" w:rsidRPr="009659A4" w:rsidRDefault="00D51357" w:rsidP="00D51357">
            <w:pPr>
              <w:autoSpaceDE w:val="0"/>
              <w:autoSpaceDN w:val="0"/>
              <w:adjustRightInd w:val="0"/>
              <w:rPr>
                <w:rFonts w:eastAsiaTheme="minorHAnsi" w:cstheme="minorHAnsi"/>
                <w:sz w:val="22"/>
                <w:szCs w:val="22"/>
              </w:rPr>
            </w:pPr>
            <w:r w:rsidRPr="009659A4">
              <w:rPr>
                <w:rFonts w:eastAsiaTheme="minorHAnsi" w:cstheme="minorHAnsi"/>
                <w:sz w:val="22"/>
                <w:szCs w:val="22"/>
              </w:rPr>
              <w:t xml:space="preserve">For </w:t>
            </w:r>
            <w:proofErr w:type="gramStart"/>
            <w:r w:rsidRPr="009659A4">
              <w:rPr>
                <w:rFonts w:eastAsiaTheme="minorHAnsi" w:cstheme="minorHAnsi"/>
                <w:sz w:val="22"/>
                <w:szCs w:val="22"/>
              </w:rPr>
              <w:t>Example</w:t>
            </w:r>
            <w:proofErr w:type="gramEnd"/>
            <w:r w:rsidRPr="009659A4">
              <w:rPr>
                <w:rFonts w:eastAsiaTheme="minorHAnsi" w:cstheme="minorHAnsi"/>
                <w:sz w:val="22"/>
                <w:szCs w:val="22"/>
              </w:rPr>
              <w:t xml:space="preserve"> 13, specifically regarding supporting the work of the W3C on areas of common</w:t>
            </w:r>
          </w:p>
          <w:p w:rsidR="00D51357" w:rsidRPr="009659A4" w:rsidRDefault="00D51357" w:rsidP="00D51357">
            <w:pPr>
              <w:autoSpaceDE w:val="0"/>
              <w:autoSpaceDN w:val="0"/>
              <w:adjustRightInd w:val="0"/>
              <w:rPr>
                <w:rFonts w:eastAsiaTheme="minorHAnsi" w:cstheme="minorHAnsi"/>
                <w:sz w:val="22"/>
                <w:szCs w:val="22"/>
              </w:rPr>
            </w:pPr>
            <w:r w:rsidRPr="009659A4">
              <w:rPr>
                <w:rFonts w:eastAsiaTheme="minorHAnsi" w:cstheme="minorHAnsi"/>
                <w:sz w:val="22"/>
                <w:szCs w:val="22"/>
              </w:rPr>
              <w:t>interest, there may be projects anticipated that are within ICANN’s mission and others that</w:t>
            </w:r>
          </w:p>
          <w:p w:rsidR="00D51357" w:rsidRPr="009659A4" w:rsidRDefault="00D51357" w:rsidP="00D51357">
            <w:pPr>
              <w:autoSpaceDE w:val="0"/>
              <w:autoSpaceDN w:val="0"/>
              <w:adjustRightInd w:val="0"/>
              <w:rPr>
                <w:rFonts w:eastAsiaTheme="minorHAnsi" w:cstheme="minorHAnsi"/>
                <w:sz w:val="22"/>
                <w:szCs w:val="22"/>
              </w:rPr>
            </w:pPr>
            <w:r w:rsidRPr="009659A4">
              <w:rPr>
                <w:rFonts w:eastAsiaTheme="minorHAnsi" w:cstheme="minorHAnsi"/>
                <w:sz w:val="22"/>
                <w:szCs w:val="22"/>
              </w:rPr>
              <w:t>are outside of the mission. The Board also reiterates its note that it is not in a position to</w:t>
            </w:r>
          </w:p>
          <w:p w:rsidR="00D51357" w:rsidRPr="009659A4" w:rsidRDefault="00D51357" w:rsidP="00D51357">
            <w:pPr>
              <w:autoSpaceDE w:val="0"/>
              <w:autoSpaceDN w:val="0"/>
              <w:adjustRightInd w:val="0"/>
              <w:rPr>
                <w:rFonts w:eastAsiaTheme="minorHAnsi" w:cstheme="minorHAnsi"/>
                <w:sz w:val="22"/>
                <w:szCs w:val="22"/>
              </w:rPr>
            </w:pPr>
            <w:r w:rsidRPr="009659A4">
              <w:rPr>
                <w:rFonts w:eastAsiaTheme="minorHAnsi" w:cstheme="minorHAnsi"/>
                <w:sz w:val="22"/>
                <w:szCs w:val="22"/>
              </w:rPr>
              <w:t>consider at this time whether any individual organization may appropriately receive funds in</w:t>
            </w:r>
          </w:p>
          <w:p w:rsidR="00D51357" w:rsidRPr="00A34D19" w:rsidRDefault="00D51357" w:rsidP="00D51357">
            <w:pPr>
              <w:autoSpaceDE w:val="0"/>
              <w:autoSpaceDN w:val="0"/>
              <w:adjustRightInd w:val="0"/>
              <w:rPr>
                <w:rFonts w:eastAsiaTheme="minorHAnsi" w:cstheme="minorHAnsi"/>
                <w:sz w:val="22"/>
                <w:szCs w:val="22"/>
              </w:rPr>
            </w:pPr>
            <w:r w:rsidRPr="009659A4">
              <w:rPr>
                <w:rFonts w:eastAsiaTheme="minorHAnsi" w:cstheme="minorHAnsi"/>
                <w:sz w:val="22"/>
                <w:szCs w:val="22"/>
              </w:rPr>
              <w:t>alignment with the legal and fiduciary constraints provided to the CCWG-AP previously.</w:t>
            </w:r>
          </w:p>
        </w:tc>
        <w:tc>
          <w:tcPr>
            <w:tcW w:w="3237" w:type="dxa"/>
          </w:tcPr>
          <w:p w:rsidR="00D51357" w:rsidRPr="0099345D" w:rsidRDefault="00D51357" w:rsidP="00D51357">
            <w:pPr>
              <w:rPr>
                <w:sz w:val="22"/>
                <w:szCs w:val="22"/>
              </w:rPr>
            </w:pPr>
            <w:r>
              <w:rPr>
                <w:sz w:val="22"/>
                <w:szCs w:val="22"/>
              </w:rPr>
              <w:t xml:space="preserve">Example 13: </w:t>
            </w:r>
            <w:r w:rsidRPr="0099345D">
              <w:rPr>
                <w:sz w:val="22"/>
                <w:szCs w:val="22"/>
              </w:rPr>
              <w:t xml:space="preserve">Support work done by W3C on areas of common interest. </w:t>
            </w:r>
            <w:r w:rsidRPr="0099345D">
              <w:rPr>
                <w:b/>
                <w:sz w:val="22"/>
                <w:szCs w:val="22"/>
              </w:rPr>
              <w:t>Horizontal activities</w:t>
            </w:r>
            <w:r w:rsidRPr="0099345D">
              <w:rPr>
                <w:sz w:val="22"/>
                <w:szCs w:val="22"/>
              </w:rPr>
              <w:t xml:space="preserve"> are broadly recognized as an important part of the value of W3C. The following endeavors could be undertaken with more means:</w:t>
            </w:r>
          </w:p>
          <w:p w:rsidR="00D51357" w:rsidRPr="0099345D" w:rsidRDefault="00D51357" w:rsidP="00D51357">
            <w:pPr>
              <w:numPr>
                <w:ilvl w:val="0"/>
                <w:numId w:val="3"/>
              </w:numPr>
              <w:contextualSpacing/>
              <w:rPr>
                <w:sz w:val="22"/>
                <w:szCs w:val="22"/>
              </w:rPr>
            </w:pPr>
            <w:r w:rsidRPr="0099345D">
              <w:rPr>
                <w:sz w:val="22"/>
                <w:szCs w:val="22"/>
              </w:rPr>
              <w:t>enhanced Web security and privacy (in conjunction with IETF),</w:t>
            </w:r>
          </w:p>
          <w:p w:rsidR="00D51357" w:rsidRPr="0099345D" w:rsidRDefault="00D51357" w:rsidP="00D51357">
            <w:pPr>
              <w:numPr>
                <w:ilvl w:val="0"/>
                <w:numId w:val="3"/>
              </w:numPr>
              <w:contextualSpacing/>
              <w:rPr>
                <w:sz w:val="22"/>
                <w:szCs w:val="22"/>
              </w:rPr>
            </w:pPr>
            <w:r w:rsidRPr="0099345D">
              <w:rPr>
                <w:sz w:val="22"/>
                <w:szCs w:val="22"/>
              </w:rPr>
              <w:t>work on handling Web related IDN and Universal acceptance issues,</w:t>
            </w:r>
          </w:p>
          <w:p w:rsidR="00D51357" w:rsidRPr="0099345D" w:rsidRDefault="00D51357" w:rsidP="00D51357">
            <w:pPr>
              <w:numPr>
                <w:ilvl w:val="0"/>
                <w:numId w:val="3"/>
              </w:numPr>
              <w:contextualSpacing/>
              <w:rPr>
                <w:sz w:val="22"/>
                <w:szCs w:val="22"/>
              </w:rPr>
            </w:pPr>
            <w:r w:rsidRPr="0099345D">
              <w:rPr>
                <w:sz w:val="22"/>
                <w:szCs w:val="22"/>
              </w:rPr>
              <w:t>more guidelines and tools for Web and Internet users,</w:t>
            </w:r>
          </w:p>
          <w:p w:rsidR="00D51357" w:rsidRPr="0099345D" w:rsidRDefault="00D51357" w:rsidP="00D51357">
            <w:pPr>
              <w:numPr>
                <w:ilvl w:val="0"/>
                <w:numId w:val="3"/>
              </w:numPr>
              <w:contextualSpacing/>
              <w:rPr>
                <w:sz w:val="22"/>
                <w:szCs w:val="22"/>
              </w:rPr>
            </w:pPr>
            <w:r w:rsidRPr="0099345D">
              <w:rPr>
                <w:sz w:val="22"/>
                <w:szCs w:val="22"/>
              </w:rPr>
              <w:t>better education programs on Open Web Standards,</w:t>
            </w:r>
          </w:p>
          <w:p w:rsidR="00D51357" w:rsidRPr="0099345D" w:rsidRDefault="00D51357" w:rsidP="00D51357">
            <w:pPr>
              <w:numPr>
                <w:ilvl w:val="0"/>
                <w:numId w:val="3"/>
              </w:numPr>
              <w:contextualSpacing/>
              <w:rPr>
                <w:sz w:val="22"/>
                <w:szCs w:val="22"/>
              </w:rPr>
            </w:pPr>
            <w:r w:rsidRPr="0099345D">
              <w:rPr>
                <w:sz w:val="22"/>
                <w:szCs w:val="22"/>
              </w:rPr>
              <w:t xml:space="preserve">more open APIs for mobile apps and social network </w:t>
            </w:r>
            <w:r w:rsidRPr="0099345D">
              <w:rPr>
                <w:sz w:val="22"/>
                <w:szCs w:val="22"/>
              </w:rPr>
              <w:lastRenderedPageBreak/>
              <w:t>platform to ensure a strong hyperlink paradigm,</w:t>
            </w:r>
          </w:p>
          <w:p w:rsidR="00D51357" w:rsidRPr="0099345D" w:rsidRDefault="00D51357" w:rsidP="00D51357">
            <w:pPr>
              <w:numPr>
                <w:ilvl w:val="0"/>
                <w:numId w:val="3"/>
              </w:numPr>
              <w:contextualSpacing/>
              <w:rPr>
                <w:sz w:val="22"/>
                <w:szCs w:val="22"/>
              </w:rPr>
            </w:pPr>
            <w:r w:rsidRPr="0099345D">
              <w:rPr>
                <w:sz w:val="22"/>
                <w:szCs w:val="22"/>
              </w:rPr>
              <w:t>more involvement in Open standard advocacy, and in solving IPR issues,</w:t>
            </w:r>
          </w:p>
          <w:p w:rsidR="00D51357" w:rsidRPr="0099345D" w:rsidRDefault="00D51357" w:rsidP="00D51357">
            <w:pPr>
              <w:numPr>
                <w:ilvl w:val="0"/>
                <w:numId w:val="3"/>
              </w:numPr>
              <w:contextualSpacing/>
              <w:rPr>
                <w:sz w:val="22"/>
                <w:szCs w:val="22"/>
              </w:rPr>
            </w:pPr>
            <w:r w:rsidRPr="0099345D">
              <w:rPr>
                <w:sz w:val="22"/>
                <w:szCs w:val="22"/>
              </w:rPr>
              <w:t>more resources for testing Web standards - critical to providing an open environment</w:t>
            </w:r>
          </w:p>
        </w:tc>
        <w:tc>
          <w:tcPr>
            <w:tcW w:w="3238" w:type="dxa"/>
          </w:tcPr>
          <w:p w:rsidR="00D51357" w:rsidRDefault="00D51357" w:rsidP="00D51357"/>
        </w:tc>
        <w:tc>
          <w:tcPr>
            <w:tcW w:w="3238" w:type="dxa"/>
          </w:tcPr>
          <w:p w:rsidR="00D51357" w:rsidRDefault="00D51357" w:rsidP="00D51357"/>
        </w:tc>
      </w:tr>
      <w:tr w:rsidR="00D51357" w:rsidTr="00C47E5E">
        <w:tc>
          <w:tcPr>
            <w:tcW w:w="3237" w:type="dxa"/>
          </w:tcPr>
          <w:p w:rsidR="00D51357" w:rsidRPr="009659A4" w:rsidRDefault="00D51357" w:rsidP="00D51357">
            <w:pPr>
              <w:autoSpaceDE w:val="0"/>
              <w:autoSpaceDN w:val="0"/>
              <w:adjustRightInd w:val="0"/>
              <w:rPr>
                <w:rFonts w:eastAsiaTheme="minorHAnsi" w:cstheme="minorHAnsi"/>
                <w:sz w:val="22"/>
                <w:szCs w:val="22"/>
              </w:rPr>
            </w:pPr>
            <w:r w:rsidRPr="009659A4">
              <w:rPr>
                <w:rFonts w:eastAsiaTheme="minorHAnsi" w:cstheme="minorHAnsi"/>
                <w:sz w:val="22"/>
                <w:szCs w:val="22"/>
              </w:rPr>
              <w:t>In Example 18, long term sustainability of the DNS could be within ICANN’s mission,</w:t>
            </w:r>
            <w:r>
              <w:rPr>
                <w:rFonts w:eastAsiaTheme="minorHAnsi" w:cstheme="minorHAnsi"/>
                <w:sz w:val="22"/>
                <w:szCs w:val="22"/>
              </w:rPr>
              <w:t xml:space="preserve"> </w:t>
            </w:r>
            <w:r w:rsidRPr="009659A4">
              <w:rPr>
                <w:rFonts w:eastAsiaTheme="minorHAnsi" w:cstheme="minorHAnsi"/>
                <w:sz w:val="22"/>
                <w:szCs w:val="22"/>
              </w:rPr>
              <w:t>however projects would have to be carefully crafted.</w:t>
            </w:r>
          </w:p>
        </w:tc>
        <w:tc>
          <w:tcPr>
            <w:tcW w:w="3237" w:type="dxa"/>
          </w:tcPr>
          <w:p w:rsidR="00D51357" w:rsidRPr="000F53C7" w:rsidRDefault="000F53C7" w:rsidP="000F53C7">
            <w:pPr>
              <w:pStyle w:val="NormalWeb"/>
              <w:rPr>
                <w:rFonts w:asciiTheme="minorHAnsi" w:eastAsia="Calibri" w:hAnsiTheme="minorHAnsi"/>
                <w:color w:val="000000"/>
                <w:sz w:val="22"/>
                <w:szCs w:val="22"/>
              </w:rPr>
            </w:pPr>
            <w:r>
              <w:rPr>
                <w:rFonts w:asciiTheme="minorHAnsi" w:hAnsiTheme="minorHAnsi"/>
                <w:color w:val="000000"/>
                <w:sz w:val="22"/>
                <w:szCs w:val="22"/>
              </w:rPr>
              <w:t xml:space="preserve">Example 18: </w:t>
            </w:r>
            <w:r w:rsidRPr="0099345D">
              <w:rPr>
                <w:rFonts w:asciiTheme="minorHAnsi" w:hAnsiTheme="minorHAnsi"/>
                <w:color w:val="000000"/>
                <w:sz w:val="22"/>
                <w:szCs w:val="22"/>
              </w:rPr>
              <w:t>I</w:t>
            </w:r>
            <w:r w:rsidRPr="0099345D">
              <w:rPr>
                <w:rFonts w:asciiTheme="minorHAnsi" w:eastAsia="Calibri" w:hAnsiTheme="minorHAnsi"/>
                <w:color w:val="000000"/>
                <w:sz w:val="22"/>
                <w:szCs w:val="22"/>
              </w:rPr>
              <w:t>nvestment in long term sustainability of the DNS</w:t>
            </w:r>
            <w:r>
              <w:rPr>
                <w:rFonts w:asciiTheme="minorHAnsi" w:eastAsia="Calibri" w:hAnsiTheme="minorHAnsi"/>
                <w:color w:val="000000"/>
                <w:sz w:val="22"/>
                <w:szCs w:val="22"/>
              </w:rPr>
              <w:t xml:space="preserve">. </w:t>
            </w:r>
            <w:r w:rsidRPr="0099345D">
              <w:rPr>
                <w:rFonts w:asciiTheme="minorHAnsi" w:eastAsia="Calibri" w:hAnsiTheme="minorHAnsi"/>
                <w:color w:val="000000"/>
                <w:sz w:val="22"/>
                <w:szCs w:val="22"/>
              </w:rPr>
              <w:t xml:space="preserve">Ensure long-term usability and sustainability of DNS across the globe and various existing and future networks (i.e. </w:t>
            </w:r>
            <w:proofErr w:type="spellStart"/>
            <w:r w:rsidRPr="0099345D">
              <w:rPr>
                <w:rFonts w:asciiTheme="minorHAnsi" w:eastAsia="Calibri" w:hAnsiTheme="minorHAnsi"/>
                <w:color w:val="000000"/>
                <w:sz w:val="22"/>
                <w:szCs w:val="22"/>
              </w:rPr>
              <w:t>IoT</w:t>
            </w:r>
            <w:proofErr w:type="spellEnd"/>
            <w:r w:rsidRPr="0099345D">
              <w:rPr>
                <w:rFonts w:asciiTheme="minorHAnsi" w:eastAsia="Calibri" w:hAnsiTheme="minorHAnsi"/>
                <w:color w:val="000000"/>
                <w:sz w:val="22"/>
                <w:szCs w:val="22"/>
              </w:rPr>
              <w:t xml:space="preserve">, </w:t>
            </w:r>
            <w:proofErr w:type="spellStart"/>
            <w:proofErr w:type="gramStart"/>
            <w:r w:rsidRPr="0099345D">
              <w:rPr>
                <w:rFonts w:asciiTheme="minorHAnsi" w:eastAsia="Calibri" w:hAnsiTheme="minorHAnsi"/>
                <w:color w:val="000000"/>
                <w:sz w:val="22"/>
                <w:szCs w:val="22"/>
              </w:rPr>
              <w:t>blockchain</w:t>
            </w:r>
            <w:proofErr w:type="spellEnd"/>
            <w:r w:rsidRPr="0099345D">
              <w:rPr>
                <w:rFonts w:asciiTheme="minorHAnsi" w:eastAsia="Calibri" w:hAnsiTheme="minorHAnsi"/>
                <w:color w:val="000000"/>
                <w:sz w:val="22"/>
                <w:szCs w:val="22"/>
              </w:rPr>
              <w:t>,  inter</w:t>
            </w:r>
            <w:proofErr w:type="gramEnd"/>
            <w:r w:rsidRPr="0099345D">
              <w:rPr>
                <w:rFonts w:asciiTheme="minorHAnsi" w:eastAsia="Calibri" w:hAnsiTheme="minorHAnsi"/>
                <w:color w:val="000000"/>
                <w:sz w:val="22"/>
                <w:szCs w:val="22"/>
              </w:rPr>
              <w:t>-planetary network, etc.)</w:t>
            </w:r>
          </w:p>
        </w:tc>
        <w:tc>
          <w:tcPr>
            <w:tcW w:w="3238" w:type="dxa"/>
          </w:tcPr>
          <w:p w:rsidR="00D51357" w:rsidRDefault="00D51357" w:rsidP="00D51357"/>
        </w:tc>
        <w:tc>
          <w:tcPr>
            <w:tcW w:w="3238" w:type="dxa"/>
          </w:tcPr>
          <w:p w:rsidR="00D51357" w:rsidRDefault="00D51357" w:rsidP="00D51357"/>
        </w:tc>
      </w:tr>
    </w:tbl>
    <w:p w:rsidR="000E7792" w:rsidRDefault="00101BEA"/>
    <w:sectPr w:rsidR="000E7792" w:rsidSect="00C47E5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BEA" w:rsidRDefault="00101BEA" w:rsidP="00EF0E1A">
      <w:r>
        <w:separator/>
      </w:r>
    </w:p>
  </w:endnote>
  <w:endnote w:type="continuationSeparator" w:id="0">
    <w:p w:rsidR="00101BEA" w:rsidRDefault="00101BEA" w:rsidP="00EF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BEA" w:rsidRDefault="00101BEA" w:rsidP="00EF0E1A">
      <w:r>
        <w:separator/>
      </w:r>
    </w:p>
  </w:footnote>
  <w:footnote w:type="continuationSeparator" w:id="0">
    <w:p w:rsidR="00101BEA" w:rsidRDefault="00101BEA" w:rsidP="00EF0E1A">
      <w:r>
        <w:continuationSeparator/>
      </w:r>
    </w:p>
  </w:footnote>
  <w:footnote w:id="1">
    <w:p w:rsidR="00CC5F76" w:rsidRPr="00ED7A74" w:rsidRDefault="00CC5F76" w:rsidP="00CC5F76">
      <w:pPr>
        <w:pStyle w:val="FootnoteText"/>
        <w:rPr>
          <w:rFonts w:asciiTheme="minorHAnsi" w:hAnsiTheme="minorHAnsi" w:cs="Arial"/>
          <w:sz w:val="18"/>
          <w:szCs w:val="18"/>
        </w:rPr>
      </w:pPr>
      <w:r w:rsidRPr="00ED7A74">
        <w:rPr>
          <w:rStyle w:val="FootnoteReference"/>
          <w:rFonts w:asciiTheme="minorHAnsi" w:hAnsiTheme="minorHAnsi" w:cs="Arial"/>
          <w:sz w:val="18"/>
          <w:szCs w:val="18"/>
        </w:rPr>
        <w:footnoteRef/>
      </w:r>
      <w:r w:rsidRPr="00ED7A74">
        <w:rPr>
          <w:rFonts w:asciiTheme="minorHAnsi" w:hAnsiTheme="minorHAnsi" w:cs="Arial"/>
          <w:sz w:val="18"/>
          <w:szCs w:val="18"/>
        </w:rPr>
        <w:t xml:space="preserve"> </w:t>
      </w:r>
      <w:r w:rsidRPr="00ED7A74">
        <w:rPr>
          <w:rFonts w:asciiTheme="minorHAnsi" w:eastAsia="Arial" w:hAnsiTheme="minorHAnsi" w:cs="Arial"/>
          <w:color w:val="auto"/>
          <w:sz w:val="18"/>
          <w:szCs w:val="18"/>
        </w:rPr>
        <w:t>“</w:t>
      </w:r>
      <w:r w:rsidRPr="00ED7A74">
        <w:rPr>
          <w:rFonts w:asciiTheme="minorHAnsi" w:eastAsia="Arial" w:hAnsiTheme="minorHAnsi" w:cs="Arial"/>
          <w:color w:val="auto"/>
          <w:sz w:val="18"/>
          <w:szCs w:val="18"/>
          <w:highlight w:val="white"/>
        </w:rPr>
        <w:t>The mission of the Internet Corporation for Assigned Names and Numbers ("</w:t>
      </w:r>
      <w:r w:rsidRPr="00ED7A74">
        <w:rPr>
          <w:rFonts w:asciiTheme="minorHAnsi" w:eastAsia="Arial" w:hAnsiTheme="minorHAnsi" w:cs="Arial"/>
          <w:b/>
          <w:color w:val="auto"/>
          <w:sz w:val="18"/>
          <w:szCs w:val="18"/>
          <w:highlight w:val="white"/>
        </w:rPr>
        <w:t>ICANN</w:t>
      </w:r>
      <w:r w:rsidRPr="00ED7A74">
        <w:rPr>
          <w:rFonts w:asciiTheme="minorHAnsi" w:eastAsia="Arial" w:hAnsiTheme="minorHAnsi" w:cs="Arial"/>
          <w:color w:val="auto"/>
          <w:sz w:val="18"/>
          <w:szCs w:val="18"/>
          <w:highlight w:val="white"/>
        </w:rPr>
        <w:t xml:space="preserve">") is to ensure the stable and secure operation of the Internet's unique identifier systems as described in this </w:t>
      </w:r>
      <w:r w:rsidRPr="00ED7A74">
        <w:rPr>
          <w:rFonts w:asciiTheme="minorHAnsi" w:eastAsia="Arial" w:hAnsiTheme="minorHAnsi" w:cs="Arial"/>
          <w:color w:val="auto"/>
          <w:sz w:val="18"/>
          <w:szCs w:val="18"/>
          <w:highlight w:val="white"/>
          <w:u w:val="single"/>
        </w:rPr>
        <w:t>Section 1.1(a)</w:t>
      </w:r>
      <w:r w:rsidRPr="00ED7A74">
        <w:rPr>
          <w:rFonts w:asciiTheme="minorHAnsi" w:eastAsia="Arial" w:hAnsiTheme="minorHAnsi" w:cs="Arial"/>
          <w:color w:val="auto"/>
          <w:sz w:val="18"/>
          <w:szCs w:val="18"/>
          <w:highlight w:val="white"/>
        </w:rPr>
        <w:t xml:space="preserve"> (the "</w:t>
      </w:r>
      <w:r w:rsidRPr="00ED7A74">
        <w:rPr>
          <w:rFonts w:asciiTheme="minorHAnsi" w:eastAsia="Arial" w:hAnsiTheme="minorHAnsi" w:cs="Arial"/>
          <w:b/>
          <w:color w:val="auto"/>
          <w:sz w:val="18"/>
          <w:szCs w:val="18"/>
          <w:highlight w:val="white"/>
        </w:rPr>
        <w:t>Mission</w:t>
      </w:r>
      <w:r w:rsidRPr="00ED7A74">
        <w:rPr>
          <w:rFonts w:asciiTheme="minorHAnsi" w:eastAsia="Arial" w:hAnsiTheme="minorHAnsi" w:cs="Arial"/>
          <w:color w:val="auto"/>
          <w:sz w:val="18"/>
          <w:szCs w:val="18"/>
          <w:highlight w:val="white"/>
        </w:rPr>
        <w:t xml:space="preserve">").” </w:t>
      </w:r>
      <w:hyperlink r:id="rId1" w:anchor="article1">
        <w:r w:rsidRPr="00ED7A74">
          <w:rPr>
            <w:rFonts w:asciiTheme="minorHAnsi" w:eastAsia="Arial" w:hAnsiTheme="minorHAnsi" w:cs="Arial"/>
            <w:color w:val="1155CC"/>
            <w:sz w:val="18"/>
            <w:szCs w:val="18"/>
            <w:u w:val="single"/>
          </w:rPr>
          <w:t>https://www.icann.org/resources/pages/governance/bylaws-en/#article1</w:t>
        </w:r>
      </w:hyperlink>
    </w:p>
  </w:footnote>
  <w:footnote w:id="2">
    <w:p w:rsidR="00CC5F76" w:rsidRPr="00ED7A74" w:rsidRDefault="00CC5F76" w:rsidP="00CC5F76">
      <w:pPr>
        <w:pStyle w:val="FootnoteText"/>
        <w:rPr>
          <w:rFonts w:asciiTheme="minorHAnsi" w:hAnsiTheme="minorHAnsi"/>
          <w:lang w:val="en-IE"/>
        </w:rPr>
      </w:pPr>
      <w:r w:rsidRPr="00ED7A74">
        <w:rPr>
          <w:rStyle w:val="FootnoteReference"/>
          <w:rFonts w:asciiTheme="minorHAnsi" w:hAnsiTheme="minorHAnsi" w:cs="Arial"/>
          <w:sz w:val="18"/>
          <w:szCs w:val="18"/>
        </w:rPr>
        <w:footnoteRef/>
      </w:r>
      <w:r w:rsidRPr="00ED7A74">
        <w:rPr>
          <w:rFonts w:asciiTheme="minorHAnsi" w:hAnsiTheme="minorHAnsi" w:cs="Arial"/>
          <w:sz w:val="18"/>
          <w:szCs w:val="18"/>
        </w:rPr>
        <w:t xml:space="preserve"> </w:t>
      </w:r>
      <w:r w:rsidRPr="00ED7A74">
        <w:rPr>
          <w:rFonts w:asciiTheme="minorHAnsi" w:eastAsia="Arial" w:hAnsiTheme="minorHAnsi" w:cs="Arial"/>
          <w:sz w:val="18"/>
          <w:szCs w:val="18"/>
        </w:rPr>
        <w:t>The use of this terminology does not imply any support to any other standing use of this terminology.</w:t>
      </w:r>
    </w:p>
  </w:footnote>
  <w:footnote w:id="3">
    <w:p w:rsidR="00EF0E1A" w:rsidRPr="00ED7A74" w:rsidRDefault="00EF0E1A" w:rsidP="00EF0E1A">
      <w:pPr>
        <w:pStyle w:val="FootnoteText"/>
        <w:rPr>
          <w:rFonts w:asciiTheme="minorHAnsi" w:hAnsiTheme="minorHAnsi" w:cs="Arial"/>
          <w:sz w:val="18"/>
          <w:szCs w:val="18"/>
        </w:rPr>
      </w:pPr>
      <w:r w:rsidRPr="00ED7A74">
        <w:rPr>
          <w:rStyle w:val="FootnoteReference"/>
          <w:rFonts w:asciiTheme="minorHAnsi" w:hAnsiTheme="minorHAnsi" w:cs="Arial"/>
          <w:sz w:val="18"/>
          <w:szCs w:val="18"/>
        </w:rPr>
        <w:footnoteRef/>
      </w:r>
      <w:r w:rsidRPr="00ED7A74">
        <w:rPr>
          <w:rFonts w:asciiTheme="minorHAnsi" w:hAnsiTheme="minorHAnsi" w:cs="Arial"/>
          <w:sz w:val="18"/>
          <w:szCs w:val="18"/>
        </w:rPr>
        <w:t xml:space="preserve"> Note, ICANN’s community activities and consensus-building processes that are already funded by ICANN’s operating budget are not considered within scope for auction proceeds fund allocation.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C04E5"/>
    <w:multiLevelType w:val="multilevel"/>
    <w:tmpl w:val="E2A455C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 w15:restartNumberingAfterBreak="0">
    <w:nsid w:val="45F350A9"/>
    <w:multiLevelType w:val="multilevel"/>
    <w:tmpl w:val="54862D0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468A6D3C"/>
    <w:multiLevelType w:val="hybridMultilevel"/>
    <w:tmpl w:val="CE82D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5E"/>
    <w:rsid w:val="00081C9B"/>
    <w:rsid w:val="000F53C7"/>
    <w:rsid w:val="00101BEA"/>
    <w:rsid w:val="00356B19"/>
    <w:rsid w:val="00380005"/>
    <w:rsid w:val="00456D9B"/>
    <w:rsid w:val="004A677C"/>
    <w:rsid w:val="005E6436"/>
    <w:rsid w:val="00853466"/>
    <w:rsid w:val="008E3A71"/>
    <w:rsid w:val="009659A4"/>
    <w:rsid w:val="00A34D19"/>
    <w:rsid w:val="00B06800"/>
    <w:rsid w:val="00C07EA4"/>
    <w:rsid w:val="00C47E5E"/>
    <w:rsid w:val="00C7576E"/>
    <w:rsid w:val="00CC5F76"/>
    <w:rsid w:val="00D438D5"/>
    <w:rsid w:val="00D51357"/>
    <w:rsid w:val="00D51951"/>
    <w:rsid w:val="00D9672E"/>
    <w:rsid w:val="00E32B99"/>
    <w:rsid w:val="00EF0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C94D10"/>
  <w14:defaultImageDpi w14:val="32767"/>
  <w15:chartTrackingRefBased/>
  <w15:docId w15:val="{9960EDFA-D695-F34E-9CF4-BB7E95BB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7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B19"/>
    <w:rPr>
      <w:color w:val="0563C1" w:themeColor="hyperlink"/>
      <w:u w:val="single"/>
    </w:rPr>
  </w:style>
  <w:style w:type="character" w:styleId="UnresolvedMention">
    <w:name w:val="Unresolved Mention"/>
    <w:basedOn w:val="DefaultParagraphFont"/>
    <w:uiPriority w:val="99"/>
    <w:rsid w:val="00356B19"/>
    <w:rPr>
      <w:color w:val="808080"/>
      <w:shd w:val="clear" w:color="auto" w:fill="E6E6E6"/>
    </w:rPr>
  </w:style>
  <w:style w:type="paragraph" w:styleId="ListParagraph">
    <w:name w:val="List Paragraph"/>
    <w:basedOn w:val="Normal"/>
    <w:uiPriority w:val="34"/>
    <w:qFormat/>
    <w:rsid w:val="00356B19"/>
    <w:pPr>
      <w:ind w:left="720"/>
      <w:contextualSpacing/>
    </w:pPr>
  </w:style>
  <w:style w:type="paragraph" w:styleId="FootnoteText">
    <w:name w:val="footnote text"/>
    <w:basedOn w:val="Normal"/>
    <w:link w:val="FootnoteTextChar"/>
    <w:uiPriority w:val="99"/>
    <w:unhideWhenUsed/>
    <w:rsid w:val="00EF0E1A"/>
    <w:pPr>
      <w:pBdr>
        <w:top w:val="nil"/>
        <w:left w:val="nil"/>
        <w:bottom w:val="nil"/>
        <w:right w:val="nil"/>
        <w:between w:val="nil"/>
      </w:pBdr>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uiPriority w:val="99"/>
    <w:rsid w:val="00EF0E1A"/>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unhideWhenUsed/>
    <w:rsid w:val="00EF0E1A"/>
    <w:rPr>
      <w:vertAlign w:val="superscript"/>
    </w:rPr>
  </w:style>
  <w:style w:type="paragraph" w:styleId="NormalWeb">
    <w:name w:val="Normal (Web)"/>
    <w:basedOn w:val="Normal"/>
    <w:uiPriority w:val="99"/>
    <w:unhideWhenUsed/>
    <w:rsid w:val="00853466"/>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unity.icann.org/download/attachments/64075095/2018-01-31%20Maarten%20Botterman%20and%20Becky%20Burr%20to%20Erika%20Mann%20and%20Ching%20Chiao%20CCWG-AP.pdf?version=1&amp;modificationDate=1517839563136&amp;api=v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governance/bylaw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2018-02-05T14:12:00Z</dcterms:created>
  <dcterms:modified xsi:type="dcterms:W3CDTF">2018-02-05T14:52:00Z</dcterms:modified>
</cp:coreProperties>
</file>