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EA1BFB" w14:textId="77777777" w:rsidR="00323749" w:rsidRDefault="00B02434">
      <w:bookmarkStart w:id="0" w:name="_GoBack"/>
      <w:bookmarkEnd w:id="0"/>
      <w:r>
        <w:rPr>
          <w:rFonts w:ascii="Calibri" w:eastAsia="Calibri" w:hAnsi="Calibri" w:cs="Calibri"/>
          <w:b/>
          <w:sz w:val="23"/>
          <w:szCs w:val="23"/>
          <w:highlight w:val="white"/>
        </w:rPr>
        <w:t>Topics for which briefings should be foreseen at the outset of deliberations</w:t>
      </w:r>
    </w:p>
    <w:p w14:paraId="164040EE" w14:textId="77777777" w:rsidR="00323749" w:rsidRDefault="00323749"/>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323749" w14:paraId="3800AE81" w14:textId="77777777">
        <w:tc>
          <w:tcPr>
            <w:tcW w:w="4320" w:type="dxa"/>
            <w:tcMar>
              <w:top w:w="100" w:type="dxa"/>
              <w:left w:w="100" w:type="dxa"/>
              <w:bottom w:w="100" w:type="dxa"/>
              <w:right w:w="100" w:type="dxa"/>
            </w:tcMar>
          </w:tcPr>
          <w:p w14:paraId="3A07AEA5" w14:textId="77777777" w:rsidR="00323749" w:rsidRDefault="00B02434">
            <w:pPr>
              <w:widowControl w:val="0"/>
              <w:spacing w:line="240" w:lineRule="auto"/>
            </w:pPr>
            <w:r>
              <w:rPr>
                <w:rFonts w:ascii="Calibri" w:eastAsia="Calibri" w:hAnsi="Calibri" w:cs="Calibri"/>
                <w:b/>
                <w:sz w:val="23"/>
                <w:szCs w:val="23"/>
                <w:highlight w:val="white"/>
              </w:rPr>
              <w:t>Topic</w:t>
            </w:r>
          </w:p>
        </w:tc>
        <w:tc>
          <w:tcPr>
            <w:tcW w:w="4320" w:type="dxa"/>
            <w:tcMar>
              <w:top w:w="100" w:type="dxa"/>
              <w:left w:w="100" w:type="dxa"/>
              <w:bottom w:w="100" w:type="dxa"/>
              <w:right w:w="100" w:type="dxa"/>
            </w:tcMar>
          </w:tcPr>
          <w:p w14:paraId="53C3D505" w14:textId="77777777" w:rsidR="00323749" w:rsidRDefault="00B02434">
            <w:pPr>
              <w:widowControl w:val="0"/>
              <w:spacing w:line="240" w:lineRule="auto"/>
            </w:pPr>
            <w:r>
              <w:rPr>
                <w:rFonts w:ascii="Calibri" w:eastAsia="Calibri" w:hAnsi="Calibri" w:cs="Calibri"/>
                <w:b/>
                <w:sz w:val="23"/>
                <w:szCs w:val="23"/>
                <w:highlight w:val="white"/>
              </w:rPr>
              <w:t>By whom</w:t>
            </w:r>
          </w:p>
        </w:tc>
        <w:tc>
          <w:tcPr>
            <w:tcW w:w="4320" w:type="dxa"/>
            <w:tcMar>
              <w:top w:w="100" w:type="dxa"/>
              <w:left w:w="100" w:type="dxa"/>
              <w:bottom w:w="100" w:type="dxa"/>
              <w:right w:w="100" w:type="dxa"/>
            </w:tcMar>
          </w:tcPr>
          <w:p w14:paraId="1ACFFBEF" w14:textId="77777777" w:rsidR="00323749" w:rsidRDefault="00B02434">
            <w:pPr>
              <w:widowControl w:val="0"/>
              <w:spacing w:line="240" w:lineRule="auto"/>
            </w:pPr>
            <w:r>
              <w:rPr>
                <w:rFonts w:ascii="Calibri" w:eastAsia="Calibri" w:hAnsi="Calibri" w:cs="Calibri"/>
                <w:b/>
                <w:sz w:val="23"/>
                <w:szCs w:val="23"/>
                <w:highlight w:val="white"/>
              </w:rPr>
              <w:t>Notes</w:t>
            </w:r>
          </w:p>
        </w:tc>
      </w:tr>
      <w:tr w:rsidR="00323749" w14:paraId="40F4D3F2" w14:textId="77777777">
        <w:tc>
          <w:tcPr>
            <w:tcW w:w="4320" w:type="dxa"/>
            <w:tcMar>
              <w:top w:w="100" w:type="dxa"/>
              <w:left w:w="100" w:type="dxa"/>
              <w:bottom w:w="100" w:type="dxa"/>
              <w:right w:w="100" w:type="dxa"/>
            </w:tcMar>
          </w:tcPr>
          <w:p w14:paraId="0D336AED" w14:textId="77777777" w:rsidR="00323749" w:rsidRDefault="00B02434">
            <w:pPr>
              <w:widowControl w:val="0"/>
              <w:spacing w:line="240" w:lineRule="auto"/>
            </w:pPr>
            <w:r>
              <w:rPr>
                <w:rFonts w:ascii="Calibri" w:eastAsia="Calibri" w:hAnsi="Calibri" w:cs="Calibri"/>
                <w:sz w:val="23"/>
                <w:szCs w:val="23"/>
                <w:highlight w:val="white"/>
              </w:rPr>
              <w:t>Legal and fiduciary constraints</w:t>
            </w:r>
          </w:p>
        </w:tc>
        <w:tc>
          <w:tcPr>
            <w:tcW w:w="4320" w:type="dxa"/>
            <w:tcMar>
              <w:top w:w="100" w:type="dxa"/>
              <w:left w:w="100" w:type="dxa"/>
              <w:bottom w:w="100" w:type="dxa"/>
              <w:right w:w="100" w:type="dxa"/>
            </w:tcMar>
          </w:tcPr>
          <w:p w14:paraId="0899B455" w14:textId="77777777" w:rsidR="00323749" w:rsidRDefault="00B02434">
            <w:pPr>
              <w:widowControl w:val="0"/>
              <w:spacing w:line="240" w:lineRule="auto"/>
            </w:pPr>
            <w:r>
              <w:rPr>
                <w:rFonts w:ascii="Calibri" w:eastAsia="Calibri" w:hAnsi="Calibri" w:cs="Calibri"/>
                <w:sz w:val="23"/>
                <w:szCs w:val="23"/>
                <w:highlight w:val="white"/>
              </w:rPr>
              <w:t xml:space="preserve">Samantha Eisner, </w:t>
            </w:r>
            <w:r>
              <w:rPr>
                <w:rFonts w:ascii="Calibri" w:eastAsia="Calibri" w:hAnsi="Calibri" w:cs="Calibri"/>
                <w:sz w:val="21"/>
                <w:szCs w:val="21"/>
                <w:highlight w:val="white"/>
              </w:rPr>
              <w:t>Deputy General Counsel, ICANN</w:t>
            </w:r>
          </w:p>
        </w:tc>
        <w:tc>
          <w:tcPr>
            <w:tcW w:w="4320" w:type="dxa"/>
            <w:tcMar>
              <w:top w:w="100" w:type="dxa"/>
              <w:left w:w="100" w:type="dxa"/>
              <w:bottom w:w="100" w:type="dxa"/>
              <w:right w:w="100" w:type="dxa"/>
            </w:tcMar>
          </w:tcPr>
          <w:p w14:paraId="0BA7D721" w14:textId="77777777" w:rsidR="00323749" w:rsidRDefault="00323749">
            <w:pPr>
              <w:widowControl w:val="0"/>
              <w:spacing w:line="240" w:lineRule="auto"/>
            </w:pPr>
          </w:p>
        </w:tc>
      </w:tr>
      <w:tr w:rsidR="00323749" w14:paraId="4F500CCA" w14:textId="77777777">
        <w:tc>
          <w:tcPr>
            <w:tcW w:w="4320" w:type="dxa"/>
            <w:tcMar>
              <w:top w:w="100" w:type="dxa"/>
              <w:left w:w="100" w:type="dxa"/>
              <w:bottom w:w="100" w:type="dxa"/>
              <w:right w:w="100" w:type="dxa"/>
            </w:tcMar>
          </w:tcPr>
          <w:p w14:paraId="0B73C548" w14:textId="77777777" w:rsidR="00323749" w:rsidRDefault="00323749">
            <w:pPr>
              <w:widowControl w:val="0"/>
              <w:spacing w:line="240" w:lineRule="auto"/>
            </w:pPr>
          </w:p>
        </w:tc>
        <w:tc>
          <w:tcPr>
            <w:tcW w:w="4320" w:type="dxa"/>
            <w:tcMar>
              <w:top w:w="100" w:type="dxa"/>
              <w:left w:w="100" w:type="dxa"/>
              <w:bottom w:w="100" w:type="dxa"/>
              <w:right w:w="100" w:type="dxa"/>
            </w:tcMar>
          </w:tcPr>
          <w:p w14:paraId="736410E1" w14:textId="77777777" w:rsidR="00323749" w:rsidRDefault="00323749">
            <w:pPr>
              <w:widowControl w:val="0"/>
              <w:spacing w:line="240" w:lineRule="auto"/>
            </w:pPr>
          </w:p>
        </w:tc>
        <w:tc>
          <w:tcPr>
            <w:tcW w:w="4320" w:type="dxa"/>
            <w:tcMar>
              <w:top w:w="100" w:type="dxa"/>
              <w:left w:w="100" w:type="dxa"/>
              <w:bottom w:w="100" w:type="dxa"/>
              <w:right w:w="100" w:type="dxa"/>
            </w:tcMar>
          </w:tcPr>
          <w:p w14:paraId="60E86AA4" w14:textId="77777777" w:rsidR="00323749" w:rsidRDefault="00323749">
            <w:pPr>
              <w:widowControl w:val="0"/>
              <w:spacing w:line="240" w:lineRule="auto"/>
            </w:pPr>
          </w:p>
        </w:tc>
      </w:tr>
      <w:tr w:rsidR="00323749" w14:paraId="5B149AB3" w14:textId="77777777">
        <w:tc>
          <w:tcPr>
            <w:tcW w:w="4320" w:type="dxa"/>
            <w:tcMar>
              <w:top w:w="100" w:type="dxa"/>
              <w:left w:w="100" w:type="dxa"/>
              <w:bottom w:w="100" w:type="dxa"/>
              <w:right w:w="100" w:type="dxa"/>
            </w:tcMar>
          </w:tcPr>
          <w:p w14:paraId="4D077AD9" w14:textId="77777777" w:rsidR="00323749" w:rsidRDefault="00323749">
            <w:pPr>
              <w:widowControl w:val="0"/>
              <w:spacing w:line="240" w:lineRule="auto"/>
            </w:pPr>
          </w:p>
        </w:tc>
        <w:tc>
          <w:tcPr>
            <w:tcW w:w="4320" w:type="dxa"/>
            <w:tcMar>
              <w:top w:w="100" w:type="dxa"/>
              <w:left w:w="100" w:type="dxa"/>
              <w:bottom w:w="100" w:type="dxa"/>
              <w:right w:w="100" w:type="dxa"/>
            </w:tcMar>
          </w:tcPr>
          <w:p w14:paraId="3300AC07" w14:textId="77777777" w:rsidR="00323749" w:rsidRDefault="00323749">
            <w:pPr>
              <w:widowControl w:val="0"/>
              <w:spacing w:line="240" w:lineRule="auto"/>
            </w:pPr>
          </w:p>
        </w:tc>
        <w:tc>
          <w:tcPr>
            <w:tcW w:w="4320" w:type="dxa"/>
            <w:tcMar>
              <w:top w:w="100" w:type="dxa"/>
              <w:left w:w="100" w:type="dxa"/>
              <w:bottom w:w="100" w:type="dxa"/>
              <w:right w:w="100" w:type="dxa"/>
            </w:tcMar>
          </w:tcPr>
          <w:p w14:paraId="3BD4502D" w14:textId="77777777" w:rsidR="00323749" w:rsidRDefault="00323749">
            <w:pPr>
              <w:widowControl w:val="0"/>
              <w:spacing w:line="240" w:lineRule="auto"/>
            </w:pPr>
          </w:p>
        </w:tc>
      </w:tr>
    </w:tbl>
    <w:p w14:paraId="407FA263" w14:textId="77777777" w:rsidR="00323749" w:rsidRDefault="00323749"/>
    <w:p w14:paraId="7B85963D" w14:textId="77777777" w:rsidR="00323749" w:rsidRDefault="00323749"/>
    <w:p w14:paraId="4EE1A00A" w14:textId="77777777" w:rsidR="00323749" w:rsidRDefault="00B02434">
      <w:r>
        <w:rPr>
          <w:rFonts w:ascii="Calibri" w:eastAsia="Calibri" w:hAnsi="Calibri" w:cs="Calibri"/>
          <w:b/>
          <w:sz w:val="23"/>
          <w:szCs w:val="23"/>
          <w:highlight w:val="white"/>
        </w:rPr>
        <w:t>List of prospective individuals / organizations that could provide input and expertise at the outset of the CCWG deliberations</w:t>
      </w:r>
    </w:p>
    <w:p w14:paraId="40C57F77" w14:textId="77777777" w:rsidR="00323749" w:rsidRDefault="00323749"/>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323749" w14:paraId="30DE784D" w14:textId="77777777">
        <w:tc>
          <w:tcPr>
            <w:tcW w:w="3240" w:type="dxa"/>
            <w:tcMar>
              <w:top w:w="100" w:type="dxa"/>
              <w:left w:w="100" w:type="dxa"/>
              <w:bottom w:w="100" w:type="dxa"/>
              <w:right w:w="100" w:type="dxa"/>
            </w:tcMar>
          </w:tcPr>
          <w:p w14:paraId="73B7DE48" w14:textId="77777777" w:rsidR="00323749" w:rsidRDefault="00B02434">
            <w:pPr>
              <w:widowControl w:val="0"/>
              <w:spacing w:line="240" w:lineRule="auto"/>
            </w:pPr>
            <w:r>
              <w:rPr>
                <w:rFonts w:ascii="Calibri" w:eastAsia="Calibri" w:hAnsi="Calibri" w:cs="Calibri"/>
                <w:b/>
                <w:sz w:val="23"/>
                <w:szCs w:val="23"/>
                <w:highlight w:val="white"/>
              </w:rPr>
              <w:t xml:space="preserve">Name </w:t>
            </w:r>
            <w:proofErr w:type="spellStart"/>
            <w:r>
              <w:rPr>
                <w:rFonts w:ascii="Calibri" w:eastAsia="Calibri" w:hAnsi="Calibri" w:cs="Calibri"/>
                <w:b/>
                <w:sz w:val="23"/>
                <w:szCs w:val="23"/>
                <w:highlight w:val="white"/>
              </w:rPr>
              <w:t>Organisation</w:t>
            </w:r>
            <w:proofErr w:type="spellEnd"/>
            <w:r>
              <w:rPr>
                <w:rFonts w:ascii="Calibri" w:eastAsia="Calibri" w:hAnsi="Calibri" w:cs="Calibri"/>
                <w:b/>
                <w:sz w:val="23"/>
                <w:szCs w:val="23"/>
                <w:highlight w:val="white"/>
              </w:rPr>
              <w:t xml:space="preserve"> &amp; Contact</w:t>
            </w:r>
          </w:p>
        </w:tc>
        <w:tc>
          <w:tcPr>
            <w:tcW w:w="3240" w:type="dxa"/>
            <w:tcMar>
              <w:top w:w="100" w:type="dxa"/>
              <w:left w:w="100" w:type="dxa"/>
              <w:bottom w:w="100" w:type="dxa"/>
              <w:right w:w="100" w:type="dxa"/>
            </w:tcMar>
          </w:tcPr>
          <w:p w14:paraId="6FD75921" w14:textId="77777777" w:rsidR="00323749" w:rsidRDefault="00B02434">
            <w:pPr>
              <w:widowControl w:val="0"/>
              <w:spacing w:line="240" w:lineRule="auto"/>
            </w:pPr>
            <w:r>
              <w:rPr>
                <w:rFonts w:ascii="Calibri" w:eastAsia="Calibri" w:hAnsi="Calibri" w:cs="Calibri"/>
                <w:b/>
                <w:sz w:val="23"/>
                <w:szCs w:val="23"/>
                <w:highlight w:val="white"/>
              </w:rPr>
              <w:t>Description</w:t>
            </w:r>
          </w:p>
        </w:tc>
        <w:tc>
          <w:tcPr>
            <w:tcW w:w="3240" w:type="dxa"/>
            <w:tcMar>
              <w:top w:w="100" w:type="dxa"/>
              <w:left w:w="100" w:type="dxa"/>
              <w:bottom w:w="100" w:type="dxa"/>
              <w:right w:w="100" w:type="dxa"/>
            </w:tcMar>
          </w:tcPr>
          <w:p w14:paraId="33833343" w14:textId="77777777" w:rsidR="00323749" w:rsidRDefault="00B02434">
            <w:pPr>
              <w:widowControl w:val="0"/>
              <w:spacing w:line="240" w:lineRule="auto"/>
            </w:pPr>
            <w:r>
              <w:rPr>
                <w:rFonts w:ascii="Calibri" w:eastAsia="Calibri" w:hAnsi="Calibri" w:cs="Calibri"/>
                <w:b/>
                <w:sz w:val="23"/>
                <w:szCs w:val="23"/>
                <w:highlight w:val="white"/>
              </w:rPr>
              <w:t>Notes</w:t>
            </w:r>
          </w:p>
        </w:tc>
        <w:tc>
          <w:tcPr>
            <w:tcW w:w="3240" w:type="dxa"/>
            <w:tcMar>
              <w:top w:w="100" w:type="dxa"/>
              <w:left w:w="100" w:type="dxa"/>
              <w:bottom w:w="100" w:type="dxa"/>
              <w:right w:w="100" w:type="dxa"/>
            </w:tcMar>
          </w:tcPr>
          <w:p w14:paraId="4B5256F3" w14:textId="77777777" w:rsidR="00323749" w:rsidRDefault="00B02434">
            <w:pPr>
              <w:widowControl w:val="0"/>
              <w:spacing w:line="240" w:lineRule="auto"/>
            </w:pPr>
            <w:r>
              <w:rPr>
                <w:rFonts w:ascii="Calibri" w:eastAsia="Calibri" w:hAnsi="Calibri" w:cs="Calibri"/>
                <w:b/>
                <w:sz w:val="23"/>
                <w:szCs w:val="23"/>
                <w:highlight w:val="white"/>
              </w:rPr>
              <w:t>Suggested by</w:t>
            </w:r>
          </w:p>
        </w:tc>
      </w:tr>
      <w:tr w:rsidR="00323749" w14:paraId="04F8360A" w14:textId="77777777">
        <w:tc>
          <w:tcPr>
            <w:tcW w:w="3240" w:type="dxa"/>
            <w:tcMar>
              <w:top w:w="100" w:type="dxa"/>
              <w:left w:w="100" w:type="dxa"/>
              <w:bottom w:w="100" w:type="dxa"/>
              <w:right w:w="100" w:type="dxa"/>
            </w:tcMar>
          </w:tcPr>
          <w:p w14:paraId="61B9FB83" w14:textId="77777777" w:rsidR="00323749" w:rsidRDefault="00B02434">
            <w:pPr>
              <w:widowControl w:val="0"/>
              <w:spacing w:line="240" w:lineRule="auto"/>
            </w:pPr>
            <w:r>
              <w:rPr>
                <w:rFonts w:ascii="Calibri" w:eastAsia="Calibri" w:hAnsi="Calibri" w:cs="Calibri"/>
                <w:b/>
                <w:sz w:val="24"/>
                <w:szCs w:val="24"/>
                <w:highlight w:val="white"/>
              </w:rPr>
              <w:t>Arabella Advisors</w:t>
            </w:r>
            <w:r>
              <w:rPr>
                <w:rFonts w:ascii="Calibri" w:eastAsia="Calibri" w:hAnsi="Calibri" w:cs="Calibri"/>
                <w:sz w:val="24"/>
                <w:szCs w:val="24"/>
                <w:highlight w:val="white"/>
              </w:rPr>
              <w:t xml:space="preserve"> / Gwen Walden, Senior Managing Director</w:t>
            </w:r>
          </w:p>
        </w:tc>
        <w:tc>
          <w:tcPr>
            <w:tcW w:w="3240" w:type="dxa"/>
            <w:tcMar>
              <w:top w:w="100" w:type="dxa"/>
              <w:left w:w="100" w:type="dxa"/>
              <w:bottom w:w="100" w:type="dxa"/>
              <w:right w:w="100" w:type="dxa"/>
            </w:tcMar>
          </w:tcPr>
          <w:p w14:paraId="36F2ACC1" w14:textId="77777777" w:rsidR="00323749" w:rsidRDefault="00B02434">
            <w:pPr>
              <w:widowControl w:val="0"/>
              <w:spacing w:line="240" w:lineRule="auto"/>
            </w:pPr>
            <w:r>
              <w:rPr>
                <w:rFonts w:ascii="Calibri" w:eastAsia="Calibri" w:hAnsi="Calibri" w:cs="Calibri"/>
                <w:sz w:val="24"/>
                <w:szCs w:val="24"/>
                <w:highlight w:val="white"/>
              </w:rPr>
              <w:t>Arabella A</w:t>
            </w:r>
            <w:r>
              <w:rPr>
                <w:rFonts w:ascii="Calibri" w:eastAsia="Calibri" w:hAnsi="Calibri" w:cs="Calibri"/>
                <w:sz w:val="24"/>
                <w:szCs w:val="24"/>
                <w:highlight w:val="white"/>
              </w:rPr>
              <w:t xml:space="preserve">dvisors was founded in 2005 to provide strategic guidance for effective philanthropy. Since then, we’ve evolved into a mission-driven, </w:t>
            </w:r>
            <w:hyperlink r:id="rId4">
              <w:r>
                <w:rPr>
                  <w:rFonts w:ascii="Calibri" w:eastAsia="Calibri" w:hAnsi="Calibri" w:cs="Calibri"/>
                  <w:sz w:val="24"/>
                  <w:szCs w:val="24"/>
                  <w:highlight w:val="white"/>
                </w:rPr>
                <w:t>Certified B Corporation</w:t>
              </w:r>
            </w:hyperlink>
            <w:r>
              <w:rPr>
                <w:rFonts w:ascii="Calibri" w:eastAsia="Calibri" w:hAnsi="Calibri" w:cs="Calibri"/>
                <w:sz w:val="24"/>
                <w:szCs w:val="24"/>
                <w:highlight w:val="white"/>
              </w:rPr>
              <w:t xml:space="preserve"> that has helped hundreds of clients representing</w:t>
            </w:r>
            <w:r>
              <w:rPr>
                <w:rFonts w:ascii="Calibri" w:eastAsia="Calibri" w:hAnsi="Calibri" w:cs="Calibri"/>
                <w:sz w:val="24"/>
                <w:szCs w:val="24"/>
                <w:highlight w:val="white"/>
              </w:rPr>
              <w:t xml:space="preserve"> more than $100 billion in assets increase their philanthropic impact. (see </w:t>
            </w:r>
            <w:hyperlink r:id="rId5">
              <w:r>
                <w:rPr>
                  <w:rFonts w:ascii="Calibri" w:eastAsia="Calibri" w:hAnsi="Calibri" w:cs="Calibri"/>
                  <w:color w:val="1155CC"/>
                  <w:sz w:val="24"/>
                  <w:szCs w:val="24"/>
                  <w:highlight w:val="white"/>
                  <w:u w:val="single"/>
                </w:rPr>
                <w:t>https://www.arabellaadvisors.com</w:t>
              </w:r>
            </w:hyperlink>
            <w:r>
              <w:rPr>
                <w:rFonts w:ascii="Calibri" w:eastAsia="Calibri" w:hAnsi="Calibri" w:cs="Calibri"/>
                <w:sz w:val="24"/>
                <w:szCs w:val="24"/>
                <w:highlight w:val="white"/>
              </w:rPr>
              <w:t xml:space="preserve"> for further details)</w:t>
            </w:r>
          </w:p>
        </w:tc>
        <w:tc>
          <w:tcPr>
            <w:tcW w:w="3240" w:type="dxa"/>
            <w:tcMar>
              <w:top w:w="100" w:type="dxa"/>
              <w:left w:w="100" w:type="dxa"/>
              <w:bottom w:w="100" w:type="dxa"/>
              <w:right w:w="100" w:type="dxa"/>
            </w:tcMar>
          </w:tcPr>
          <w:p w14:paraId="16DA2BA0" w14:textId="77777777" w:rsidR="00323749" w:rsidRDefault="00323749">
            <w:pPr>
              <w:widowControl w:val="0"/>
              <w:spacing w:line="240" w:lineRule="auto"/>
            </w:pPr>
          </w:p>
        </w:tc>
        <w:tc>
          <w:tcPr>
            <w:tcW w:w="3240" w:type="dxa"/>
            <w:tcMar>
              <w:top w:w="100" w:type="dxa"/>
              <w:left w:w="100" w:type="dxa"/>
              <w:bottom w:w="100" w:type="dxa"/>
              <w:right w:w="100" w:type="dxa"/>
            </w:tcMar>
          </w:tcPr>
          <w:p w14:paraId="4AC865DA" w14:textId="77777777" w:rsidR="00323749" w:rsidRDefault="00B02434">
            <w:pPr>
              <w:widowControl w:val="0"/>
              <w:spacing w:line="240" w:lineRule="auto"/>
            </w:pPr>
            <w:r>
              <w:rPr>
                <w:rFonts w:ascii="Calibri" w:eastAsia="Calibri" w:hAnsi="Calibri" w:cs="Calibri"/>
                <w:sz w:val="23"/>
                <w:szCs w:val="23"/>
                <w:highlight w:val="white"/>
              </w:rPr>
              <w:t>ICANN Staff</w:t>
            </w:r>
          </w:p>
        </w:tc>
      </w:tr>
      <w:tr w:rsidR="00323749" w14:paraId="55890F12" w14:textId="77777777">
        <w:tc>
          <w:tcPr>
            <w:tcW w:w="3240" w:type="dxa"/>
            <w:tcMar>
              <w:top w:w="100" w:type="dxa"/>
              <w:left w:w="100" w:type="dxa"/>
              <w:bottom w:w="100" w:type="dxa"/>
              <w:right w:w="100" w:type="dxa"/>
            </w:tcMar>
          </w:tcPr>
          <w:p w14:paraId="413DC8F1" w14:textId="77777777" w:rsidR="00323749" w:rsidRDefault="00B02434">
            <w:pPr>
              <w:widowControl w:val="0"/>
              <w:spacing w:line="240" w:lineRule="auto"/>
            </w:pPr>
            <w:r>
              <w:rPr>
                <w:rFonts w:ascii="Calibri" w:eastAsia="Calibri" w:hAnsi="Calibri" w:cs="Calibri"/>
                <w:b/>
                <w:sz w:val="24"/>
                <w:szCs w:val="24"/>
                <w:highlight w:val="white"/>
              </w:rPr>
              <w:t xml:space="preserve">Rockefeller Philanthropy </w:t>
            </w:r>
            <w:r>
              <w:rPr>
                <w:rFonts w:ascii="Calibri" w:eastAsia="Calibri" w:hAnsi="Calibri" w:cs="Calibri"/>
                <w:b/>
                <w:sz w:val="24"/>
                <w:szCs w:val="24"/>
                <w:highlight w:val="white"/>
              </w:rPr>
              <w:lastRenderedPageBreak/>
              <w:t>Advisors</w:t>
            </w:r>
            <w:r>
              <w:rPr>
                <w:rFonts w:ascii="Calibri" w:eastAsia="Calibri" w:hAnsi="Calibri" w:cs="Calibri"/>
                <w:sz w:val="24"/>
                <w:szCs w:val="24"/>
                <w:highlight w:val="white"/>
              </w:rPr>
              <w:t xml:space="preserve"> / Nick Hodges</w:t>
            </w:r>
          </w:p>
          <w:p w14:paraId="7A529EF0" w14:textId="77777777" w:rsidR="00323749" w:rsidRDefault="00B02434">
            <w:pPr>
              <w:widowControl w:val="0"/>
              <w:spacing w:line="240" w:lineRule="auto"/>
            </w:pPr>
            <w:r>
              <w:rPr>
                <w:rFonts w:ascii="Calibri" w:eastAsia="Calibri" w:hAnsi="Calibri" w:cs="Calibri"/>
                <w:sz w:val="24"/>
                <w:szCs w:val="24"/>
                <w:highlight w:val="white"/>
              </w:rPr>
              <w:t>Chief Operat</w:t>
            </w:r>
            <w:r>
              <w:rPr>
                <w:rFonts w:ascii="Calibri" w:eastAsia="Calibri" w:hAnsi="Calibri" w:cs="Calibri"/>
                <w:sz w:val="24"/>
                <w:szCs w:val="24"/>
                <w:highlight w:val="white"/>
              </w:rPr>
              <w:t>ing Officer</w:t>
            </w:r>
          </w:p>
        </w:tc>
        <w:tc>
          <w:tcPr>
            <w:tcW w:w="3240" w:type="dxa"/>
            <w:tcMar>
              <w:top w:w="100" w:type="dxa"/>
              <w:left w:w="100" w:type="dxa"/>
              <w:bottom w:w="100" w:type="dxa"/>
              <w:right w:w="100" w:type="dxa"/>
            </w:tcMar>
          </w:tcPr>
          <w:p w14:paraId="4EA851C6" w14:textId="77777777" w:rsidR="00323749" w:rsidRDefault="00B02434">
            <w:pPr>
              <w:widowControl w:val="0"/>
              <w:spacing w:line="240" w:lineRule="auto"/>
            </w:pPr>
            <w:r>
              <w:rPr>
                <w:rFonts w:ascii="Calibri" w:eastAsia="Calibri" w:hAnsi="Calibri" w:cs="Calibri"/>
                <w:sz w:val="24"/>
                <w:szCs w:val="24"/>
                <w:highlight w:val="white"/>
              </w:rPr>
              <w:lastRenderedPageBreak/>
              <w:t xml:space="preserve">Rockefeller Philanthropy </w:t>
            </w:r>
            <w:r>
              <w:rPr>
                <w:rFonts w:ascii="Calibri" w:eastAsia="Calibri" w:hAnsi="Calibri" w:cs="Calibri"/>
                <w:sz w:val="24"/>
                <w:szCs w:val="24"/>
                <w:highlight w:val="white"/>
              </w:rPr>
              <w:lastRenderedPageBreak/>
              <w:t>Advisors has helped major private foundations, public sector agencies and nonprofit institutions design, implement and monitor high impact, large-scale grant initiatives. Institutions that are launching a new grant prog</w:t>
            </w:r>
            <w:r>
              <w:rPr>
                <w:rFonts w:ascii="Calibri" w:eastAsia="Calibri" w:hAnsi="Calibri" w:cs="Calibri"/>
                <w:sz w:val="24"/>
                <w:szCs w:val="24"/>
                <w:highlight w:val="white"/>
              </w:rPr>
              <w:t>ram or implementing temporary programs find these services particularly useful, because partnering with us is an</w:t>
            </w:r>
          </w:p>
          <w:p w14:paraId="2A560B0C" w14:textId="77777777" w:rsidR="00323749" w:rsidRDefault="00B02434">
            <w:pPr>
              <w:widowControl w:val="0"/>
              <w:spacing w:line="240" w:lineRule="auto"/>
            </w:pPr>
            <w:r>
              <w:rPr>
                <w:rFonts w:ascii="Calibri" w:eastAsia="Calibri" w:hAnsi="Calibri" w:cs="Calibri"/>
                <w:sz w:val="24"/>
                <w:szCs w:val="24"/>
                <w:highlight w:val="white"/>
              </w:rPr>
              <w:t>expedient and effective way to quickly gain both content and process expertise prior to</w:t>
            </w:r>
          </w:p>
          <w:p w14:paraId="41F29756" w14:textId="77777777" w:rsidR="00323749" w:rsidRDefault="00B02434">
            <w:pPr>
              <w:widowControl w:val="0"/>
              <w:spacing w:line="240" w:lineRule="auto"/>
            </w:pPr>
            <w:r>
              <w:rPr>
                <w:rFonts w:ascii="Calibri" w:eastAsia="Calibri" w:hAnsi="Calibri" w:cs="Calibri"/>
                <w:sz w:val="24"/>
                <w:szCs w:val="24"/>
                <w:highlight w:val="white"/>
              </w:rPr>
              <w:t>committing long-term institutional resources. Others fi</w:t>
            </w:r>
            <w:r>
              <w:rPr>
                <w:rFonts w:ascii="Calibri" w:eastAsia="Calibri" w:hAnsi="Calibri" w:cs="Calibri"/>
                <w:sz w:val="24"/>
                <w:szCs w:val="24"/>
                <w:highlight w:val="white"/>
              </w:rPr>
              <w:t>nd it useful when trying to gain deeper access into community-based organizations and issues, when expanding geographical</w:t>
            </w:r>
          </w:p>
          <w:p w14:paraId="12A49F21" w14:textId="77777777" w:rsidR="00323749" w:rsidRDefault="00B02434">
            <w:pPr>
              <w:widowControl w:val="0"/>
              <w:spacing w:line="240" w:lineRule="auto"/>
            </w:pPr>
            <w:r>
              <w:rPr>
                <w:rFonts w:ascii="Calibri" w:eastAsia="Calibri" w:hAnsi="Calibri" w:cs="Calibri"/>
                <w:sz w:val="24"/>
                <w:szCs w:val="24"/>
                <w:highlight w:val="white"/>
              </w:rPr>
              <w:t xml:space="preserve">reach, or when requiring cultural competency for minority or international constituencies. (see </w:t>
            </w:r>
            <w:hyperlink r:id="rId6">
              <w:r>
                <w:rPr>
                  <w:rFonts w:ascii="Calibri" w:eastAsia="Calibri" w:hAnsi="Calibri" w:cs="Calibri"/>
                  <w:color w:val="1155CC"/>
                  <w:sz w:val="24"/>
                  <w:szCs w:val="24"/>
                  <w:highlight w:val="white"/>
                  <w:u w:val="single"/>
                </w:rPr>
                <w:t>http://www.rockpa.org</w:t>
              </w:r>
            </w:hyperlink>
            <w:r>
              <w:rPr>
                <w:rFonts w:ascii="Calibri" w:eastAsia="Calibri" w:hAnsi="Calibri" w:cs="Calibri"/>
                <w:sz w:val="24"/>
                <w:szCs w:val="24"/>
                <w:highlight w:val="white"/>
              </w:rPr>
              <w:t xml:space="preserve">) </w:t>
            </w:r>
          </w:p>
        </w:tc>
        <w:tc>
          <w:tcPr>
            <w:tcW w:w="3240" w:type="dxa"/>
            <w:tcMar>
              <w:top w:w="100" w:type="dxa"/>
              <w:left w:w="100" w:type="dxa"/>
              <w:bottom w:w="100" w:type="dxa"/>
              <w:right w:w="100" w:type="dxa"/>
            </w:tcMar>
          </w:tcPr>
          <w:p w14:paraId="50796325" w14:textId="77777777" w:rsidR="00323749" w:rsidRDefault="00323749">
            <w:pPr>
              <w:widowControl w:val="0"/>
              <w:spacing w:line="240" w:lineRule="auto"/>
            </w:pPr>
          </w:p>
        </w:tc>
        <w:tc>
          <w:tcPr>
            <w:tcW w:w="3240" w:type="dxa"/>
            <w:tcMar>
              <w:top w:w="100" w:type="dxa"/>
              <w:left w:w="100" w:type="dxa"/>
              <w:bottom w:w="100" w:type="dxa"/>
              <w:right w:w="100" w:type="dxa"/>
            </w:tcMar>
          </w:tcPr>
          <w:p w14:paraId="5BDD5815" w14:textId="77777777" w:rsidR="00323749" w:rsidRDefault="00B02434">
            <w:pPr>
              <w:widowControl w:val="0"/>
              <w:spacing w:line="240" w:lineRule="auto"/>
            </w:pPr>
            <w:r>
              <w:rPr>
                <w:rFonts w:ascii="Calibri" w:eastAsia="Calibri" w:hAnsi="Calibri" w:cs="Calibri"/>
                <w:sz w:val="23"/>
                <w:szCs w:val="23"/>
                <w:highlight w:val="white"/>
              </w:rPr>
              <w:t>ICANN Staff</w:t>
            </w:r>
          </w:p>
        </w:tc>
      </w:tr>
      <w:tr w:rsidR="00323749" w14:paraId="644982A0" w14:textId="77777777">
        <w:tc>
          <w:tcPr>
            <w:tcW w:w="3240" w:type="dxa"/>
            <w:tcMar>
              <w:top w:w="100" w:type="dxa"/>
              <w:left w:w="100" w:type="dxa"/>
              <w:bottom w:w="100" w:type="dxa"/>
              <w:right w:w="100" w:type="dxa"/>
            </w:tcMar>
          </w:tcPr>
          <w:p w14:paraId="0613FF88" w14:textId="77777777" w:rsidR="00323749" w:rsidRDefault="00323749">
            <w:pPr>
              <w:widowControl w:val="0"/>
              <w:spacing w:line="240" w:lineRule="auto"/>
            </w:pPr>
          </w:p>
        </w:tc>
        <w:tc>
          <w:tcPr>
            <w:tcW w:w="3240" w:type="dxa"/>
            <w:tcMar>
              <w:top w:w="100" w:type="dxa"/>
              <w:left w:w="100" w:type="dxa"/>
              <w:bottom w:w="100" w:type="dxa"/>
              <w:right w:w="100" w:type="dxa"/>
            </w:tcMar>
          </w:tcPr>
          <w:p w14:paraId="483EBDA7" w14:textId="77777777" w:rsidR="00323749" w:rsidRDefault="00323749">
            <w:pPr>
              <w:widowControl w:val="0"/>
              <w:spacing w:line="240" w:lineRule="auto"/>
            </w:pPr>
          </w:p>
        </w:tc>
        <w:tc>
          <w:tcPr>
            <w:tcW w:w="3240" w:type="dxa"/>
            <w:tcMar>
              <w:top w:w="100" w:type="dxa"/>
              <w:left w:w="100" w:type="dxa"/>
              <w:bottom w:w="100" w:type="dxa"/>
              <w:right w:w="100" w:type="dxa"/>
            </w:tcMar>
          </w:tcPr>
          <w:p w14:paraId="29FE80D1" w14:textId="77777777" w:rsidR="00323749" w:rsidRDefault="00323749">
            <w:pPr>
              <w:widowControl w:val="0"/>
              <w:spacing w:line="240" w:lineRule="auto"/>
            </w:pPr>
          </w:p>
        </w:tc>
        <w:tc>
          <w:tcPr>
            <w:tcW w:w="3240" w:type="dxa"/>
            <w:tcMar>
              <w:top w:w="100" w:type="dxa"/>
              <w:left w:w="100" w:type="dxa"/>
              <w:bottom w:w="100" w:type="dxa"/>
              <w:right w:w="100" w:type="dxa"/>
            </w:tcMar>
          </w:tcPr>
          <w:p w14:paraId="23A0A0E7" w14:textId="77777777" w:rsidR="00323749" w:rsidRDefault="00323749">
            <w:pPr>
              <w:widowControl w:val="0"/>
              <w:spacing w:line="240" w:lineRule="auto"/>
            </w:pPr>
          </w:p>
        </w:tc>
      </w:tr>
      <w:tr w:rsidR="00323749" w14:paraId="566F81C0" w14:textId="77777777">
        <w:tc>
          <w:tcPr>
            <w:tcW w:w="3240" w:type="dxa"/>
            <w:tcMar>
              <w:top w:w="100" w:type="dxa"/>
              <w:left w:w="100" w:type="dxa"/>
              <w:bottom w:w="100" w:type="dxa"/>
              <w:right w:w="100" w:type="dxa"/>
            </w:tcMar>
          </w:tcPr>
          <w:p w14:paraId="7325239E" w14:textId="77777777" w:rsidR="00323749" w:rsidRDefault="00323749">
            <w:pPr>
              <w:widowControl w:val="0"/>
              <w:spacing w:line="240" w:lineRule="auto"/>
            </w:pPr>
          </w:p>
        </w:tc>
        <w:tc>
          <w:tcPr>
            <w:tcW w:w="3240" w:type="dxa"/>
            <w:tcMar>
              <w:top w:w="100" w:type="dxa"/>
              <w:left w:w="100" w:type="dxa"/>
              <w:bottom w:w="100" w:type="dxa"/>
              <w:right w:w="100" w:type="dxa"/>
            </w:tcMar>
          </w:tcPr>
          <w:p w14:paraId="72D44906" w14:textId="77777777" w:rsidR="00323749" w:rsidRDefault="00323749">
            <w:pPr>
              <w:widowControl w:val="0"/>
              <w:spacing w:line="240" w:lineRule="auto"/>
            </w:pPr>
          </w:p>
        </w:tc>
        <w:tc>
          <w:tcPr>
            <w:tcW w:w="3240" w:type="dxa"/>
            <w:tcMar>
              <w:top w:w="100" w:type="dxa"/>
              <w:left w:w="100" w:type="dxa"/>
              <w:bottom w:w="100" w:type="dxa"/>
              <w:right w:w="100" w:type="dxa"/>
            </w:tcMar>
          </w:tcPr>
          <w:p w14:paraId="55026948" w14:textId="77777777" w:rsidR="00323749" w:rsidRDefault="00323749">
            <w:pPr>
              <w:widowControl w:val="0"/>
              <w:spacing w:line="240" w:lineRule="auto"/>
            </w:pPr>
          </w:p>
        </w:tc>
        <w:tc>
          <w:tcPr>
            <w:tcW w:w="3240" w:type="dxa"/>
            <w:tcMar>
              <w:top w:w="100" w:type="dxa"/>
              <w:left w:w="100" w:type="dxa"/>
              <w:bottom w:w="100" w:type="dxa"/>
              <w:right w:w="100" w:type="dxa"/>
            </w:tcMar>
          </w:tcPr>
          <w:p w14:paraId="588DE3F8" w14:textId="77777777" w:rsidR="00323749" w:rsidRDefault="00323749">
            <w:pPr>
              <w:widowControl w:val="0"/>
              <w:spacing w:line="240" w:lineRule="auto"/>
            </w:pPr>
          </w:p>
        </w:tc>
      </w:tr>
      <w:tr w:rsidR="00323749" w14:paraId="3AA410C1" w14:textId="77777777">
        <w:tc>
          <w:tcPr>
            <w:tcW w:w="3240" w:type="dxa"/>
            <w:tcMar>
              <w:top w:w="100" w:type="dxa"/>
              <w:left w:w="100" w:type="dxa"/>
              <w:bottom w:w="100" w:type="dxa"/>
              <w:right w:w="100" w:type="dxa"/>
            </w:tcMar>
          </w:tcPr>
          <w:p w14:paraId="0ED188BB" w14:textId="77777777" w:rsidR="00323749" w:rsidRDefault="00323749">
            <w:pPr>
              <w:widowControl w:val="0"/>
              <w:spacing w:line="240" w:lineRule="auto"/>
            </w:pPr>
          </w:p>
        </w:tc>
        <w:tc>
          <w:tcPr>
            <w:tcW w:w="3240" w:type="dxa"/>
            <w:tcMar>
              <w:top w:w="100" w:type="dxa"/>
              <w:left w:w="100" w:type="dxa"/>
              <w:bottom w:w="100" w:type="dxa"/>
              <w:right w:w="100" w:type="dxa"/>
            </w:tcMar>
          </w:tcPr>
          <w:p w14:paraId="17772994" w14:textId="77777777" w:rsidR="00323749" w:rsidRDefault="00323749">
            <w:pPr>
              <w:widowControl w:val="0"/>
              <w:spacing w:line="240" w:lineRule="auto"/>
            </w:pPr>
          </w:p>
        </w:tc>
        <w:tc>
          <w:tcPr>
            <w:tcW w:w="3240" w:type="dxa"/>
            <w:tcMar>
              <w:top w:w="100" w:type="dxa"/>
              <w:left w:w="100" w:type="dxa"/>
              <w:bottom w:w="100" w:type="dxa"/>
              <w:right w:w="100" w:type="dxa"/>
            </w:tcMar>
          </w:tcPr>
          <w:p w14:paraId="5182DCB8" w14:textId="77777777" w:rsidR="00323749" w:rsidRDefault="00323749">
            <w:pPr>
              <w:widowControl w:val="0"/>
              <w:spacing w:line="240" w:lineRule="auto"/>
            </w:pPr>
          </w:p>
        </w:tc>
        <w:tc>
          <w:tcPr>
            <w:tcW w:w="3240" w:type="dxa"/>
            <w:tcMar>
              <w:top w:w="100" w:type="dxa"/>
              <w:left w:w="100" w:type="dxa"/>
              <w:bottom w:w="100" w:type="dxa"/>
              <w:right w:w="100" w:type="dxa"/>
            </w:tcMar>
          </w:tcPr>
          <w:p w14:paraId="245A6366" w14:textId="77777777" w:rsidR="00323749" w:rsidRDefault="00323749">
            <w:pPr>
              <w:widowControl w:val="0"/>
              <w:spacing w:line="240" w:lineRule="auto"/>
            </w:pPr>
          </w:p>
        </w:tc>
      </w:tr>
    </w:tbl>
    <w:p w14:paraId="432387A4" w14:textId="77777777" w:rsidR="00323749" w:rsidRDefault="00323749"/>
    <w:p w14:paraId="45177C04" w14:textId="77777777" w:rsidR="00323749" w:rsidRDefault="00B02434">
      <w:r>
        <w:rPr>
          <w:rFonts w:ascii="Calibri" w:eastAsia="Calibri" w:hAnsi="Calibri" w:cs="Calibri"/>
          <w:b/>
          <w:sz w:val="23"/>
          <w:szCs w:val="23"/>
          <w:highlight w:val="white"/>
        </w:rPr>
        <w:t>Comments / input from CCWG members &amp; participants</w:t>
      </w:r>
    </w:p>
    <w:p w14:paraId="30FD6C56" w14:textId="77777777" w:rsidR="00323749" w:rsidRDefault="00323749"/>
    <w:p w14:paraId="0531F2A4" w14:textId="77777777" w:rsidR="00323749" w:rsidRDefault="00B02434">
      <w:r>
        <w:rPr>
          <w:rFonts w:ascii="Calibri" w:eastAsia="Calibri" w:hAnsi="Calibri" w:cs="Calibri"/>
          <w:sz w:val="23"/>
          <w:szCs w:val="23"/>
          <w:highlight w:val="white"/>
        </w:rPr>
        <w:t xml:space="preserve">Comment from </w:t>
      </w:r>
      <w:proofErr w:type="spellStart"/>
      <w:r>
        <w:rPr>
          <w:rFonts w:ascii="Calibri" w:eastAsia="Calibri" w:hAnsi="Calibri" w:cs="Calibri"/>
          <w:sz w:val="23"/>
          <w:szCs w:val="23"/>
          <w:highlight w:val="white"/>
        </w:rPr>
        <w:t>Nasrat</w:t>
      </w:r>
      <w:proofErr w:type="spellEnd"/>
      <w:r>
        <w:rPr>
          <w:rFonts w:ascii="Calibri" w:eastAsia="Calibri" w:hAnsi="Calibri" w:cs="Calibri"/>
          <w:sz w:val="23"/>
          <w:szCs w:val="23"/>
          <w:highlight w:val="white"/>
        </w:rPr>
        <w:t xml:space="preserve"> Khalid: </w:t>
      </w:r>
      <w:r>
        <w:rPr>
          <w:rFonts w:ascii="Calibri" w:eastAsia="Calibri" w:hAnsi="Calibri" w:cs="Calibri"/>
          <w:sz w:val="23"/>
          <w:szCs w:val="23"/>
          <w:highlight w:val="white"/>
        </w:rPr>
        <w:t xml:space="preserve">The few models that is in work for disbursement of funds in the development sector that could be looked at could be for instance, the donor model where the acting </w:t>
      </w:r>
      <w:proofErr w:type="spellStart"/>
      <w:r>
        <w:rPr>
          <w:rFonts w:ascii="Calibri" w:eastAsia="Calibri" w:hAnsi="Calibri" w:cs="Calibri"/>
          <w:sz w:val="23"/>
          <w:szCs w:val="23"/>
          <w:highlight w:val="white"/>
        </w:rPr>
        <w:t>organisation</w:t>
      </w:r>
      <w:proofErr w:type="spellEnd"/>
      <w:r>
        <w:rPr>
          <w:rFonts w:ascii="Calibri" w:eastAsia="Calibri" w:hAnsi="Calibri" w:cs="Calibri"/>
          <w:sz w:val="23"/>
          <w:szCs w:val="23"/>
          <w:highlight w:val="white"/>
        </w:rPr>
        <w:t xml:space="preserve"> only puts and follows procedures for their clients (which in this case would </w:t>
      </w:r>
      <w:proofErr w:type="gramStart"/>
      <w:r>
        <w:rPr>
          <w:rFonts w:ascii="Calibri" w:eastAsia="Calibri" w:hAnsi="Calibri" w:cs="Calibri"/>
          <w:sz w:val="23"/>
          <w:szCs w:val="23"/>
          <w:highlight w:val="white"/>
        </w:rPr>
        <w:t>act</w:t>
      </w:r>
      <w:r>
        <w:rPr>
          <w:rFonts w:ascii="Calibri" w:eastAsia="Calibri" w:hAnsi="Calibri" w:cs="Calibri"/>
          <w:sz w:val="23"/>
          <w:szCs w:val="23"/>
          <w:highlight w:val="white"/>
        </w:rPr>
        <w:t>ually be</w:t>
      </w:r>
      <w:proofErr w:type="gramEnd"/>
      <w:r>
        <w:rPr>
          <w:rFonts w:ascii="Calibri" w:eastAsia="Calibri" w:hAnsi="Calibri" w:cs="Calibri"/>
          <w:sz w:val="23"/>
          <w:szCs w:val="23"/>
          <w:highlight w:val="white"/>
        </w:rPr>
        <w:t xml:space="preserve"> the beneficiary too) in order to disburse... or, another model could be that of building a trust fund that has a very minimal operational cost which can drive different projects concurrent to each other. The trust fund also could tackle the doubt </w:t>
      </w:r>
      <w:r>
        <w:rPr>
          <w:rFonts w:ascii="Calibri" w:eastAsia="Calibri" w:hAnsi="Calibri" w:cs="Calibri"/>
          <w:sz w:val="23"/>
          <w:szCs w:val="23"/>
          <w:highlight w:val="white"/>
        </w:rPr>
        <w:t>with the ratio of auctions that may or may not happen in the future as it could provide a controlled flow of disbursement.</w:t>
      </w:r>
    </w:p>
    <w:p w14:paraId="6836376C" w14:textId="77777777" w:rsidR="00323749" w:rsidRDefault="00323749"/>
    <w:p w14:paraId="02F90CC5" w14:textId="77777777" w:rsidR="00323749" w:rsidRDefault="00B02434">
      <w:r>
        <w:rPr>
          <w:rFonts w:ascii="Calibri" w:eastAsia="Calibri" w:hAnsi="Calibri" w:cs="Calibri"/>
          <w:sz w:val="23"/>
          <w:szCs w:val="23"/>
          <w:highlight w:val="white"/>
        </w:rPr>
        <w:t xml:space="preserve">Comment from Mathieu Weill: </w:t>
      </w:r>
      <w:r>
        <w:rPr>
          <w:rFonts w:ascii="Calibri" w:eastAsia="Calibri" w:hAnsi="Calibri" w:cs="Calibri"/>
          <w:sz w:val="23"/>
          <w:szCs w:val="23"/>
          <w:highlight w:val="white"/>
        </w:rPr>
        <w:t xml:space="preserve">Within our community, organizations such as ISOC, W3C, but also </w:t>
      </w:r>
      <w:proofErr w:type="gramStart"/>
      <w:r>
        <w:rPr>
          <w:rFonts w:ascii="Calibri" w:eastAsia="Calibri" w:hAnsi="Calibri" w:cs="Calibri"/>
          <w:sz w:val="23"/>
          <w:szCs w:val="23"/>
          <w:highlight w:val="white"/>
        </w:rPr>
        <w:t>a number of</w:t>
      </w:r>
      <w:proofErr w:type="gramEnd"/>
      <w:r>
        <w:rPr>
          <w:rFonts w:ascii="Calibri" w:eastAsia="Calibri" w:hAnsi="Calibri" w:cs="Calibri"/>
          <w:sz w:val="23"/>
          <w:szCs w:val="23"/>
          <w:highlight w:val="white"/>
        </w:rPr>
        <w:t xml:space="preserve"> </w:t>
      </w:r>
      <w:proofErr w:type="spellStart"/>
      <w:r>
        <w:rPr>
          <w:rFonts w:ascii="Calibri" w:eastAsia="Calibri" w:hAnsi="Calibri" w:cs="Calibri"/>
          <w:sz w:val="23"/>
          <w:szCs w:val="23"/>
          <w:highlight w:val="white"/>
        </w:rPr>
        <w:t>ccTLDs</w:t>
      </w:r>
      <w:proofErr w:type="spellEnd"/>
      <w:r>
        <w:rPr>
          <w:rFonts w:ascii="Calibri" w:eastAsia="Calibri" w:hAnsi="Calibri" w:cs="Calibri"/>
          <w:sz w:val="23"/>
          <w:szCs w:val="23"/>
          <w:highlight w:val="white"/>
        </w:rPr>
        <w:t xml:space="preserve"> have set up internal processes or sometimes Trust or Foundations to allocate funds. That is the case for my organization, </w:t>
      </w:r>
      <w:proofErr w:type="spellStart"/>
      <w:r>
        <w:rPr>
          <w:rFonts w:ascii="Calibri" w:eastAsia="Calibri" w:hAnsi="Calibri" w:cs="Calibri"/>
          <w:sz w:val="23"/>
          <w:szCs w:val="23"/>
          <w:highlight w:val="white"/>
        </w:rPr>
        <w:t>Afnic</w:t>
      </w:r>
      <w:proofErr w:type="spellEnd"/>
      <w:r>
        <w:rPr>
          <w:rFonts w:ascii="Calibri" w:eastAsia="Calibri" w:hAnsi="Calibri" w:cs="Calibri"/>
          <w:sz w:val="23"/>
          <w:szCs w:val="23"/>
          <w:highlight w:val="white"/>
        </w:rPr>
        <w:t>. Many have been interviewed before this group</w:t>
      </w:r>
      <w:r>
        <w:rPr>
          <w:rFonts w:ascii="Calibri" w:eastAsia="Calibri" w:hAnsi="Calibri" w:cs="Calibri"/>
          <w:sz w:val="23"/>
          <w:szCs w:val="23"/>
          <w:highlight w:val="white"/>
        </w:rPr>
        <w:t xml:space="preserve"> even started, but they should certainly be part of our “list”.</w:t>
      </w:r>
    </w:p>
    <w:p w14:paraId="276B8F93" w14:textId="77777777" w:rsidR="00323749" w:rsidRDefault="00323749"/>
    <w:p w14:paraId="646FC21C" w14:textId="77777777" w:rsidR="00323749" w:rsidRDefault="00B02434">
      <w:r>
        <w:rPr>
          <w:rFonts w:ascii="Calibri" w:eastAsia="Calibri" w:hAnsi="Calibri" w:cs="Calibri"/>
          <w:sz w:val="23"/>
          <w:szCs w:val="23"/>
          <w:highlight w:val="white"/>
        </w:rPr>
        <w:t>Comment from Sylvia Cadena: I would like to ask if it is possible to get assistance a list of the existing financial mechanisms in the US that will not jeopardize ICANN tax status, which is o</w:t>
      </w:r>
      <w:r>
        <w:rPr>
          <w:rFonts w:ascii="Calibri" w:eastAsia="Calibri" w:hAnsi="Calibri" w:cs="Calibri"/>
          <w:sz w:val="23"/>
          <w:szCs w:val="23"/>
          <w:highlight w:val="white"/>
        </w:rPr>
        <w:t>ne of the important aspects of the charter that we need to work around. As there are different mechanisms in every country, and not all the people in this group might be familiar with those, then it is important that we have some input about what is availa</w:t>
      </w:r>
      <w:r>
        <w:rPr>
          <w:rFonts w:ascii="Calibri" w:eastAsia="Calibri" w:hAnsi="Calibri" w:cs="Calibri"/>
          <w:sz w:val="23"/>
          <w:szCs w:val="23"/>
          <w:highlight w:val="white"/>
        </w:rPr>
        <w:t>ble that might be a good fit, to start a conversation with some solid basis. All mechanisms will have pros and cons and it will be good to be able to make an informed recommendation to the board.</w:t>
      </w:r>
    </w:p>
    <w:sectPr w:rsidR="00323749">
      <w:pgSz w:w="15840" w:h="122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323749"/>
    <w:rsid w:val="00323749"/>
    <w:rsid w:val="00B0243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56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corporation.net/" TargetMode="External"/><Relationship Id="rId5" Type="http://schemas.openxmlformats.org/officeDocument/2006/relationships/hyperlink" Target="https://www.arabellaadvisors.com" TargetMode="External"/><Relationship Id="rId6" Type="http://schemas.openxmlformats.org/officeDocument/2006/relationships/hyperlink" Target="http://www.rockp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2939</Characters>
  <Application>Microsoft Macintosh Word</Application>
  <DocSecurity>0</DocSecurity>
  <Lines>66</Lines>
  <Paragraphs>29</Paragraphs>
  <ScaleCrop>false</ScaleCrop>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2017-02-01T22:24:00Z</dcterms:created>
  <dcterms:modified xsi:type="dcterms:W3CDTF">2017-02-01T22:24:00Z</dcterms:modified>
</cp:coreProperties>
</file>