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75D21068" w:rsidR="00335D0F" w:rsidRDefault="00335D0F">
      <w:pPr>
        <w:rPr>
          <w:b/>
        </w:rPr>
      </w:pPr>
      <w:r w:rsidRPr="00335D0F">
        <w:rPr>
          <w:b/>
        </w:rPr>
        <w:t>Questions / Approach for addressing input received on Charter Question #</w:t>
      </w:r>
      <w:r w:rsidR="007E3BD1">
        <w:rPr>
          <w:b/>
        </w:rPr>
        <w:t>8</w:t>
      </w:r>
      <w:bookmarkStart w:id="0" w:name="_GoBack"/>
      <w:bookmarkEnd w:id="0"/>
      <w:r w:rsidR="006769BC">
        <w:rPr>
          <w:b/>
        </w:rPr>
        <w:t xml:space="preserve"> </w:t>
      </w:r>
      <w:r w:rsidRPr="00335D0F">
        <w:rPr>
          <w:b/>
        </w:rPr>
        <w:t>/ Guidance for the Implementation Phase in relation to charter question #</w:t>
      </w:r>
      <w:r w:rsidR="007E3BD1">
        <w:rPr>
          <w:b/>
        </w:rPr>
        <w:t>8</w:t>
      </w:r>
    </w:p>
    <w:p w14:paraId="40421525" w14:textId="423205FB" w:rsidR="00BF547E" w:rsidRDefault="00BF547E">
      <w:pPr>
        <w:rPr>
          <w:b/>
        </w:rPr>
      </w:pPr>
    </w:p>
    <w:p w14:paraId="6D7ACDA8" w14:textId="30D126BA" w:rsidR="00561035" w:rsidRDefault="00B55BBB" w:rsidP="00561035">
      <w:pPr>
        <w:rPr>
          <w:rFonts w:ascii="Calibri" w:eastAsia="Calibri" w:hAnsi="Calibri" w:cs="Calibri"/>
          <w:sz w:val="22"/>
          <w:szCs w:val="22"/>
        </w:rPr>
      </w:pPr>
      <w:r w:rsidRPr="00B55BBB">
        <w:rPr>
          <w:rFonts w:ascii="Calibri" w:eastAsia="Calibri" w:hAnsi="Calibri" w:cs="Calibri"/>
          <w:u w:val="single"/>
        </w:rPr>
        <w:t>Charter Question #</w:t>
      </w:r>
      <w:r w:rsidR="00561035">
        <w:rPr>
          <w:rFonts w:ascii="Calibri" w:eastAsia="Calibri" w:hAnsi="Calibri" w:cs="Calibri"/>
          <w:u w:val="single"/>
        </w:rPr>
        <w:t>8</w:t>
      </w:r>
      <w:r w:rsidRPr="00B55BBB">
        <w:rPr>
          <w:rFonts w:ascii="Calibri" w:eastAsia="Calibri" w:hAnsi="Calibri" w:cs="Calibri"/>
          <w:u w:val="single"/>
        </w:rPr>
        <w:t>:</w:t>
      </w:r>
      <w:r w:rsidRPr="00B55BBB">
        <w:rPr>
          <w:rFonts w:ascii="Calibri" w:eastAsia="Calibri" w:hAnsi="Calibri" w:cs="Calibri"/>
        </w:rPr>
        <w:t xml:space="preserve"> </w:t>
      </w:r>
      <w:r w:rsidR="00561035" w:rsidRPr="00561035">
        <w:t>What aspects should be considered to determine an appropriate level of overhead that supports the principles outlined in this charter?</w:t>
      </w:r>
    </w:p>
    <w:p w14:paraId="4EC49240" w14:textId="57E0FDF0" w:rsidR="00C238FD" w:rsidRPr="00B55BBB" w:rsidRDefault="00C238FD"/>
    <w:p w14:paraId="126CC5A2" w14:textId="10880F6D" w:rsidR="00BF547E" w:rsidRPr="00B55BBB" w:rsidRDefault="00BF547E">
      <w:r w:rsidRPr="00B55BBB">
        <w:t xml:space="preserve">OVERARCHING QUESTION: </w:t>
      </w:r>
    </w:p>
    <w:p w14:paraId="36FFCA38" w14:textId="77777777" w:rsidR="00BF547E" w:rsidRPr="00B55BBB" w:rsidRDefault="00BF547E"/>
    <w:p w14:paraId="743C16F0" w14:textId="53C6CEC3" w:rsidR="00BF547E" w:rsidRPr="00B55BBB" w:rsidRDefault="00BF547E">
      <w:r w:rsidRPr="00B55BBB">
        <w:t>As a result of the input provided during the public comment period, should the CCWG reconsider its recommendation</w:t>
      </w:r>
      <w:r w:rsidR="00561035">
        <w:t xml:space="preserve"> / implementation guidance</w:t>
      </w:r>
      <w:r w:rsidRPr="00B55BBB">
        <w:t xml:space="preserve"> that:</w:t>
      </w:r>
    </w:p>
    <w:p w14:paraId="15E59E29" w14:textId="77777777" w:rsidR="00561035" w:rsidRDefault="00561035" w:rsidP="00561035">
      <w:pPr>
        <w:rPr>
          <w:rFonts w:ascii="Calibri" w:eastAsia="Calibri" w:hAnsi="Calibri" w:cs="Calibri"/>
          <w:sz w:val="22"/>
          <w:szCs w:val="22"/>
          <w:u w:val="single"/>
        </w:rPr>
      </w:pPr>
    </w:p>
    <w:p w14:paraId="4C15AF99" w14:textId="76FE53E6" w:rsidR="00561035" w:rsidRPr="00561035" w:rsidRDefault="00561035" w:rsidP="00561035">
      <w:pPr>
        <w:rPr>
          <w:rFonts w:ascii="Calibri" w:eastAsia="Calibri" w:hAnsi="Calibri" w:cs="Calibri"/>
        </w:rPr>
      </w:pPr>
      <w:r w:rsidRPr="00561035">
        <w:rPr>
          <w:rFonts w:ascii="Calibri" w:eastAsia="Calibri" w:hAnsi="Calibri" w:cs="Calibri"/>
          <w:u w:val="single"/>
        </w:rPr>
        <w:t>Guidance for the Implementation Phase in relation to charter question #8</w:t>
      </w:r>
      <w:r w:rsidRPr="00561035">
        <w:rPr>
          <w:rFonts w:ascii="Calibri" w:eastAsia="Calibri" w:hAnsi="Calibri" w:cs="Calibri"/>
        </w:rPr>
        <w:t>: ICANN and any partnering organizations are to design a cost-effective model that ensures an appropriate proportion of the funds are available for distribution to fund recipients. ICANN and any partnering organizations are to follow industry best practices, where appropriate and applicable. To the extent possible in light of program objectives and requirements, the principle of simplicity should apply.</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7BD718C2" w14:textId="0CF7017C" w:rsidR="00335D0F" w:rsidRDefault="00335D0F"/>
    <w:p w14:paraId="7B00A213" w14:textId="62569D4C" w:rsidR="00561035" w:rsidRDefault="00561035"/>
    <w:p w14:paraId="2FDD6A1E" w14:textId="5C3CBDE4" w:rsidR="00561035" w:rsidRDefault="00561035"/>
    <w:p w14:paraId="214DA820" w14:textId="3B37945D" w:rsidR="00561035" w:rsidRDefault="00561035"/>
    <w:p w14:paraId="5E438B3A" w14:textId="604108EF" w:rsidR="00561035" w:rsidRDefault="00561035"/>
    <w:p w14:paraId="3A00A300" w14:textId="4579F93D" w:rsidR="00561035" w:rsidRDefault="00561035"/>
    <w:p w14:paraId="735B6283" w14:textId="13DF3520" w:rsidR="00561035" w:rsidRDefault="00561035"/>
    <w:p w14:paraId="7505D813" w14:textId="7C3F4DBB" w:rsidR="00561035" w:rsidRDefault="00561035"/>
    <w:p w14:paraId="2395F074" w14:textId="4A364CCF" w:rsidR="00561035" w:rsidRDefault="00561035"/>
    <w:p w14:paraId="202D83A8" w14:textId="0D209170" w:rsidR="00561035" w:rsidRDefault="00561035"/>
    <w:p w14:paraId="35781B27" w14:textId="77777777" w:rsidR="00561035" w:rsidRDefault="00561035"/>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31060698" w:rsidR="00335D0F" w:rsidRPr="00335D0F" w:rsidRDefault="002F19F7">
            <w:pPr>
              <w:rPr>
                <w:b/>
              </w:rPr>
            </w:pPr>
            <w:r>
              <w:rPr>
                <w:b/>
              </w:rPr>
              <w:lastRenderedPageBreak/>
              <w:t>Comment</w:t>
            </w:r>
            <w:r w:rsidR="00335D0F" w:rsidRPr="00335D0F">
              <w:rPr>
                <w:b/>
              </w:rPr>
              <w:t xml:space="preserve"> #</w:t>
            </w:r>
            <w:r w:rsidR="007E3BD1">
              <w:rPr>
                <w:b/>
              </w:rPr>
              <w:t>2</w:t>
            </w:r>
            <w:r>
              <w:rPr>
                <w:b/>
              </w:rPr>
              <w:t xml:space="preserve"> (</w:t>
            </w:r>
            <w:r w:rsidR="007E3BD1">
              <w:rPr>
                <w:b/>
              </w:rPr>
              <w:t>NCSG</w:t>
            </w:r>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6AB28137" w14:textId="23046766" w:rsidR="00C238FD" w:rsidRPr="007E3BD1" w:rsidRDefault="007E3BD1" w:rsidP="007E3BD1">
            <w:pPr>
              <w:rPr>
                <w:rFonts w:ascii="Calibri" w:eastAsia="Calibri" w:hAnsi="Calibri" w:cs="Calibri"/>
                <w:color w:val="000000"/>
                <w:shd w:val="clear" w:color="auto" w:fill="FF9900"/>
              </w:rPr>
            </w:pPr>
            <w:r w:rsidRPr="007E3BD1">
              <w:rPr>
                <w:rFonts w:ascii="Calibri" w:eastAsia="Calibri" w:hAnsi="Calibri" w:cs="Calibri"/>
              </w:rPr>
              <w:t xml:space="preserve">CCWG to consider being less vague in relation to the Implementation Guidance in relation to charter question #8 – chosen </w:t>
            </w:r>
            <w:r w:rsidRPr="007E3BD1">
              <w:rPr>
                <w:rFonts w:ascii="Calibri" w:eastAsia="Calibri" w:hAnsi="Calibri" w:cs="Calibri"/>
              </w:rPr>
              <w:t>mechanism</w:t>
            </w:r>
            <w:r w:rsidRPr="007E3BD1">
              <w:rPr>
                <w:rFonts w:ascii="Calibri" w:eastAsia="Calibri" w:hAnsi="Calibri" w:cs="Calibri"/>
              </w:rPr>
              <w:t xml:space="preserve"> s operating budget should b</w:t>
            </w:r>
            <w:r>
              <w:rPr>
                <w:rFonts w:ascii="Calibri" w:eastAsia="Calibri" w:hAnsi="Calibri" w:cs="Calibri"/>
              </w:rPr>
              <w:t>e</w:t>
            </w:r>
            <w:r w:rsidRPr="007E3BD1">
              <w:rPr>
                <w:rFonts w:ascii="Calibri" w:eastAsia="Calibri" w:hAnsi="Calibri" w:cs="Calibri"/>
              </w:rPr>
              <w:t xml:space="preserve"> capped at 10%.</w:t>
            </w:r>
            <w:r w:rsidRPr="007E3BD1">
              <w:rPr>
                <w:rFonts w:ascii="Calibri" w:eastAsia="Calibri" w:hAnsi="Calibri" w:cs="Calibri"/>
                <w:color w:val="000000"/>
                <w:shd w:val="clear" w:color="auto" w:fill="FF9900"/>
              </w:rPr>
              <w:t xml:space="preserve"> </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0241F620" w14:textId="612B566B" w:rsidR="00335D0F" w:rsidRPr="007E3BD1" w:rsidRDefault="007E3BD1" w:rsidP="007E3BD1">
            <w:pPr>
              <w:rPr>
                <w:rFonts w:ascii="Calibri" w:eastAsia="Calibri" w:hAnsi="Calibri" w:cs="Calibri"/>
              </w:rPr>
            </w:pPr>
            <w:r w:rsidRPr="007E3BD1">
              <w:rPr>
                <w:rFonts w:ascii="Calibri" w:eastAsia="Calibri" w:hAnsi="Calibri" w:cs="Calibri"/>
              </w:rPr>
              <w:t xml:space="preserve">Check: whether we like to recommend a precise cap for the operating budget. </w:t>
            </w:r>
          </w:p>
        </w:tc>
      </w:tr>
      <w:tr w:rsidR="00335D0F" w14:paraId="46D45F23" w14:textId="77777777" w:rsidTr="00335D0F">
        <w:tc>
          <w:tcPr>
            <w:tcW w:w="3775" w:type="dxa"/>
            <w:shd w:val="clear" w:color="auto" w:fill="E7E6E6" w:themeFill="background2"/>
          </w:tcPr>
          <w:p w14:paraId="0C37F9EA" w14:textId="292A379D" w:rsidR="00335D0F" w:rsidRPr="00335D0F" w:rsidRDefault="00EE4FAE">
            <w:pPr>
              <w:rPr>
                <w:b/>
              </w:rPr>
            </w:pPr>
            <w:r>
              <w:rPr>
                <w:b/>
              </w:rPr>
              <w:t>CCWG</w:t>
            </w:r>
            <w:r w:rsidR="00335D0F" w:rsidRPr="00335D0F">
              <w:rPr>
                <w:b/>
              </w:rPr>
              <w:t xml:space="preserve"> Team discussion / agreement</w:t>
            </w:r>
          </w:p>
        </w:tc>
        <w:tc>
          <w:tcPr>
            <w:tcW w:w="10155" w:type="dxa"/>
          </w:tcPr>
          <w:p w14:paraId="5A7B4A0B" w14:textId="77777777" w:rsidR="00335D0F" w:rsidRDefault="00335D0F"/>
        </w:tc>
      </w:tr>
    </w:tbl>
    <w:p w14:paraId="6285CB26" w14:textId="77777777" w:rsidR="00561035" w:rsidRDefault="00561035" w:rsidP="00561035">
      <w:pPr>
        <w:pStyle w:val="Heading1"/>
        <w:shd w:val="clear" w:color="auto" w:fill="0A3251"/>
        <w:rPr>
          <w:rFonts w:ascii="Calibri" w:eastAsia="Calibri" w:hAnsi="Calibri" w:cs="Calibri"/>
          <w:color w:val="FFFFFF"/>
        </w:rPr>
      </w:pPr>
      <w:bookmarkStart w:id="1" w:name="_Toc536453706"/>
      <w:r>
        <w:rPr>
          <w:rFonts w:ascii="Calibri" w:eastAsia="Calibri" w:hAnsi="Calibri" w:cs="Calibri"/>
          <w:color w:val="FFFFFF"/>
        </w:rPr>
        <w:t>Response to Charter Question #8/Guidance for the Implementation Phase in relation to charter question #8</w:t>
      </w:r>
      <w:bookmarkEnd w:id="1"/>
    </w:p>
    <w:tbl>
      <w:tblPr>
        <w:tblW w:w="138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710"/>
        <w:gridCol w:w="2880"/>
        <w:gridCol w:w="3060"/>
      </w:tblGrid>
      <w:tr w:rsidR="00561035" w14:paraId="04ECD255" w14:textId="77777777" w:rsidTr="00561035">
        <w:tc>
          <w:tcPr>
            <w:tcW w:w="675" w:type="dxa"/>
            <w:tcBorders>
              <w:bottom w:val="single" w:sz="4" w:space="0" w:color="000000"/>
            </w:tcBorders>
            <w:shd w:val="clear" w:color="auto" w:fill="1768B1"/>
          </w:tcPr>
          <w:p w14:paraId="41CF5AE7" w14:textId="77777777" w:rsidR="00561035" w:rsidRDefault="00561035"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4ADF318D" w14:textId="77777777" w:rsidR="00561035" w:rsidRDefault="00561035"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710" w:type="dxa"/>
            <w:tcBorders>
              <w:bottom w:val="single" w:sz="4" w:space="0" w:color="000000"/>
            </w:tcBorders>
            <w:shd w:val="clear" w:color="auto" w:fill="1768B1"/>
          </w:tcPr>
          <w:p w14:paraId="6F7CBBB2" w14:textId="77777777" w:rsidR="00561035" w:rsidRDefault="00561035"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1F3994D3" w14:textId="77777777" w:rsidR="00561035" w:rsidRDefault="00561035"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060" w:type="dxa"/>
            <w:tcBorders>
              <w:bottom w:val="single" w:sz="4" w:space="0" w:color="000000"/>
            </w:tcBorders>
            <w:shd w:val="clear" w:color="auto" w:fill="1768B1"/>
          </w:tcPr>
          <w:p w14:paraId="7F0F318C" w14:textId="77777777" w:rsidR="00561035" w:rsidRDefault="00561035"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561035" w14:paraId="17EA66F9" w14:textId="77777777" w:rsidTr="00561035">
        <w:tc>
          <w:tcPr>
            <w:tcW w:w="13832" w:type="dxa"/>
            <w:gridSpan w:val="5"/>
            <w:tcBorders>
              <w:bottom w:val="single" w:sz="4" w:space="0" w:color="000000"/>
            </w:tcBorders>
            <w:shd w:val="clear" w:color="auto" w:fill="D9D9D9"/>
          </w:tcPr>
          <w:p w14:paraId="0C4DADC5" w14:textId="77777777" w:rsidR="00561035" w:rsidRDefault="00561035" w:rsidP="000E2FBF">
            <w:pPr>
              <w:rPr>
                <w:rFonts w:ascii="Calibri" w:eastAsia="Calibri" w:hAnsi="Calibri" w:cs="Calibri"/>
                <w:color w:val="000000"/>
                <w:sz w:val="22"/>
                <w:szCs w:val="22"/>
              </w:rPr>
            </w:pPr>
            <w:r>
              <w:rPr>
                <w:rFonts w:ascii="Calibri" w:eastAsia="Calibri" w:hAnsi="Calibri" w:cs="Calibri"/>
                <w:b/>
                <w:color w:val="000000"/>
                <w:sz w:val="22"/>
                <w:szCs w:val="22"/>
              </w:rPr>
              <w:t xml:space="preserve">Section Summary: </w:t>
            </w:r>
          </w:p>
          <w:p w14:paraId="1B101C76" w14:textId="77777777" w:rsidR="00561035" w:rsidRDefault="00561035" w:rsidP="000E2FBF">
            <w:pPr>
              <w:rPr>
                <w:rFonts w:ascii="Calibri" w:eastAsia="Calibri" w:hAnsi="Calibri" w:cs="Calibri"/>
                <w:sz w:val="22"/>
                <w:szCs w:val="22"/>
              </w:rPr>
            </w:pPr>
            <w:r>
              <w:rPr>
                <w:rFonts w:ascii="Calibri" w:eastAsia="Calibri" w:hAnsi="Calibri" w:cs="Calibri"/>
                <w:sz w:val="22"/>
                <w:szCs w:val="22"/>
                <w:u w:val="single"/>
              </w:rPr>
              <w:t>Charter Question #8</w:t>
            </w:r>
            <w:r>
              <w:rPr>
                <w:rFonts w:ascii="Calibri" w:eastAsia="Calibri" w:hAnsi="Calibri" w:cs="Calibri"/>
                <w:sz w:val="22"/>
                <w:szCs w:val="22"/>
              </w:rPr>
              <w:t>: What aspects should be considered to determine an appropriate level of overhead that supports the principles outlined in this charter?</w:t>
            </w:r>
          </w:p>
          <w:p w14:paraId="54208FB1" w14:textId="77777777" w:rsidR="00561035" w:rsidRDefault="00561035" w:rsidP="000E2FBF">
            <w:pPr>
              <w:rPr>
                <w:rFonts w:ascii="Calibri" w:eastAsia="Calibri" w:hAnsi="Calibri" w:cs="Calibri"/>
                <w:sz w:val="22"/>
                <w:szCs w:val="22"/>
              </w:rPr>
            </w:pPr>
            <w:r>
              <w:rPr>
                <w:rFonts w:ascii="Calibri" w:eastAsia="Calibri" w:hAnsi="Calibri" w:cs="Calibri"/>
                <w:sz w:val="22"/>
                <w:szCs w:val="22"/>
                <w:u w:val="single"/>
              </w:rPr>
              <w:t>Guidance for the Implementation Phase in relation to charter question #8</w:t>
            </w:r>
            <w:r>
              <w:rPr>
                <w:rFonts w:ascii="Calibri" w:eastAsia="Calibri" w:hAnsi="Calibri" w:cs="Calibri"/>
                <w:sz w:val="22"/>
                <w:szCs w:val="22"/>
              </w:rPr>
              <w:t>: ICANN and any partnering organizations are to design a cost-effective model that ensures an appropriate proportion of the funds are available for distribution to fund recipients. ICANN and any partnering organizations are to follow industry best practices, where appropriate and applicable. To the extent possible in light of program objectives and requirements, the principle of simplicity should apply.</w:t>
            </w:r>
          </w:p>
          <w:p w14:paraId="00355551" w14:textId="77777777" w:rsidR="00561035" w:rsidRDefault="00561035" w:rsidP="000E2FBF"/>
          <w:p w14:paraId="1916BA01" w14:textId="77777777" w:rsidR="00561035" w:rsidRPr="00B34736" w:rsidRDefault="00561035" w:rsidP="000E2FBF">
            <w:r>
              <w:rPr>
                <w:rFonts w:ascii="Calibri" w:eastAsia="Calibri" w:hAnsi="Calibri" w:cs="Calibri"/>
                <w:b/>
                <w:sz w:val="22"/>
                <w:szCs w:val="22"/>
              </w:rPr>
              <w:t>Overview of Comments</w:t>
            </w:r>
            <w:r>
              <w:rPr>
                <w:rFonts w:ascii="Calibri" w:eastAsia="Calibri" w:hAnsi="Calibri" w:cs="Calibri"/>
                <w:sz w:val="22"/>
                <w:szCs w:val="22"/>
              </w:rPr>
              <w:t xml:space="preserve">: One comment suggests that additional detail should be added to Guidance for the Implementation Phase and proposes specific elements to consider. A second comment refers to input provided by the ICANN Board on Accountability Mechanism considerations. </w:t>
            </w:r>
          </w:p>
        </w:tc>
      </w:tr>
      <w:tr w:rsidR="00561035" w14:paraId="3D216125" w14:textId="77777777" w:rsidTr="00561035">
        <w:tc>
          <w:tcPr>
            <w:tcW w:w="675" w:type="dxa"/>
          </w:tcPr>
          <w:p w14:paraId="167D1F8E" w14:textId="77777777" w:rsidR="00561035" w:rsidRDefault="00561035" w:rsidP="000E2FB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59303FFD" w14:textId="77777777" w:rsidR="00561035" w:rsidRDefault="00561035" w:rsidP="000E2FB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#8 (overhead) </w:t>
            </w:r>
          </w:p>
          <w:p w14:paraId="2B13C228" w14:textId="77777777" w:rsidR="00561035" w:rsidRDefault="00561035" w:rsidP="000E2FBF">
            <w:pPr>
              <w:pBdr>
                <w:top w:val="nil"/>
                <w:left w:val="nil"/>
                <w:bottom w:val="nil"/>
                <w:right w:val="nil"/>
                <w:between w:val="nil"/>
              </w:pBdr>
              <w:rPr>
                <w:rFonts w:ascii="Arimo" w:eastAsia="Arimo" w:hAnsi="Arimo" w:cs="Arimo"/>
                <w:color w:val="000000"/>
                <w:sz w:val="22"/>
                <w:szCs w:val="22"/>
              </w:rPr>
            </w:pPr>
            <w:r>
              <w:rPr>
                <w:rFonts w:ascii="Calibri" w:eastAsia="Calibri" w:hAnsi="Calibri" w:cs="Calibri"/>
                <w:color w:val="000000"/>
                <w:sz w:val="20"/>
                <w:szCs w:val="20"/>
              </w:rPr>
              <w:t>The Board welcomes the CCWG’s recommendations on cost-effective use of resources, best practices, and simplicity, and refers to the input above in Section 4.3 on Accountability Mechanism considerations in support of this.</w:t>
            </w:r>
            <w:r>
              <w:rPr>
                <w:rFonts w:ascii="Arimo" w:eastAsia="Arimo" w:hAnsi="Arimo" w:cs="Arimo"/>
                <w:color w:val="000000"/>
                <w:sz w:val="22"/>
                <w:szCs w:val="22"/>
              </w:rPr>
              <w:t xml:space="preserve"> </w:t>
            </w:r>
          </w:p>
          <w:p w14:paraId="300C3E24" w14:textId="77777777" w:rsidR="00561035" w:rsidRDefault="00561035"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
              <w:r>
                <w:rPr>
                  <w:rFonts w:ascii="Calibri" w:eastAsia="Calibri" w:hAnsi="Calibri" w:cs="Calibri"/>
                  <w:color w:val="0000FF"/>
                  <w:sz w:val="20"/>
                  <w:szCs w:val="20"/>
                  <w:u w:val="single"/>
                </w:rPr>
                <w:t>https://mm.icann.org/pipermail/comments-new-gtld-auction-proceeds-initial-08oct18/2018q4/000024.html</w:t>
              </w:r>
            </w:hyperlink>
          </w:p>
        </w:tc>
        <w:tc>
          <w:tcPr>
            <w:tcW w:w="1710" w:type="dxa"/>
          </w:tcPr>
          <w:p w14:paraId="60B8BB1A" w14:textId="77777777" w:rsidR="00561035" w:rsidRPr="00B34736" w:rsidRDefault="00561035" w:rsidP="000E2FBF">
            <w:pPr>
              <w:pBdr>
                <w:top w:val="nil"/>
                <w:left w:val="nil"/>
                <w:bottom w:val="nil"/>
                <w:right w:val="nil"/>
                <w:between w:val="nil"/>
              </w:pBdr>
            </w:pPr>
            <w:r>
              <w:rPr>
                <w:rFonts w:ascii="Calibri" w:eastAsia="Calibri" w:hAnsi="Calibri" w:cs="Calibri"/>
                <w:color w:val="000000"/>
                <w:sz w:val="20"/>
                <w:szCs w:val="20"/>
              </w:rPr>
              <w:t>ICANN Board</w:t>
            </w:r>
          </w:p>
        </w:tc>
        <w:tc>
          <w:tcPr>
            <w:tcW w:w="2880" w:type="dxa"/>
          </w:tcPr>
          <w:p w14:paraId="29EEADFC" w14:textId="77777777" w:rsidR="00561035" w:rsidRDefault="00561035" w:rsidP="000E2FBF">
            <w:pPr>
              <w:pBdr>
                <w:top w:val="nil"/>
                <w:left w:val="nil"/>
                <w:bottom w:val="nil"/>
                <w:right w:val="nil"/>
                <w:between w:val="nil"/>
              </w:pBdr>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None (recommendation is welcomed)</w:t>
            </w:r>
          </w:p>
        </w:tc>
        <w:tc>
          <w:tcPr>
            <w:tcW w:w="3060" w:type="dxa"/>
          </w:tcPr>
          <w:p w14:paraId="449578B5" w14:textId="77777777" w:rsidR="00561035" w:rsidRDefault="00561035"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544A1A1" w14:textId="77777777" w:rsidR="00561035" w:rsidRPr="00B34736" w:rsidRDefault="00561035"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24F96A38" w14:textId="77777777" w:rsidR="00561035" w:rsidRPr="00B34736" w:rsidRDefault="00561035"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0F6C99D3" w14:textId="77777777" w:rsidR="00561035" w:rsidRDefault="00561035"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455DEF6" w14:textId="77777777" w:rsidR="00561035" w:rsidRDefault="00561035"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for the moment.</w:t>
            </w:r>
          </w:p>
          <w:p w14:paraId="7D575CC1" w14:textId="77777777" w:rsidR="00561035" w:rsidRDefault="00561035" w:rsidP="000E2FBF">
            <w:pPr>
              <w:rPr>
                <w:rFonts w:ascii="Calibri" w:eastAsia="Calibri" w:hAnsi="Calibri" w:cs="Calibri"/>
                <w:sz w:val="20"/>
                <w:szCs w:val="20"/>
              </w:rPr>
            </w:pPr>
          </w:p>
          <w:p w14:paraId="1B8E4CB4" w14:textId="77777777" w:rsidR="00561035" w:rsidRPr="00B34736" w:rsidRDefault="00561035" w:rsidP="000E2FBF">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561035" w14:paraId="663C9F08" w14:textId="77777777" w:rsidTr="00561035">
        <w:tc>
          <w:tcPr>
            <w:tcW w:w="675" w:type="dxa"/>
          </w:tcPr>
          <w:p w14:paraId="4498946B" w14:textId="77777777" w:rsidR="00561035" w:rsidRDefault="00561035" w:rsidP="000E2FBF">
            <w:pPr>
              <w:rPr>
                <w:rFonts w:ascii="Calibri" w:eastAsia="Calibri" w:hAnsi="Calibri" w:cs="Calibri"/>
                <w:b/>
                <w:sz w:val="20"/>
                <w:szCs w:val="20"/>
              </w:rPr>
            </w:pPr>
            <w:r>
              <w:rPr>
                <w:rFonts w:ascii="Calibri" w:eastAsia="Calibri" w:hAnsi="Calibri" w:cs="Calibri"/>
                <w:b/>
                <w:sz w:val="20"/>
                <w:szCs w:val="20"/>
              </w:rPr>
              <w:lastRenderedPageBreak/>
              <w:t>2.</w:t>
            </w:r>
          </w:p>
        </w:tc>
        <w:tc>
          <w:tcPr>
            <w:tcW w:w="5507" w:type="dxa"/>
          </w:tcPr>
          <w:p w14:paraId="2C82ADC1" w14:textId="77777777" w:rsidR="00561035" w:rsidRDefault="00561035" w:rsidP="000E2FBF">
            <w:pPr>
              <w:rPr>
                <w:rFonts w:ascii="Calibri" w:eastAsia="Calibri" w:hAnsi="Calibri" w:cs="Calibri"/>
                <w:sz w:val="20"/>
                <w:szCs w:val="20"/>
              </w:rPr>
            </w:pPr>
            <w:r>
              <w:rPr>
                <w:rFonts w:ascii="Calibri" w:eastAsia="Calibri" w:hAnsi="Calibri" w:cs="Calibri"/>
                <w:sz w:val="20"/>
                <w:szCs w:val="20"/>
              </w:rPr>
              <w:t>The NCSG generally agrees with the guidance offered for the Implementation Phase and we have addressed many of these issues in our comments above. However, we consider the guidance offered for the Implementation Phase in relation to charter question #8 (appropriate level of overhead) to be too vague. Specifically, the “principle of simplicity” is an abstract notion. Instead, the chosen mechanism’s operating budget should be capped at 10% of the total amount of the auction proceeds (or 10% of the tranche allocated to the mechanism at any one time). This measure is meant to prevent exorbitant overhead costs is necessary, even though we fully understand that doing good does come at a cost. The mechanism chosen to allocate auction proceeds will not face the traditional costs associated with non-profit marketing, fundraising or promotion. Therefore, a cap on overhead spending should be imposed.</w:t>
            </w:r>
          </w:p>
          <w:p w14:paraId="2C5099A2" w14:textId="77777777" w:rsidR="00561035" w:rsidRDefault="00561035" w:rsidP="000E2FBF">
            <w:pPr>
              <w:rPr>
                <w:rFonts w:ascii="Calibri" w:eastAsia="Calibri" w:hAnsi="Calibri" w:cs="Calibri"/>
                <w:color w:val="000000"/>
                <w:sz w:val="20"/>
                <w:szCs w:val="20"/>
              </w:rPr>
            </w:pPr>
          </w:p>
          <w:p w14:paraId="2B22B17F" w14:textId="77777777" w:rsidR="00561035" w:rsidRDefault="00561035" w:rsidP="000E2FBF">
            <w:pPr>
              <w:rPr>
                <w:rFonts w:ascii="Calibri" w:eastAsia="Calibri" w:hAnsi="Calibri" w:cs="Calibri"/>
                <w:sz w:val="20"/>
                <w:szCs w:val="20"/>
              </w:rPr>
            </w:pPr>
            <w:r>
              <w:rPr>
                <w:rFonts w:ascii="Calibri" w:eastAsia="Calibri" w:hAnsi="Calibri" w:cs="Calibri"/>
                <w:color w:val="000000"/>
                <w:sz w:val="20"/>
                <w:szCs w:val="20"/>
              </w:rPr>
              <w:t xml:space="preserve">See full comment: </w:t>
            </w:r>
            <w:hyperlink r:id="rId6">
              <w:r>
                <w:rPr>
                  <w:rFonts w:ascii="Calibri" w:eastAsia="Calibri" w:hAnsi="Calibri" w:cs="Calibri"/>
                  <w:color w:val="0000FF"/>
                  <w:sz w:val="20"/>
                  <w:szCs w:val="20"/>
                  <w:u w:val="single"/>
                </w:rPr>
                <w:t>https://mm.icann.org/pipermail/comments-new-gtld-auction-proceeds-initial-08oct18/2018q4/000034.html</w:t>
              </w:r>
            </w:hyperlink>
            <w:r>
              <w:rPr>
                <w:rFonts w:ascii="Calibri" w:eastAsia="Calibri" w:hAnsi="Calibri" w:cs="Calibri"/>
                <w:color w:val="0000FF"/>
                <w:sz w:val="20"/>
                <w:szCs w:val="20"/>
                <w:u w:val="single"/>
              </w:rPr>
              <w:t xml:space="preserve"> </w:t>
            </w:r>
          </w:p>
        </w:tc>
        <w:tc>
          <w:tcPr>
            <w:tcW w:w="1710" w:type="dxa"/>
          </w:tcPr>
          <w:p w14:paraId="6D002036" w14:textId="77777777" w:rsidR="00561035" w:rsidRPr="00B34736" w:rsidRDefault="00561035" w:rsidP="000E2FBF">
            <w:pPr>
              <w:pBdr>
                <w:top w:val="nil"/>
                <w:left w:val="nil"/>
                <w:bottom w:val="nil"/>
                <w:right w:val="nil"/>
                <w:between w:val="nil"/>
              </w:pBdr>
            </w:pPr>
            <w:r>
              <w:rPr>
                <w:rFonts w:ascii="Calibri" w:eastAsia="Calibri" w:hAnsi="Calibri" w:cs="Calibri"/>
                <w:color w:val="000000"/>
                <w:sz w:val="20"/>
                <w:szCs w:val="20"/>
              </w:rPr>
              <w:t>NCSG</w:t>
            </w:r>
          </w:p>
        </w:tc>
        <w:tc>
          <w:tcPr>
            <w:tcW w:w="2880" w:type="dxa"/>
          </w:tcPr>
          <w:p w14:paraId="38E0B7F8" w14:textId="77777777" w:rsidR="00561035" w:rsidRDefault="00561035" w:rsidP="000E2FBF">
            <w:pPr>
              <w:rPr>
                <w:rFonts w:ascii="Calibri" w:eastAsia="Calibri" w:hAnsi="Calibri" w:cs="Calibri"/>
                <w:color w:val="000000"/>
                <w:sz w:val="20"/>
                <w:szCs w:val="20"/>
                <w:shd w:val="clear" w:color="auto" w:fill="FF9900"/>
              </w:rPr>
            </w:pPr>
            <w:r>
              <w:rPr>
                <w:rFonts w:ascii="Calibri" w:eastAsia="Calibri" w:hAnsi="Calibri" w:cs="Calibri"/>
                <w:sz w:val="20"/>
                <w:szCs w:val="20"/>
              </w:rPr>
              <w:t xml:space="preserve">CCWG to consider being less vague in relation to the Implementation Guidance in relation to charter question #8 – chosen </w:t>
            </w:r>
            <w:proofErr w:type="spellStart"/>
            <w:r>
              <w:rPr>
                <w:rFonts w:ascii="Calibri" w:eastAsia="Calibri" w:hAnsi="Calibri" w:cs="Calibri"/>
                <w:sz w:val="20"/>
                <w:szCs w:val="20"/>
              </w:rPr>
              <w:t>mecanim</w:t>
            </w:r>
            <w:proofErr w:type="spellEnd"/>
            <w:r>
              <w:rPr>
                <w:rFonts w:ascii="Calibri" w:eastAsia="Calibri" w:hAnsi="Calibri" w:cs="Calibri"/>
                <w:sz w:val="20"/>
                <w:szCs w:val="20"/>
              </w:rPr>
              <w:t xml:space="preserve"> s operating budget should </w:t>
            </w:r>
            <w:proofErr w:type="spellStart"/>
            <w:r>
              <w:rPr>
                <w:rFonts w:ascii="Calibri" w:eastAsia="Calibri" w:hAnsi="Calibri" w:cs="Calibri"/>
                <w:sz w:val="20"/>
                <w:szCs w:val="20"/>
              </w:rPr>
              <w:t>b</w:t>
            </w:r>
            <w:proofErr w:type="spellEnd"/>
            <w:r>
              <w:rPr>
                <w:rFonts w:ascii="Calibri" w:eastAsia="Calibri" w:hAnsi="Calibri" w:cs="Calibri"/>
                <w:sz w:val="20"/>
                <w:szCs w:val="20"/>
              </w:rPr>
              <w:t xml:space="preserve"> capped at 10%.</w:t>
            </w:r>
            <w:r>
              <w:rPr>
                <w:rFonts w:ascii="Calibri" w:eastAsia="Calibri" w:hAnsi="Calibri" w:cs="Calibri"/>
                <w:color w:val="000000"/>
                <w:sz w:val="20"/>
                <w:szCs w:val="20"/>
                <w:shd w:val="clear" w:color="auto" w:fill="FF9900"/>
              </w:rPr>
              <w:t xml:space="preserve"> </w:t>
            </w:r>
          </w:p>
          <w:p w14:paraId="1FFE84C8" w14:textId="77777777" w:rsidR="00561035" w:rsidRPr="00B34736" w:rsidRDefault="00561035" w:rsidP="000E2FBF">
            <w:pPr>
              <w:rPr>
                <w:rFonts w:ascii="Calibri" w:eastAsia="Calibri" w:hAnsi="Calibri" w:cs="Calibri"/>
                <w:sz w:val="20"/>
                <w:szCs w:val="20"/>
                <w:shd w:val="clear" w:color="auto" w:fill="FF9900"/>
              </w:rPr>
            </w:pPr>
          </w:p>
          <w:p w14:paraId="02389E6A" w14:textId="77777777" w:rsidR="00561035" w:rsidRPr="00B34736" w:rsidRDefault="00561035" w:rsidP="000E2FBF">
            <w:pPr>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5121ECFF" w14:textId="77777777" w:rsidR="00561035" w:rsidRPr="00B34736" w:rsidRDefault="00561035" w:rsidP="000E2FBF">
            <w:pPr>
              <w:rPr>
                <w:rFonts w:ascii="Calibri" w:eastAsia="Calibri" w:hAnsi="Calibri" w:cs="Calibri"/>
                <w:sz w:val="20"/>
                <w:szCs w:val="20"/>
                <w:highlight w:val="yellow"/>
                <w:u w:val="single"/>
              </w:rPr>
            </w:pPr>
          </w:p>
          <w:p w14:paraId="1D8DDE17" w14:textId="77777777" w:rsidR="00561035" w:rsidRPr="00B34736" w:rsidRDefault="00561035" w:rsidP="000E2FBF">
            <w:pPr>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whether we like to recommend a precise cap for the operating budget. </w:t>
            </w:r>
          </w:p>
          <w:p w14:paraId="668DCE9A" w14:textId="77777777" w:rsidR="00561035" w:rsidRPr="00B34736" w:rsidRDefault="00561035" w:rsidP="000E2FBF">
            <w:pPr>
              <w:rPr>
                <w:rFonts w:ascii="Calibri" w:eastAsia="Calibri" w:hAnsi="Calibri" w:cs="Calibri"/>
                <w:sz w:val="20"/>
                <w:szCs w:val="20"/>
                <w:highlight w:val="yellow"/>
              </w:rPr>
            </w:pPr>
          </w:p>
        </w:tc>
        <w:tc>
          <w:tcPr>
            <w:tcW w:w="3060" w:type="dxa"/>
          </w:tcPr>
          <w:p w14:paraId="693BD743" w14:textId="77777777" w:rsidR="00561035" w:rsidRDefault="00561035"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p>
          <w:p w14:paraId="37BE2611" w14:textId="77777777" w:rsidR="00561035" w:rsidRDefault="00561035"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4C73644" w14:textId="77777777" w:rsidR="00561035" w:rsidRDefault="00561035"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9798B3F" w14:textId="77777777" w:rsidR="00561035" w:rsidRDefault="00561035"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 xml:space="preserve">Action Taken: </w:t>
            </w:r>
          </w:p>
          <w:p w14:paraId="06DFC0BD" w14:textId="77777777" w:rsidR="00561035" w:rsidRDefault="00561035" w:rsidP="000E2FBF">
            <w:pPr>
              <w:rPr>
                <w:rFonts w:ascii="Calibri" w:eastAsia="Calibri" w:hAnsi="Calibri" w:cs="Calibri"/>
                <w:sz w:val="20"/>
                <w:szCs w:val="20"/>
              </w:rPr>
            </w:pPr>
          </w:p>
          <w:p w14:paraId="50F1C5C3" w14:textId="77777777" w:rsidR="00561035" w:rsidRPr="00B34736" w:rsidRDefault="00561035" w:rsidP="000E2FBF">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7D9C1E57" w14:textId="4B4CC529" w:rsidR="002F19F7" w:rsidRPr="001772F7" w:rsidRDefault="002F19F7" w:rsidP="00561035">
      <w:pPr>
        <w:pStyle w:val="Heading1"/>
        <w:shd w:val="clear" w:color="auto" w:fill="0A3251"/>
        <w:rPr>
          <w:rFonts w:ascii="Calibri" w:eastAsia="Calibri" w:hAnsi="Calibri" w:cs="Calibri"/>
          <w:color w:val="FFFFFF"/>
        </w:rPr>
      </w:pPr>
    </w:p>
    <w:sectPr w:rsidR="002F19F7" w:rsidRPr="001772F7"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mo">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1"/>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B7A30"/>
    <w:rsid w:val="001152AB"/>
    <w:rsid w:val="001772F7"/>
    <w:rsid w:val="001F03B2"/>
    <w:rsid w:val="00246C3B"/>
    <w:rsid w:val="002F19F7"/>
    <w:rsid w:val="00335D0F"/>
    <w:rsid w:val="00376CC7"/>
    <w:rsid w:val="00385D74"/>
    <w:rsid w:val="00487DCE"/>
    <w:rsid w:val="004C4CF6"/>
    <w:rsid w:val="00561035"/>
    <w:rsid w:val="00570E0A"/>
    <w:rsid w:val="005F102F"/>
    <w:rsid w:val="006769BC"/>
    <w:rsid w:val="007E3BD1"/>
    <w:rsid w:val="007F1FED"/>
    <w:rsid w:val="00AC0EB0"/>
    <w:rsid w:val="00B34569"/>
    <w:rsid w:val="00B55BBB"/>
    <w:rsid w:val="00BE5129"/>
    <w:rsid w:val="00BF547E"/>
    <w:rsid w:val="00C238FD"/>
    <w:rsid w:val="00E53B3D"/>
    <w:rsid w:val="00EE4FAE"/>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mments-new-gtld-auction-proceeds-initial-08oct18/2018q4/000034.html" TargetMode="External"/><Relationship Id="rId5" Type="http://schemas.openxmlformats.org/officeDocument/2006/relationships/hyperlink" Target="https://mm.icann.org/pipermail/comments-new-gtld-auction-proceeds-initial-08oct18/2018q4/00002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cp:lastPrinted>2019-02-26T15:29:00Z</cp:lastPrinted>
  <dcterms:created xsi:type="dcterms:W3CDTF">2019-04-04T16:04:00Z</dcterms:created>
  <dcterms:modified xsi:type="dcterms:W3CDTF">2019-04-04T16:05:00Z</dcterms:modified>
</cp:coreProperties>
</file>