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5DE8A3A3" w:rsidR="00335D0F" w:rsidRDefault="00335D0F">
      <w:pPr>
        <w:rPr>
          <w:b/>
        </w:rPr>
      </w:pPr>
      <w:r w:rsidRPr="00335D0F">
        <w:rPr>
          <w:b/>
        </w:rPr>
        <w:t>Questions / Approach for addressing input received on Charter Question #</w:t>
      </w:r>
      <w:r w:rsidR="001C3011">
        <w:rPr>
          <w:b/>
        </w:rPr>
        <w:t>9</w:t>
      </w:r>
      <w:r w:rsidR="006769BC">
        <w:rPr>
          <w:b/>
        </w:rPr>
        <w:t xml:space="preserve"> </w:t>
      </w:r>
      <w:r w:rsidRPr="00335D0F">
        <w:rPr>
          <w:b/>
        </w:rPr>
        <w:t>/ Guidance for the Implementation Phase in relation to charter question #</w:t>
      </w:r>
      <w:r w:rsidR="001C3011">
        <w:rPr>
          <w:b/>
        </w:rPr>
        <w:t>9</w:t>
      </w:r>
    </w:p>
    <w:p w14:paraId="40421525" w14:textId="423205FB" w:rsidR="00BF547E" w:rsidRDefault="00BF547E">
      <w:pPr>
        <w:rPr>
          <w:b/>
        </w:rPr>
      </w:pPr>
    </w:p>
    <w:p w14:paraId="1DB34FF1" w14:textId="77777777" w:rsidR="001C3011" w:rsidRPr="001C3011" w:rsidRDefault="001C3011" w:rsidP="001C3011">
      <w:pPr>
        <w:rPr>
          <w:rFonts w:ascii="Calibri" w:eastAsia="Calibri" w:hAnsi="Calibri" w:cs="Calibri"/>
        </w:rPr>
      </w:pPr>
      <w:r w:rsidRPr="001C3011">
        <w:rPr>
          <w:rFonts w:ascii="Calibri" w:eastAsia="Calibri" w:hAnsi="Calibri" w:cs="Calibri"/>
          <w:u w:val="single"/>
        </w:rPr>
        <w:t>Charter Question #9</w:t>
      </w:r>
      <w:r w:rsidRPr="001C3011">
        <w:rPr>
          <w:rFonts w:ascii="Calibri" w:eastAsia="Calibri" w:hAnsi="Calibri" w:cs="Calibri"/>
        </w:rPr>
        <w:t>: What is the governance framework that should be followed to guide distribution of the proceeds? The issues addressed by a governance framework could include (but does not have to be limited to): a. What are the specific measures of success that should be reported upon? b. What are the criteria and mechanisms for measuring success and performance? c. What level of evaluation and reporting should be implemented to keep the community informed about how the funds are ultimately used?</w:t>
      </w:r>
    </w:p>
    <w:p w14:paraId="4EC49240" w14:textId="57E0FDF0" w:rsidR="00C238FD" w:rsidRPr="00B55BBB" w:rsidRDefault="00C238FD"/>
    <w:p w14:paraId="126CC5A2" w14:textId="10880F6D" w:rsidR="00BF547E" w:rsidRPr="00B55BBB" w:rsidRDefault="00BF547E">
      <w:r w:rsidRPr="00B55BBB">
        <w:t xml:space="preserve">OVERARCHING QUESTION: </w:t>
      </w:r>
    </w:p>
    <w:p w14:paraId="36FFCA38" w14:textId="77777777" w:rsidR="00BF547E" w:rsidRPr="00B55BBB" w:rsidRDefault="00BF547E"/>
    <w:p w14:paraId="743C16F0" w14:textId="53C6CEC3" w:rsidR="00BF547E" w:rsidRPr="00B55BBB" w:rsidRDefault="00BF547E">
      <w:r w:rsidRPr="00B55BBB">
        <w:t>As a result of the input provided during the public comment period, should the CCWG reconsider its recommendation</w:t>
      </w:r>
      <w:r w:rsidR="00561035">
        <w:t xml:space="preserve"> / implementation guidance</w:t>
      </w:r>
      <w:r w:rsidRPr="00B55BBB">
        <w:t xml:space="preserve"> that:</w:t>
      </w:r>
    </w:p>
    <w:p w14:paraId="15E59E29" w14:textId="77777777" w:rsidR="00561035" w:rsidRDefault="00561035" w:rsidP="00561035">
      <w:pPr>
        <w:rPr>
          <w:rFonts w:ascii="Calibri" w:eastAsia="Calibri" w:hAnsi="Calibri" w:cs="Calibri"/>
          <w:sz w:val="22"/>
          <w:szCs w:val="22"/>
          <w:u w:val="single"/>
        </w:rPr>
      </w:pPr>
    </w:p>
    <w:p w14:paraId="21AE11A3" w14:textId="77777777" w:rsidR="001C3011" w:rsidRPr="001C3011" w:rsidRDefault="001C3011" w:rsidP="001C3011">
      <w:r w:rsidRPr="001C3011">
        <w:rPr>
          <w:rFonts w:ascii="Calibri" w:eastAsia="Calibri" w:hAnsi="Calibri" w:cs="Calibri"/>
          <w:u w:val="single"/>
        </w:rPr>
        <w:t>Guidance for the Implementation Phase in relation to charter question #9</w:t>
      </w:r>
      <w:r w:rsidRPr="001C3011">
        <w:rPr>
          <w:rFonts w:ascii="Calibri" w:eastAsia="Calibri" w:hAnsi="Calibri" w:cs="Calibri"/>
        </w:rPr>
        <w:t xml:space="preserve">: The response provided to this charter question should guide the development of the governance framework during the implementation phase.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CF7017C" w:rsidR="00335D0F" w:rsidRDefault="00335D0F"/>
    <w:p w14:paraId="7B00A213" w14:textId="62569D4C" w:rsidR="00561035" w:rsidRDefault="00561035"/>
    <w:p w14:paraId="2FDD6A1E" w14:textId="5C3CBDE4" w:rsidR="00561035" w:rsidRDefault="00561035"/>
    <w:p w14:paraId="214DA820" w14:textId="3B37945D" w:rsidR="00561035" w:rsidRDefault="00561035"/>
    <w:p w14:paraId="5E438B3A" w14:textId="604108EF" w:rsidR="00561035" w:rsidRDefault="00561035"/>
    <w:p w14:paraId="3A00A300" w14:textId="4579F93D" w:rsidR="00561035" w:rsidRDefault="00561035"/>
    <w:p w14:paraId="735B6283" w14:textId="13DF3520" w:rsidR="00561035" w:rsidRDefault="00561035"/>
    <w:p w14:paraId="7505D813" w14:textId="7C3F4DBB" w:rsidR="00561035" w:rsidRDefault="00561035"/>
    <w:p w14:paraId="2395F074" w14:textId="4A364CCF" w:rsidR="00561035" w:rsidRDefault="00561035"/>
    <w:p w14:paraId="202D83A8" w14:textId="0D209170" w:rsidR="00561035" w:rsidRDefault="00561035"/>
    <w:p w14:paraId="35781B27" w14:textId="77777777" w:rsidR="00561035" w:rsidRDefault="00561035"/>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1824699A" w:rsidR="00335D0F" w:rsidRPr="00335D0F" w:rsidRDefault="002F19F7">
            <w:pPr>
              <w:rPr>
                <w:b/>
              </w:rPr>
            </w:pPr>
            <w:r>
              <w:rPr>
                <w:b/>
              </w:rPr>
              <w:lastRenderedPageBreak/>
              <w:t>Comment</w:t>
            </w:r>
            <w:r w:rsidR="00335D0F" w:rsidRPr="00335D0F">
              <w:rPr>
                <w:b/>
              </w:rPr>
              <w:t xml:space="preserve"> #</w:t>
            </w:r>
            <w:r w:rsidR="00133C0C">
              <w:rPr>
                <w:b/>
              </w:rPr>
              <w:t>1</w:t>
            </w:r>
            <w:r>
              <w:rPr>
                <w:b/>
              </w:rPr>
              <w:t xml:space="preserve"> (</w:t>
            </w:r>
            <w:r w:rsidR="00133C0C">
              <w:rPr>
                <w:b/>
              </w:rPr>
              <w:t>ICANN Board</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7670BDFF" w14:textId="77777777" w:rsidR="00133C0C" w:rsidRPr="00133C0C" w:rsidRDefault="00133C0C"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33C0C">
              <w:rPr>
                <w:rFonts w:ascii="Calibri" w:eastAsia="Calibri" w:hAnsi="Calibri" w:cs="Calibri"/>
                <w:color w:val="000000"/>
              </w:rPr>
              <w:t>CCWG to take note of the fact that audit requirements described in the Initial Report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evaluates. Consider if any updates are required to reflect this.</w:t>
            </w:r>
          </w:p>
          <w:p w14:paraId="5E35C58A" w14:textId="77777777" w:rsidR="00133C0C" w:rsidRPr="00133C0C" w:rsidRDefault="00133C0C"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6AB28137" w14:textId="76653E31" w:rsidR="00C238FD" w:rsidRPr="00133C0C" w:rsidRDefault="00133C0C"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33C0C">
              <w:rPr>
                <w:rFonts w:ascii="Calibri" w:eastAsia="Calibri" w:hAnsi="Calibri" w:cs="Calibri"/>
                <w:color w:val="000000"/>
              </w:rPr>
              <w:t>CCWG to consider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4245DD0D" w14:textId="250FC893" w:rsidR="00133C0C" w:rsidRPr="00133C0C" w:rsidRDefault="00133C0C"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133C0C">
              <w:rPr>
                <w:rFonts w:ascii="Calibri" w:eastAsia="Calibri" w:hAnsi="Calibri" w:cs="Calibri"/>
              </w:rPr>
              <w:t>Check: Risk evaluation needed: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w:t>
            </w:r>
          </w:p>
          <w:p w14:paraId="0241F620" w14:textId="1B482BCD" w:rsidR="00335D0F" w:rsidRPr="00133C0C" w:rsidRDefault="00133C0C" w:rsidP="00133C0C">
            <w:pPr>
              <w:rPr>
                <w:rFonts w:ascii="Calibri" w:eastAsia="Calibri" w:hAnsi="Calibri" w:cs="Calibri"/>
              </w:rPr>
            </w:pPr>
            <w:r w:rsidRPr="00133C0C">
              <w:rPr>
                <w:rFonts w:ascii="Calibri" w:eastAsia="Calibri" w:hAnsi="Calibri" w:cs="Calibri"/>
              </w:rPr>
              <w:t>Check: Include in Implementation Team Guidance: “Mitigation considerations could also feature in guidance to the implementation team.”</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440C966D" w14:textId="77777777" w:rsidR="00133C0C" w:rsidRDefault="00133C0C"/>
    <w:tbl>
      <w:tblPr>
        <w:tblStyle w:val="TableGrid"/>
        <w:tblW w:w="0" w:type="auto"/>
        <w:tblLook w:val="04A0" w:firstRow="1" w:lastRow="0" w:firstColumn="1" w:lastColumn="0" w:noHBand="0" w:noVBand="1"/>
      </w:tblPr>
      <w:tblGrid>
        <w:gridCol w:w="3775"/>
        <w:gridCol w:w="10155"/>
      </w:tblGrid>
      <w:tr w:rsidR="00133C0C" w14:paraId="68C64271" w14:textId="77777777" w:rsidTr="000E2FBF">
        <w:tc>
          <w:tcPr>
            <w:tcW w:w="13930" w:type="dxa"/>
            <w:gridSpan w:val="2"/>
            <w:shd w:val="clear" w:color="auto" w:fill="E7E6E6" w:themeFill="background2"/>
          </w:tcPr>
          <w:p w14:paraId="4C1BFD03" w14:textId="4B85CF32" w:rsidR="00133C0C" w:rsidRPr="00335D0F" w:rsidRDefault="00133C0C" w:rsidP="000E2FBF">
            <w:pPr>
              <w:rPr>
                <w:b/>
              </w:rPr>
            </w:pPr>
            <w:bookmarkStart w:id="0" w:name="_Toc536453702"/>
            <w:r>
              <w:rPr>
                <w:b/>
              </w:rPr>
              <w:t>Comment</w:t>
            </w:r>
            <w:r w:rsidRPr="00335D0F">
              <w:rPr>
                <w:b/>
              </w:rPr>
              <w:t xml:space="preserve"> #</w:t>
            </w:r>
            <w:r>
              <w:rPr>
                <w:b/>
              </w:rPr>
              <w:t>2</w:t>
            </w:r>
            <w:r>
              <w:rPr>
                <w:b/>
              </w:rPr>
              <w:t xml:space="preserve"> (</w:t>
            </w:r>
            <w:r>
              <w:rPr>
                <w:b/>
              </w:rPr>
              <w:t>ISPCP</w:t>
            </w:r>
            <w:r w:rsidRPr="002F19F7">
              <w:rPr>
                <w:b/>
              </w:rPr>
              <w:t>)</w:t>
            </w:r>
          </w:p>
        </w:tc>
      </w:tr>
      <w:tr w:rsidR="00133C0C" w14:paraId="3CF04FDE" w14:textId="77777777" w:rsidTr="000E2FBF">
        <w:tc>
          <w:tcPr>
            <w:tcW w:w="3775" w:type="dxa"/>
            <w:shd w:val="clear" w:color="auto" w:fill="E7E6E6" w:themeFill="background2"/>
          </w:tcPr>
          <w:p w14:paraId="18EFC78A" w14:textId="77777777" w:rsidR="00133C0C" w:rsidRPr="00335D0F" w:rsidRDefault="00133C0C" w:rsidP="000E2FBF">
            <w:pPr>
              <w:rPr>
                <w:b/>
              </w:rPr>
            </w:pPr>
            <w:r w:rsidRPr="00335D0F">
              <w:rPr>
                <w:b/>
              </w:rPr>
              <w:t>Suggestion from Commenter</w:t>
            </w:r>
          </w:p>
        </w:tc>
        <w:tc>
          <w:tcPr>
            <w:tcW w:w="10155" w:type="dxa"/>
          </w:tcPr>
          <w:p w14:paraId="418596A0" w14:textId="7C526351" w:rsidR="00133C0C" w:rsidRP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33C0C">
              <w:rPr>
                <w:rFonts w:ascii="Calibri" w:eastAsia="Calibri" w:hAnsi="Calibri" w:cs="Calibri"/>
                <w:color w:val="000000"/>
              </w:rPr>
              <w:t xml:space="preserve">CCWG to consider importance of due oversight of all allocated funds and reporting mechanisms once a project </w:t>
            </w:r>
            <w:proofErr w:type="gramStart"/>
            <w:r w:rsidRPr="00133C0C">
              <w:rPr>
                <w:rFonts w:ascii="Calibri" w:eastAsia="Calibri" w:hAnsi="Calibri" w:cs="Calibri"/>
                <w:color w:val="000000"/>
              </w:rPr>
              <w:t>ends</w:t>
            </w:r>
            <w:proofErr w:type="gramEnd"/>
            <w:r w:rsidRPr="00133C0C">
              <w:rPr>
                <w:rFonts w:ascii="Calibri" w:eastAsia="Calibri" w:hAnsi="Calibri" w:cs="Calibri"/>
                <w:color w:val="000000"/>
              </w:rPr>
              <w:t>.</w:t>
            </w:r>
          </w:p>
        </w:tc>
      </w:tr>
      <w:tr w:rsidR="00133C0C" w14:paraId="3A4A0C05" w14:textId="77777777" w:rsidTr="000E2FBF">
        <w:tc>
          <w:tcPr>
            <w:tcW w:w="3775" w:type="dxa"/>
            <w:shd w:val="clear" w:color="auto" w:fill="E7E6E6" w:themeFill="background2"/>
          </w:tcPr>
          <w:p w14:paraId="6A34C605" w14:textId="77777777" w:rsidR="00133C0C" w:rsidRPr="00335D0F" w:rsidRDefault="00133C0C" w:rsidP="000E2FBF">
            <w:pPr>
              <w:rPr>
                <w:b/>
              </w:rPr>
            </w:pPr>
            <w:r w:rsidRPr="00335D0F">
              <w:rPr>
                <w:b/>
              </w:rPr>
              <w:t>Leadership recommendation</w:t>
            </w:r>
          </w:p>
        </w:tc>
        <w:tc>
          <w:tcPr>
            <w:tcW w:w="10155" w:type="dxa"/>
          </w:tcPr>
          <w:p w14:paraId="0D2407C0" w14:textId="7FB9220B" w:rsidR="00133C0C" w:rsidRPr="00133C0C" w:rsidRDefault="00133C0C" w:rsidP="000E2FBF">
            <w:pPr>
              <w:rPr>
                <w:rFonts w:ascii="Calibri" w:eastAsia="Calibri" w:hAnsi="Calibri" w:cs="Calibri"/>
              </w:rPr>
            </w:pPr>
          </w:p>
        </w:tc>
      </w:tr>
      <w:tr w:rsidR="00133C0C" w14:paraId="57BB35D2" w14:textId="77777777" w:rsidTr="000E2FBF">
        <w:tc>
          <w:tcPr>
            <w:tcW w:w="3775" w:type="dxa"/>
            <w:shd w:val="clear" w:color="auto" w:fill="E7E6E6" w:themeFill="background2"/>
          </w:tcPr>
          <w:p w14:paraId="45BBE94B" w14:textId="77777777" w:rsidR="00133C0C" w:rsidRPr="00335D0F" w:rsidRDefault="00133C0C" w:rsidP="000E2FBF">
            <w:pPr>
              <w:rPr>
                <w:b/>
              </w:rPr>
            </w:pPr>
            <w:r>
              <w:rPr>
                <w:b/>
              </w:rPr>
              <w:t>CCWG</w:t>
            </w:r>
            <w:r w:rsidRPr="00335D0F">
              <w:rPr>
                <w:b/>
              </w:rPr>
              <w:t xml:space="preserve"> Team discussion / agreement</w:t>
            </w:r>
          </w:p>
        </w:tc>
        <w:tc>
          <w:tcPr>
            <w:tcW w:w="10155" w:type="dxa"/>
          </w:tcPr>
          <w:p w14:paraId="54F1B50A" w14:textId="77777777" w:rsidR="00133C0C" w:rsidRDefault="00133C0C" w:rsidP="000E2FBF"/>
        </w:tc>
      </w:tr>
    </w:tbl>
    <w:p w14:paraId="3525DF09" w14:textId="31E46102" w:rsidR="00133C0C" w:rsidRDefault="00133C0C" w:rsidP="00133C0C">
      <w:pPr>
        <w:rPr>
          <w:rFonts w:ascii="Calibri" w:eastAsia="Calibri" w:hAnsi="Calibri" w:cs="Calibri"/>
          <w:color w:val="FFFFFF"/>
        </w:rPr>
      </w:pPr>
      <w:bookmarkStart w:id="1" w:name="_GoBack"/>
      <w:bookmarkEnd w:id="1"/>
    </w:p>
    <w:tbl>
      <w:tblPr>
        <w:tblStyle w:val="TableGrid"/>
        <w:tblW w:w="0" w:type="auto"/>
        <w:tblLook w:val="04A0" w:firstRow="1" w:lastRow="0" w:firstColumn="1" w:lastColumn="0" w:noHBand="0" w:noVBand="1"/>
      </w:tblPr>
      <w:tblGrid>
        <w:gridCol w:w="3775"/>
        <w:gridCol w:w="10155"/>
      </w:tblGrid>
      <w:tr w:rsidR="00133C0C" w14:paraId="2C83F350" w14:textId="77777777" w:rsidTr="000E2FBF">
        <w:tc>
          <w:tcPr>
            <w:tcW w:w="13930" w:type="dxa"/>
            <w:gridSpan w:val="2"/>
            <w:shd w:val="clear" w:color="auto" w:fill="E7E6E6" w:themeFill="background2"/>
          </w:tcPr>
          <w:p w14:paraId="08AB3E5C" w14:textId="2A8D9C5B" w:rsidR="00133C0C" w:rsidRPr="00335D0F" w:rsidRDefault="00133C0C" w:rsidP="000E2FBF">
            <w:pPr>
              <w:rPr>
                <w:b/>
              </w:rPr>
            </w:pPr>
            <w:r>
              <w:rPr>
                <w:b/>
              </w:rPr>
              <w:t>Comment</w:t>
            </w:r>
            <w:r w:rsidRPr="00335D0F">
              <w:rPr>
                <w:b/>
              </w:rPr>
              <w:t xml:space="preserve"> #</w:t>
            </w:r>
            <w:r>
              <w:rPr>
                <w:b/>
              </w:rPr>
              <w:t>3</w:t>
            </w:r>
            <w:r>
              <w:rPr>
                <w:b/>
              </w:rPr>
              <w:t xml:space="preserve"> (</w:t>
            </w:r>
            <w:r>
              <w:rPr>
                <w:b/>
              </w:rPr>
              <w:t>BC</w:t>
            </w:r>
            <w:r w:rsidRPr="002F19F7">
              <w:rPr>
                <w:b/>
              </w:rPr>
              <w:t>)</w:t>
            </w:r>
          </w:p>
        </w:tc>
      </w:tr>
      <w:tr w:rsidR="00133C0C" w14:paraId="5495CFEA" w14:textId="77777777" w:rsidTr="000E2FBF">
        <w:tc>
          <w:tcPr>
            <w:tcW w:w="3775" w:type="dxa"/>
            <w:shd w:val="clear" w:color="auto" w:fill="E7E6E6" w:themeFill="background2"/>
          </w:tcPr>
          <w:p w14:paraId="5D1A1E20" w14:textId="77777777" w:rsidR="00133C0C" w:rsidRPr="00335D0F" w:rsidRDefault="00133C0C" w:rsidP="000E2FBF">
            <w:pPr>
              <w:rPr>
                <w:b/>
              </w:rPr>
            </w:pPr>
            <w:r w:rsidRPr="00335D0F">
              <w:rPr>
                <w:b/>
              </w:rPr>
              <w:lastRenderedPageBreak/>
              <w:t>Suggestion from Commenter</w:t>
            </w:r>
          </w:p>
        </w:tc>
        <w:tc>
          <w:tcPr>
            <w:tcW w:w="10155" w:type="dxa"/>
          </w:tcPr>
          <w:p w14:paraId="4E029834" w14:textId="5E79830F" w:rsidR="00133C0C" w:rsidRPr="00133C0C" w:rsidRDefault="00133C0C"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33C0C">
              <w:rPr>
                <w:rFonts w:ascii="Calibri" w:eastAsia="Calibri" w:hAnsi="Calibri" w:cs="Calibri"/>
                <w:color w:val="000000"/>
              </w:rPr>
              <w:t>CCWG to consider including funding needed to ensure a highly respected external audit provider, maintaining a regularized feedback mechanism to the ICANN Community, the ICANN Board and ensure effective communication reports</w:t>
            </w:r>
          </w:p>
        </w:tc>
      </w:tr>
      <w:tr w:rsidR="00133C0C" w14:paraId="0FB41095" w14:textId="77777777" w:rsidTr="000E2FBF">
        <w:tc>
          <w:tcPr>
            <w:tcW w:w="3775" w:type="dxa"/>
            <w:shd w:val="clear" w:color="auto" w:fill="E7E6E6" w:themeFill="background2"/>
          </w:tcPr>
          <w:p w14:paraId="125639B9" w14:textId="77777777" w:rsidR="00133C0C" w:rsidRPr="00335D0F" w:rsidRDefault="00133C0C" w:rsidP="000E2FBF">
            <w:pPr>
              <w:rPr>
                <w:b/>
              </w:rPr>
            </w:pPr>
            <w:r w:rsidRPr="00335D0F">
              <w:rPr>
                <w:b/>
              </w:rPr>
              <w:t>Leadership recommendation</w:t>
            </w:r>
          </w:p>
        </w:tc>
        <w:tc>
          <w:tcPr>
            <w:tcW w:w="10155" w:type="dxa"/>
          </w:tcPr>
          <w:p w14:paraId="10F12F66" w14:textId="52CD855B" w:rsidR="00133C0C" w:rsidRPr="00133C0C" w:rsidRDefault="00133C0C" w:rsidP="000E2FBF">
            <w:pPr>
              <w:rPr>
                <w:rFonts w:ascii="Calibri" w:eastAsia="Calibri" w:hAnsi="Calibri" w:cs="Calibri"/>
              </w:rPr>
            </w:pPr>
            <w:r w:rsidRPr="00133C0C">
              <w:rPr>
                <w:rFonts w:ascii="Calibri" w:eastAsia="Calibri" w:hAnsi="Calibri" w:cs="Calibri"/>
              </w:rPr>
              <w:t>Check: Clarification needed for external auditing requirements for the newly established mechanism.</w:t>
            </w:r>
          </w:p>
        </w:tc>
      </w:tr>
      <w:tr w:rsidR="00133C0C" w14:paraId="2C182C19" w14:textId="77777777" w:rsidTr="000E2FBF">
        <w:tc>
          <w:tcPr>
            <w:tcW w:w="3775" w:type="dxa"/>
            <w:shd w:val="clear" w:color="auto" w:fill="E7E6E6" w:themeFill="background2"/>
          </w:tcPr>
          <w:p w14:paraId="09ECE445" w14:textId="77777777" w:rsidR="00133C0C" w:rsidRPr="00335D0F" w:rsidRDefault="00133C0C" w:rsidP="000E2FBF">
            <w:pPr>
              <w:rPr>
                <w:b/>
              </w:rPr>
            </w:pPr>
            <w:r>
              <w:rPr>
                <w:b/>
              </w:rPr>
              <w:t>CCWG</w:t>
            </w:r>
            <w:r w:rsidRPr="00335D0F">
              <w:rPr>
                <w:b/>
              </w:rPr>
              <w:t xml:space="preserve"> Team discussion / agreement</w:t>
            </w:r>
          </w:p>
        </w:tc>
        <w:tc>
          <w:tcPr>
            <w:tcW w:w="10155" w:type="dxa"/>
          </w:tcPr>
          <w:p w14:paraId="5FFDF11F" w14:textId="77777777" w:rsidR="00133C0C" w:rsidRDefault="00133C0C" w:rsidP="000E2FBF"/>
        </w:tc>
      </w:tr>
    </w:tbl>
    <w:p w14:paraId="216A66DD" w14:textId="2185FC69" w:rsidR="00133C0C" w:rsidRDefault="00133C0C" w:rsidP="00133C0C"/>
    <w:tbl>
      <w:tblPr>
        <w:tblStyle w:val="TableGrid"/>
        <w:tblW w:w="0" w:type="auto"/>
        <w:tblLook w:val="04A0" w:firstRow="1" w:lastRow="0" w:firstColumn="1" w:lastColumn="0" w:noHBand="0" w:noVBand="1"/>
      </w:tblPr>
      <w:tblGrid>
        <w:gridCol w:w="3775"/>
        <w:gridCol w:w="10155"/>
      </w:tblGrid>
      <w:tr w:rsidR="00133C0C" w14:paraId="530648F5" w14:textId="77777777" w:rsidTr="000E2FBF">
        <w:tc>
          <w:tcPr>
            <w:tcW w:w="13930" w:type="dxa"/>
            <w:gridSpan w:val="2"/>
            <w:shd w:val="clear" w:color="auto" w:fill="E7E6E6" w:themeFill="background2"/>
          </w:tcPr>
          <w:p w14:paraId="7125D26B" w14:textId="70655E81" w:rsidR="00133C0C" w:rsidRPr="00335D0F" w:rsidRDefault="00133C0C" w:rsidP="000E2FBF">
            <w:pPr>
              <w:rPr>
                <w:b/>
              </w:rPr>
            </w:pPr>
            <w:r>
              <w:rPr>
                <w:b/>
              </w:rPr>
              <w:t>Comment</w:t>
            </w:r>
            <w:r w:rsidRPr="00335D0F">
              <w:rPr>
                <w:b/>
              </w:rPr>
              <w:t xml:space="preserve"> #</w:t>
            </w:r>
            <w:r>
              <w:rPr>
                <w:b/>
              </w:rPr>
              <w:t>4</w:t>
            </w:r>
            <w:r>
              <w:rPr>
                <w:b/>
              </w:rPr>
              <w:t xml:space="preserve"> </w:t>
            </w:r>
            <w:r>
              <w:rPr>
                <w:b/>
              </w:rPr>
              <w:t>(NCSG</w:t>
            </w:r>
            <w:r w:rsidRPr="002F19F7">
              <w:rPr>
                <w:b/>
              </w:rPr>
              <w:t>)</w:t>
            </w:r>
          </w:p>
        </w:tc>
      </w:tr>
      <w:tr w:rsidR="00133C0C" w14:paraId="059E679A" w14:textId="77777777" w:rsidTr="000E2FBF">
        <w:tc>
          <w:tcPr>
            <w:tcW w:w="3775" w:type="dxa"/>
            <w:shd w:val="clear" w:color="auto" w:fill="E7E6E6" w:themeFill="background2"/>
          </w:tcPr>
          <w:p w14:paraId="3329C309" w14:textId="77777777" w:rsidR="00133C0C" w:rsidRPr="00335D0F" w:rsidRDefault="00133C0C" w:rsidP="000E2FBF">
            <w:pPr>
              <w:rPr>
                <w:b/>
              </w:rPr>
            </w:pPr>
            <w:r w:rsidRPr="00335D0F">
              <w:rPr>
                <w:b/>
              </w:rPr>
              <w:t>Suggestion from Commenter</w:t>
            </w:r>
          </w:p>
        </w:tc>
        <w:tc>
          <w:tcPr>
            <w:tcW w:w="10155" w:type="dxa"/>
          </w:tcPr>
          <w:p w14:paraId="642BF68D" w14:textId="036466FF" w:rsidR="00133C0C" w:rsidRPr="00133C0C" w:rsidRDefault="00133C0C"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133C0C">
              <w:rPr>
                <w:rFonts w:ascii="Calibri" w:eastAsia="Calibri" w:hAnsi="Calibri" w:cs="Calibri"/>
                <w:color w:val="000000"/>
              </w:rPr>
              <w:t>CCWG to consider encourage using best practices and standardized reporting formats utilized by other highly regarded organizations and foundations. These reports should be made publicly available.</w:t>
            </w:r>
            <w:r w:rsidRPr="00133C0C">
              <w:rPr>
                <w:rFonts w:ascii="Calibri" w:eastAsia="Calibri" w:hAnsi="Calibri" w:cs="Calibri"/>
                <w:color w:val="000000"/>
                <w:shd w:val="clear" w:color="auto" w:fill="FF9900"/>
              </w:rPr>
              <w:t xml:space="preserve"> </w:t>
            </w:r>
          </w:p>
        </w:tc>
      </w:tr>
      <w:tr w:rsidR="00133C0C" w14:paraId="4FDE4040" w14:textId="77777777" w:rsidTr="000E2FBF">
        <w:tc>
          <w:tcPr>
            <w:tcW w:w="3775" w:type="dxa"/>
            <w:shd w:val="clear" w:color="auto" w:fill="E7E6E6" w:themeFill="background2"/>
          </w:tcPr>
          <w:p w14:paraId="28F93366" w14:textId="77777777" w:rsidR="00133C0C" w:rsidRPr="00335D0F" w:rsidRDefault="00133C0C" w:rsidP="000E2FBF">
            <w:pPr>
              <w:rPr>
                <w:b/>
              </w:rPr>
            </w:pPr>
            <w:r w:rsidRPr="00335D0F">
              <w:rPr>
                <w:b/>
              </w:rPr>
              <w:t>Leadership recommendation</w:t>
            </w:r>
          </w:p>
        </w:tc>
        <w:tc>
          <w:tcPr>
            <w:tcW w:w="10155" w:type="dxa"/>
          </w:tcPr>
          <w:p w14:paraId="7B358939" w14:textId="4CAAE44C" w:rsidR="00133C0C" w:rsidRPr="00133C0C" w:rsidRDefault="00133C0C" w:rsidP="000E2FBF">
            <w:pPr>
              <w:rPr>
                <w:rFonts w:ascii="Calibri" w:eastAsia="Calibri" w:hAnsi="Calibri" w:cs="Calibri"/>
              </w:rPr>
            </w:pPr>
            <w:r w:rsidRPr="00133C0C">
              <w:rPr>
                <w:rFonts w:ascii="Calibri" w:eastAsia="Calibri" w:hAnsi="Calibri" w:cs="Calibri"/>
              </w:rPr>
              <w:t>Check: best practice models for reporting formats to be taken from already established models</w:t>
            </w:r>
          </w:p>
        </w:tc>
      </w:tr>
      <w:tr w:rsidR="00133C0C" w14:paraId="083D2C8F" w14:textId="77777777" w:rsidTr="000E2FBF">
        <w:tc>
          <w:tcPr>
            <w:tcW w:w="3775" w:type="dxa"/>
            <w:shd w:val="clear" w:color="auto" w:fill="E7E6E6" w:themeFill="background2"/>
          </w:tcPr>
          <w:p w14:paraId="1C53AA7F" w14:textId="77777777" w:rsidR="00133C0C" w:rsidRPr="00335D0F" w:rsidRDefault="00133C0C" w:rsidP="000E2FBF">
            <w:pPr>
              <w:rPr>
                <w:b/>
              </w:rPr>
            </w:pPr>
            <w:r>
              <w:rPr>
                <w:b/>
              </w:rPr>
              <w:t>CCWG</w:t>
            </w:r>
            <w:r w:rsidRPr="00335D0F">
              <w:rPr>
                <w:b/>
              </w:rPr>
              <w:t xml:space="preserve"> Team discussion / agreement</w:t>
            </w:r>
          </w:p>
        </w:tc>
        <w:tc>
          <w:tcPr>
            <w:tcW w:w="10155" w:type="dxa"/>
          </w:tcPr>
          <w:p w14:paraId="50C09C68" w14:textId="77777777" w:rsidR="00133C0C" w:rsidRDefault="00133C0C" w:rsidP="000E2FBF"/>
        </w:tc>
      </w:tr>
    </w:tbl>
    <w:p w14:paraId="2C310F54" w14:textId="77777777" w:rsidR="00133C0C" w:rsidRDefault="00133C0C" w:rsidP="00133C0C"/>
    <w:p w14:paraId="3027F9E9" w14:textId="77777777" w:rsidR="00133C0C" w:rsidRPr="00133C0C" w:rsidRDefault="00133C0C" w:rsidP="00133C0C"/>
    <w:p w14:paraId="6B0CA1F9" w14:textId="77777777" w:rsidR="00133C0C" w:rsidRPr="00133C0C" w:rsidRDefault="00133C0C" w:rsidP="00133C0C"/>
    <w:p w14:paraId="1BBD66C3" w14:textId="77777777" w:rsidR="00133C0C" w:rsidRDefault="00133C0C">
      <w:pPr>
        <w:rPr>
          <w:rFonts w:ascii="Calibri" w:eastAsia="Calibri" w:hAnsi="Calibri" w:cs="Calibri"/>
          <w:b/>
          <w:color w:val="FFFFFF"/>
          <w:sz w:val="32"/>
          <w:szCs w:val="32"/>
        </w:rPr>
      </w:pPr>
      <w:r>
        <w:rPr>
          <w:rFonts w:ascii="Calibri" w:eastAsia="Calibri" w:hAnsi="Calibri" w:cs="Calibri"/>
          <w:color w:val="FFFFFF"/>
        </w:rPr>
        <w:br w:type="page"/>
      </w:r>
    </w:p>
    <w:p w14:paraId="2BBFD995" w14:textId="08EA3344" w:rsidR="00133C0C" w:rsidRDefault="00133C0C" w:rsidP="00133C0C">
      <w:pPr>
        <w:pStyle w:val="Heading1"/>
        <w:shd w:val="clear" w:color="auto" w:fill="0A3251"/>
        <w:ind w:right="-10"/>
        <w:rPr>
          <w:rFonts w:ascii="Calibri" w:eastAsia="Calibri" w:hAnsi="Calibri" w:cs="Calibri"/>
          <w:color w:val="FFFFFF"/>
        </w:rPr>
      </w:pPr>
      <w:r>
        <w:rPr>
          <w:rFonts w:ascii="Calibri" w:eastAsia="Calibri" w:hAnsi="Calibri" w:cs="Calibri"/>
          <w:color w:val="FFFFFF"/>
        </w:rPr>
        <w:lastRenderedPageBreak/>
        <w:t>Response to Charter Question #9/Guidance for the Implementation Phase in relation to charter question #9</w:t>
      </w:r>
      <w:bookmarkEnd w:id="0"/>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7"/>
        <w:gridCol w:w="1440"/>
        <w:gridCol w:w="2970"/>
        <w:gridCol w:w="3330"/>
      </w:tblGrid>
      <w:tr w:rsidR="00133C0C" w14:paraId="75B490FA" w14:textId="77777777" w:rsidTr="00133C0C">
        <w:tc>
          <w:tcPr>
            <w:tcW w:w="675" w:type="dxa"/>
            <w:tcBorders>
              <w:bottom w:val="single" w:sz="4" w:space="0" w:color="000000"/>
            </w:tcBorders>
            <w:shd w:val="clear" w:color="auto" w:fill="1768B1"/>
          </w:tcPr>
          <w:p w14:paraId="7A0AF39B" w14:textId="77777777" w:rsidR="00133C0C" w:rsidRDefault="00133C0C"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507" w:type="dxa"/>
            <w:tcBorders>
              <w:bottom w:val="single" w:sz="4" w:space="0" w:color="000000"/>
            </w:tcBorders>
            <w:shd w:val="clear" w:color="auto" w:fill="1768B1"/>
          </w:tcPr>
          <w:p w14:paraId="11307048" w14:textId="77777777" w:rsidR="00133C0C" w:rsidRDefault="00133C0C"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0A502E16" w14:textId="77777777" w:rsidR="00133C0C" w:rsidRDefault="00133C0C"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4104B0BF" w14:textId="77777777" w:rsidR="00133C0C" w:rsidRDefault="00133C0C"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330" w:type="dxa"/>
            <w:tcBorders>
              <w:bottom w:val="single" w:sz="4" w:space="0" w:color="000000"/>
            </w:tcBorders>
            <w:shd w:val="clear" w:color="auto" w:fill="1768B1"/>
          </w:tcPr>
          <w:p w14:paraId="6BFD7669" w14:textId="77777777" w:rsidR="00133C0C" w:rsidRDefault="00133C0C"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133C0C" w14:paraId="72A3D3AB" w14:textId="77777777" w:rsidTr="00133C0C">
        <w:tc>
          <w:tcPr>
            <w:tcW w:w="13922" w:type="dxa"/>
            <w:gridSpan w:val="5"/>
            <w:tcBorders>
              <w:bottom w:val="single" w:sz="4" w:space="0" w:color="000000"/>
            </w:tcBorders>
            <w:shd w:val="clear" w:color="auto" w:fill="D9D9D9"/>
          </w:tcPr>
          <w:p w14:paraId="2B2ACA52" w14:textId="77777777" w:rsidR="00133C0C" w:rsidRDefault="00133C0C" w:rsidP="000E2FB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23A07D3D" w14:textId="77777777" w:rsidR="00133C0C" w:rsidRDefault="00133C0C" w:rsidP="000E2FBF">
            <w:pPr>
              <w:rPr>
                <w:rFonts w:ascii="Calibri" w:eastAsia="Calibri" w:hAnsi="Calibri" w:cs="Calibri"/>
                <w:sz w:val="22"/>
                <w:szCs w:val="22"/>
              </w:rPr>
            </w:pPr>
          </w:p>
          <w:p w14:paraId="5EF151A5" w14:textId="77777777" w:rsidR="00133C0C" w:rsidRDefault="00133C0C" w:rsidP="000E2FBF">
            <w:pPr>
              <w:rPr>
                <w:rFonts w:ascii="Calibri" w:eastAsia="Calibri" w:hAnsi="Calibri" w:cs="Calibri"/>
                <w:sz w:val="22"/>
                <w:szCs w:val="22"/>
              </w:rPr>
            </w:pPr>
            <w:r>
              <w:rPr>
                <w:rFonts w:ascii="Calibri" w:eastAsia="Calibri" w:hAnsi="Calibri" w:cs="Calibri"/>
                <w:sz w:val="22"/>
                <w:szCs w:val="22"/>
                <w:u w:val="single"/>
              </w:rPr>
              <w:t>Charter Question #9</w:t>
            </w:r>
            <w:r>
              <w:rPr>
                <w:rFonts w:ascii="Calibri" w:eastAsia="Calibri" w:hAnsi="Calibri" w:cs="Calibri"/>
                <w:sz w:val="22"/>
                <w:szCs w:val="22"/>
              </w:rPr>
              <w:t>: What is the governance framework that should be followed to guide distribution of the proceeds? The issues addressed by a governance framework could include (but does not have to be limited to): a. What are the specific measures of success that should be reported upon? b. What are the criteria and mechanisms for measuring success and performance? c. What level of evaluation and reporting should be implemented to keep the community informed about how the funds are ultimately used?</w:t>
            </w:r>
          </w:p>
          <w:p w14:paraId="6AD60187" w14:textId="77777777" w:rsidR="00133C0C" w:rsidRDefault="00133C0C" w:rsidP="000E2FBF">
            <w:pPr>
              <w:rPr>
                <w:rFonts w:ascii="Calibri" w:eastAsia="Calibri" w:hAnsi="Calibri" w:cs="Calibri"/>
                <w:sz w:val="22"/>
                <w:szCs w:val="22"/>
              </w:rPr>
            </w:pPr>
          </w:p>
          <w:p w14:paraId="2F058909" w14:textId="77777777" w:rsidR="00133C0C" w:rsidRPr="00B34736" w:rsidRDefault="00133C0C" w:rsidP="000E2FBF">
            <w:r>
              <w:rPr>
                <w:rFonts w:ascii="Calibri" w:eastAsia="Calibri" w:hAnsi="Calibri" w:cs="Calibri"/>
                <w:sz w:val="22"/>
                <w:szCs w:val="22"/>
                <w:u w:val="single"/>
              </w:rPr>
              <w:t>Guidance for the Implementation Phase in relation to charter question #9</w:t>
            </w:r>
            <w:r>
              <w:rPr>
                <w:rFonts w:ascii="Calibri" w:eastAsia="Calibri" w:hAnsi="Calibri" w:cs="Calibri"/>
                <w:sz w:val="22"/>
                <w:szCs w:val="22"/>
              </w:rPr>
              <w:t xml:space="preserve">: The response provided to this charter question should guide the development of the governance framework during the implementation phase. </w:t>
            </w:r>
          </w:p>
          <w:p w14:paraId="0266F4D1" w14:textId="77777777" w:rsidR="00133C0C" w:rsidRPr="00B34736" w:rsidRDefault="00133C0C" w:rsidP="000E2FBF"/>
          <w:p w14:paraId="42CAA189" w14:textId="77777777" w:rsidR="00133C0C" w:rsidRPr="00B34736" w:rsidRDefault="00133C0C" w:rsidP="000E2FBF">
            <w:r>
              <w:rPr>
                <w:rFonts w:ascii="Calibri" w:eastAsia="Calibri" w:hAnsi="Calibri" w:cs="Calibri"/>
                <w:b/>
                <w:sz w:val="22"/>
                <w:szCs w:val="22"/>
              </w:rPr>
              <w:t>Overview of Comments:</w:t>
            </w:r>
            <w:r>
              <w:rPr>
                <w:rFonts w:ascii="Calibri" w:eastAsia="Calibri" w:hAnsi="Calibri" w:cs="Calibri"/>
                <w:sz w:val="22"/>
                <w:szCs w:val="22"/>
              </w:rPr>
              <w:t xml:space="preserve"> The Board clarifies requirements in relation to the governance framework and suggest additional elements to explicitly include in the response to Charter Question #9. Other comments stress the importance of effective oversight, evaluation, auditing, and reporting in the creation of a governance framework. </w:t>
            </w:r>
          </w:p>
        </w:tc>
      </w:tr>
      <w:tr w:rsidR="00133C0C" w14:paraId="560AC0B8" w14:textId="77777777" w:rsidTr="00133C0C">
        <w:tc>
          <w:tcPr>
            <w:tcW w:w="675" w:type="dxa"/>
          </w:tcPr>
          <w:p w14:paraId="11FC423B" w14:textId="77777777" w:rsidR="00133C0C" w:rsidRDefault="00133C0C" w:rsidP="000E2FBF">
            <w:pPr>
              <w:rPr>
                <w:rFonts w:ascii="Calibri" w:eastAsia="Calibri" w:hAnsi="Calibri" w:cs="Calibri"/>
                <w:b/>
                <w:sz w:val="20"/>
                <w:szCs w:val="20"/>
              </w:rPr>
            </w:pPr>
            <w:r>
              <w:rPr>
                <w:rFonts w:ascii="Calibri" w:eastAsia="Calibri" w:hAnsi="Calibri" w:cs="Calibri"/>
                <w:b/>
                <w:sz w:val="20"/>
                <w:szCs w:val="20"/>
              </w:rPr>
              <w:t>1.</w:t>
            </w:r>
          </w:p>
        </w:tc>
        <w:tc>
          <w:tcPr>
            <w:tcW w:w="5507" w:type="dxa"/>
          </w:tcPr>
          <w:p w14:paraId="158595B2" w14:textId="77777777" w:rsidR="00133C0C" w:rsidRDefault="00133C0C" w:rsidP="000E2FB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#9 </w:t>
            </w:r>
          </w:p>
          <w:p w14:paraId="40CC9359" w14:textId="77777777" w:rsidR="00133C0C" w:rsidRDefault="00133C0C"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relation to mechanism(s) for evaluating grant applications and/or administering the program, the Board welcomes the reference made to fiduciary requirements. It may be useful to note that the audit requirements described in the initial report, which are a useful information added to the recommendations,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evaluates to ensure that: </w:t>
            </w:r>
          </w:p>
          <w:p w14:paraId="033D9454" w14:textId="77777777" w:rsidR="00133C0C" w:rsidRDefault="00133C0C"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activities are carried out in pursuit of the organization’s mission;</w:t>
            </w:r>
            <w:r>
              <w:rPr>
                <w:rFonts w:ascii="Calibri" w:eastAsia="Calibri" w:hAnsi="Calibri" w:cs="Calibri"/>
                <w:color w:val="000000"/>
                <w:sz w:val="20"/>
                <w:szCs w:val="20"/>
              </w:rPr>
              <w:br/>
              <w:t>- activities are lawful;</w:t>
            </w:r>
            <w:r>
              <w:rPr>
                <w:rFonts w:ascii="Calibri" w:eastAsia="Calibri" w:hAnsi="Calibri" w:cs="Calibri"/>
                <w:color w:val="000000"/>
                <w:sz w:val="20"/>
                <w:szCs w:val="20"/>
              </w:rPr>
              <w:br/>
            </w:r>
            <w:r>
              <w:rPr>
                <w:rFonts w:ascii="Calibri" w:eastAsia="Calibri" w:hAnsi="Calibri" w:cs="Calibri"/>
                <w:color w:val="000000"/>
                <w:sz w:val="20"/>
                <w:szCs w:val="20"/>
              </w:rPr>
              <w:lastRenderedPageBreak/>
              <w:t xml:space="preserve">- activities are documented, recorded, and reported as per regulatory and bylaw requirements. </w:t>
            </w:r>
          </w:p>
          <w:p w14:paraId="6C700991" w14:textId="77777777" w:rsidR="00133C0C" w:rsidRDefault="00133C0C"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above applies also to Mechanism C, should it be considered, since the disbursement of the auction proceeds to a foundation is a “transaction” or “activity” that is, in itself, subject to the same governance requirements. </w:t>
            </w:r>
          </w:p>
          <w:p w14:paraId="212C0294" w14:textId="77777777" w:rsidR="00133C0C" w:rsidRDefault="00133C0C"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the inclusion of consideration for risks in the proposal, as this is an integral part of the fiduciary duties of the Board (specifically the “duty of care”). The evaluation of risks associated with applications and grants is helpful.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 </w:t>
            </w:r>
          </w:p>
          <w:p w14:paraId="306BBEC2" w14:textId="77777777" w:rsidR="00133C0C" w:rsidRDefault="00133C0C"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3081EDE5"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039046BB"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 xml:space="preserve">CCWG to take note of the fact that audit requirements described in the Initial Report do not apply specifically to the disbursement of auction proceeds on a standalone basis, but apply to all ICANN’s activities, including the disbursement of auction proceeds if and when it occurs. As such, the disbursement of auction proceeds needs, like all ICANN’s activities, to meet the requirements that any independent financial audit </w:t>
            </w:r>
            <w:r>
              <w:rPr>
                <w:rFonts w:ascii="Calibri" w:eastAsia="Calibri" w:hAnsi="Calibri" w:cs="Calibri"/>
                <w:color w:val="000000"/>
                <w:sz w:val="20"/>
                <w:szCs w:val="20"/>
              </w:rPr>
              <w:lastRenderedPageBreak/>
              <w:t>evaluates. Consider if any updates are required to reflect this.</w:t>
            </w:r>
          </w:p>
          <w:p w14:paraId="50F633EC"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32C339"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w:t>
            </w:r>
          </w:p>
          <w:p w14:paraId="0678170F"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48195A83"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0"/>
                <w:szCs w:val="20"/>
                <w:highlight w:val="yellow"/>
                <w:u w:val="single"/>
              </w:rPr>
            </w:pPr>
            <w:r w:rsidRPr="00B34736">
              <w:rPr>
                <w:rFonts w:ascii="Calibri" w:eastAsia="Calibri" w:hAnsi="Calibri" w:cs="Calibri"/>
                <w:b/>
                <w:sz w:val="20"/>
                <w:szCs w:val="20"/>
                <w:highlight w:val="yellow"/>
                <w:u w:val="single"/>
              </w:rPr>
              <w:t>Leadership recommendation</w:t>
            </w:r>
          </w:p>
          <w:p w14:paraId="0FB2390C"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43433296"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Risk evaluation needed:</w:t>
            </w:r>
            <w:r w:rsidRPr="00B34736">
              <w:rPr>
                <w:rFonts w:ascii="Calibri" w:eastAsia="Calibri" w:hAnsi="Calibri" w:cs="Calibri"/>
                <w:sz w:val="20"/>
                <w:szCs w:val="20"/>
              </w:rPr>
              <w:t xml:space="preserve">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w:t>
            </w:r>
            <w:r w:rsidRPr="00B34736">
              <w:rPr>
                <w:rFonts w:ascii="Calibri" w:eastAsia="Calibri" w:hAnsi="Calibri" w:cs="Calibri"/>
                <w:sz w:val="20"/>
                <w:szCs w:val="20"/>
              </w:rPr>
              <w:lastRenderedPageBreak/>
              <w:t>allocated to applicants are misused.”</w:t>
            </w:r>
          </w:p>
          <w:p w14:paraId="03F88B4C"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71049E2D"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r w:rsidRPr="00B34736">
              <w:rPr>
                <w:rFonts w:ascii="Calibri" w:eastAsia="Calibri" w:hAnsi="Calibri" w:cs="Calibri"/>
                <w:sz w:val="20"/>
                <w:szCs w:val="20"/>
                <w:highlight w:val="yellow"/>
              </w:rPr>
              <w:t>-Check: Include in Implementation Team Guidance</w:t>
            </w:r>
            <w:proofErr w:type="gramStart"/>
            <w:r w:rsidRPr="00B34736">
              <w:rPr>
                <w:rFonts w:ascii="Calibri" w:eastAsia="Calibri" w:hAnsi="Calibri" w:cs="Calibri"/>
                <w:sz w:val="20"/>
                <w:szCs w:val="20"/>
                <w:highlight w:val="yellow"/>
              </w:rPr>
              <w:t>:</w:t>
            </w:r>
            <w:r w:rsidRPr="00B34736">
              <w:rPr>
                <w:rFonts w:ascii="Calibri" w:eastAsia="Calibri" w:hAnsi="Calibri" w:cs="Calibri"/>
                <w:sz w:val="20"/>
                <w:szCs w:val="20"/>
              </w:rPr>
              <w:t xml:space="preserve">  “</w:t>
            </w:r>
            <w:proofErr w:type="gramEnd"/>
            <w:r w:rsidRPr="00B34736">
              <w:rPr>
                <w:rFonts w:ascii="Calibri" w:eastAsia="Calibri" w:hAnsi="Calibri" w:cs="Calibri"/>
                <w:sz w:val="20"/>
                <w:szCs w:val="20"/>
              </w:rPr>
              <w:t>Mitigation considerations could also feature in guidance to the implementation team.”</w:t>
            </w:r>
          </w:p>
        </w:tc>
        <w:tc>
          <w:tcPr>
            <w:tcW w:w="3330" w:type="dxa"/>
          </w:tcPr>
          <w:p w14:paraId="59350DB2"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lastRenderedPageBreak/>
              <w:t>Concerns</w:t>
            </w:r>
            <w:r>
              <w:rPr>
                <w:rFonts w:ascii="Calibri" w:eastAsia="Calibri" w:hAnsi="Calibri" w:cs="Calibri"/>
                <w:color w:val="000000"/>
                <w:sz w:val="20"/>
                <w:szCs w:val="20"/>
              </w:rPr>
              <w:t xml:space="preserve">  </w:t>
            </w:r>
          </w:p>
          <w:p w14:paraId="635B4E7D"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0DEEFAC"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39D604B"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783E9AD" w14:textId="77777777" w:rsidR="00133C0C" w:rsidRDefault="00133C0C" w:rsidP="000E2FBF">
            <w:pPr>
              <w:rPr>
                <w:rFonts w:ascii="Calibri" w:eastAsia="Calibri" w:hAnsi="Calibri" w:cs="Calibri"/>
                <w:sz w:val="20"/>
                <w:szCs w:val="20"/>
              </w:rPr>
            </w:pPr>
          </w:p>
          <w:p w14:paraId="6AA84FD0"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133C0C" w14:paraId="1B4AC90B" w14:textId="77777777" w:rsidTr="00133C0C">
        <w:tc>
          <w:tcPr>
            <w:tcW w:w="675" w:type="dxa"/>
          </w:tcPr>
          <w:p w14:paraId="75902ABB" w14:textId="77777777" w:rsidR="00133C0C" w:rsidRDefault="00133C0C" w:rsidP="000E2FBF">
            <w:pPr>
              <w:rPr>
                <w:rFonts w:ascii="Calibri" w:eastAsia="Calibri" w:hAnsi="Calibri" w:cs="Calibri"/>
                <w:b/>
                <w:sz w:val="20"/>
                <w:szCs w:val="20"/>
              </w:rPr>
            </w:pPr>
            <w:r>
              <w:rPr>
                <w:rFonts w:ascii="Calibri" w:eastAsia="Calibri" w:hAnsi="Calibri" w:cs="Calibri"/>
                <w:b/>
                <w:sz w:val="20"/>
                <w:szCs w:val="20"/>
              </w:rPr>
              <w:lastRenderedPageBreak/>
              <w:t>2.</w:t>
            </w:r>
          </w:p>
        </w:tc>
        <w:tc>
          <w:tcPr>
            <w:tcW w:w="5507" w:type="dxa"/>
          </w:tcPr>
          <w:p w14:paraId="36C44A9C"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Extreme due diligence must be undertaken with every applicant approved for funding, no matter how small the grant may be. Similarly, all funded projects must be closely audited until completion and verification of results. ICANN may wish to consider evaluation methods to be used for all funded projects thereby ensuring goals for each project were met . . . We also would stress the importance of due oversight of all allocated funds and reporting mechanisms once a project ends, no matter how small the grant may be.</w:t>
            </w:r>
          </w:p>
          <w:p w14:paraId="236F141F"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 xml:space="preserve">[staff </w:t>
            </w:r>
            <w:proofErr w:type="gramStart"/>
            <w:r>
              <w:rPr>
                <w:rFonts w:ascii="Calibri" w:eastAsia="Calibri" w:hAnsi="Calibri" w:cs="Calibri"/>
                <w:sz w:val="20"/>
                <w:szCs w:val="20"/>
              </w:rPr>
              <w:t>note:</w:t>
            </w:r>
            <w:proofErr w:type="gramEnd"/>
            <w:r>
              <w:rPr>
                <w:rFonts w:ascii="Calibri" w:eastAsia="Calibri" w:hAnsi="Calibri" w:cs="Calibri"/>
                <w:sz w:val="20"/>
                <w:szCs w:val="20"/>
              </w:rPr>
              <w:t xml:space="preserve"> text from the original comment contained between the ellipses is included elsewhere in this summary document]</w:t>
            </w:r>
          </w:p>
          <w:p w14:paraId="7763ADBE" w14:textId="77777777" w:rsidR="00133C0C" w:rsidRDefault="00133C0C" w:rsidP="000E2FB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https://mm.icann.org/pipermail/comments-new-gtld-auction-proceeds-initial-08oct18/2018q4/000029.html</w:t>
              </w:r>
            </w:hyperlink>
          </w:p>
        </w:tc>
        <w:tc>
          <w:tcPr>
            <w:tcW w:w="1440" w:type="dxa"/>
          </w:tcPr>
          <w:p w14:paraId="460D52FA"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ISPCP</w:t>
            </w:r>
          </w:p>
        </w:tc>
        <w:tc>
          <w:tcPr>
            <w:tcW w:w="2970" w:type="dxa"/>
          </w:tcPr>
          <w:p w14:paraId="08350B87"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importance of due oversight of all allocated funds and reporting mechanisms once a project </w:t>
            </w:r>
            <w:proofErr w:type="gramStart"/>
            <w:r>
              <w:rPr>
                <w:rFonts w:ascii="Calibri" w:eastAsia="Calibri" w:hAnsi="Calibri" w:cs="Calibri"/>
                <w:color w:val="000000"/>
                <w:sz w:val="20"/>
                <w:szCs w:val="20"/>
              </w:rPr>
              <w:t>ends</w:t>
            </w:r>
            <w:proofErr w:type="gramEnd"/>
            <w:r>
              <w:rPr>
                <w:rFonts w:ascii="Calibri" w:eastAsia="Calibri" w:hAnsi="Calibri" w:cs="Calibri"/>
                <w:color w:val="000000"/>
                <w:sz w:val="20"/>
                <w:szCs w:val="20"/>
              </w:rPr>
              <w:t>.</w:t>
            </w:r>
            <w:r>
              <w:rPr>
                <w:rFonts w:ascii="Calibri" w:eastAsia="Calibri" w:hAnsi="Calibri" w:cs="Calibri"/>
                <w:color w:val="000000"/>
                <w:sz w:val="20"/>
                <w:szCs w:val="20"/>
                <w:shd w:val="clear" w:color="auto" w:fill="FF9900"/>
              </w:rPr>
              <w:t xml:space="preserve"> </w:t>
            </w:r>
          </w:p>
        </w:tc>
        <w:tc>
          <w:tcPr>
            <w:tcW w:w="3330" w:type="dxa"/>
          </w:tcPr>
          <w:p w14:paraId="7607F130"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29BCB2A7"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71E8004"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8220100"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4B8D5E40" w14:textId="77777777" w:rsidR="00133C0C" w:rsidRDefault="00133C0C" w:rsidP="000E2FBF">
            <w:pPr>
              <w:rPr>
                <w:rFonts w:ascii="Calibri" w:eastAsia="Calibri" w:hAnsi="Calibri" w:cs="Calibri"/>
                <w:sz w:val="20"/>
                <w:szCs w:val="20"/>
              </w:rPr>
            </w:pPr>
          </w:p>
          <w:p w14:paraId="0965A3D5"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133C0C" w14:paraId="72F4BE06" w14:textId="77777777" w:rsidTr="00133C0C">
        <w:tc>
          <w:tcPr>
            <w:tcW w:w="675" w:type="dxa"/>
          </w:tcPr>
          <w:p w14:paraId="1F0F7A59" w14:textId="77777777" w:rsidR="00133C0C" w:rsidRDefault="00133C0C" w:rsidP="000E2FBF">
            <w:pPr>
              <w:rPr>
                <w:rFonts w:ascii="Calibri" w:eastAsia="Calibri" w:hAnsi="Calibri" w:cs="Calibri"/>
                <w:b/>
                <w:sz w:val="20"/>
                <w:szCs w:val="20"/>
              </w:rPr>
            </w:pPr>
            <w:r>
              <w:rPr>
                <w:rFonts w:ascii="Calibri" w:eastAsia="Calibri" w:hAnsi="Calibri" w:cs="Calibri"/>
                <w:b/>
                <w:sz w:val="20"/>
                <w:szCs w:val="20"/>
              </w:rPr>
              <w:t>3.</w:t>
            </w:r>
          </w:p>
        </w:tc>
        <w:tc>
          <w:tcPr>
            <w:tcW w:w="5507" w:type="dxa"/>
          </w:tcPr>
          <w:p w14:paraId="2FD56985"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Additionally, the BC supports requirements in allocation of the Auction Proceeds that include: . . .</w:t>
            </w:r>
          </w:p>
          <w:p w14:paraId="293DEE35"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 xml:space="preserve">. . . 11. Include funding needed to ensure a highly respected external audit provider which is separate from ICANN’s required audit </w:t>
            </w:r>
          </w:p>
          <w:p w14:paraId="47E82764"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12. Maintain a regularized feedback mechanism to the ICANN community, the ICANN Board and ensure effective communications reports with essential and regularized reporting</w:t>
            </w:r>
          </w:p>
          <w:p w14:paraId="303C13C0" w14:textId="77777777" w:rsidR="00133C0C" w:rsidRDefault="00133C0C" w:rsidP="000E2FBF">
            <w:pPr>
              <w:rPr>
                <w:rFonts w:ascii="Calibri" w:eastAsia="Calibri" w:hAnsi="Calibri" w:cs="Calibri"/>
                <w:sz w:val="20"/>
                <w:szCs w:val="20"/>
              </w:rPr>
            </w:pPr>
          </w:p>
          <w:p w14:paraId="0BCE8039"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 xml:space="preserve">[staff </w:t>
            </w:r>
            <w:proofErr w:type="gramStart"/>
            <w:r>
              <w:rPr>
                <w:rFonts w:ascii="Calibri" w:eastAsia="Calibri" w:hAnsi="Calibri" w:cs="Calibri"/>
                <w:sz w:val="20"/>
                <w:szCs w:val="20"/>
              </w:rPr>
              <w:t>note:</w:t>
            </w:r>
            <w:proofErr w:type="gramEnd"/>
            <w:r>
              <w:rPr>
                <w:rFonts w:ascii="Calibri" w:eastAsia="Calibri" w:hAnsi="Calibri" w:cs="Calibri"/>
                <w:sz w:val="20"/>
                <w:szCs w:val="20"/>
              </w:rPr>
              <w:t xml:space="preserve"> text from the original comment contained between the ellipses is included elsewhere in this summary document]</w:t>
            </w:r>
          </w:p>
          <w:p w14:paraId="0C19CB86"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sz w:val="20"/>
                <w:szCs w:val="20"/>
                <w:u w:val="single"/>
              </w:rPr>
              <w:t xml:space="preserve"> </w:t>
            </w:r>
          </w:p>
        </w:tc>
        <w:tc>
          <w:tcPr>
            <w:tcW w:w="1440" w:type="dxa"/>
          </w:tcPr>
          <w:p w14:paraId="54A18BBA"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BC</w:t>
            </w:r>
          </w:p>
        </w:tc>
        <w:tc>
          <w:tcPr>
            <w:tcW w:w="2970" w:type="dxa"/>
          </w:tcPr>
          <w:p w14:paraId="547A3350"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including funding needed to ensure a highly respected external audit provider, maintaining a regularized feedback mechanism to the ICANN Community, the ICANN Board and ensure effective communication reports</w:t>
            </w:r>
          </w:p>
          <w:p w14:paraId="6F0F6E9C"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3E133BC0"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02E80FF1"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BB84634"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B34736">
              <w:rPr>
                <w:rFonts w:ascii="Calibri" w:eastAsia="Calibri" w:hAnsi="Calibri" w:cs="Calibri"/>
                <w:sz w:val="20"/>
                <w:szCs w:val="20"/>
                <w:highlight w:val="yellow"/>
              </w:rPr>
              <w:t xml:space="preserve">-Check: Clarification needed for external auditing requirements for the newly established mechanism. </w:t>
            </w:r>
          </w:p>
        </w:tc>
        <w:tc>
          <w:tcPr>
            <w:tcW w:w="3330" w:type="dxa"/>
          </w:tcPr>
          <w:p w14:paraId="0769EE78"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 xml:space="preserve">New Idea </w:t>
            </w:r>
            <w:r w:rsidRPr="00B34736">
              <w:rPr>
                <w:rFonts w:ascii="Calibri" w:eastAsia="Calibri" w:hAnsi="Calibri" w:cs="Calibri"/>
                <w:color w:val="000000"/>
                <w:sz w:val="20"/>
                <w:szCs w:val="20"/>
              </w:rPr>
              <w:t>(Note that CCWG has discussed previously that a separate entity would be responsible for carrying out the au</w:t>
            </w:r>
            <w:r>
              <w:rPr>
                <w:rFonts w:ascii="Calibri" w:eastAsia="Calibri" w:hAnsi="Calibri" w:cs="Calibri"/>
                <w:color w:val="000000"/>
                <w:sz w:val="20"/>
                <w:szCs w:val="20"/>
              </w:rPr>
              <w:t>d</w:t>
            </w:r>
            <w:r w:rsidRPr="00B34736">
              <w:rPr>
                <w:rFonts w:ascii="Calibri" w:eastAsia="Calibri" w:hAnsi="Calibri" w:cs="Calibri"/>
                <w:color w:val="000000"/>
                <w:sz w:val="20"/>
                <w:szCs w:val="20"/>
              </w:rPr>
              <w:t xml:space="preserve">it, and not the ICANN Org audit firm. Maybe this should be further clarified in the report? </w:t>
            </w:r>
            <w:r>
              <w:rPr>
                <w:rFonts w:ascii="Calibri" w:eastAsia="Calibri" w:hAnsi="Calibri" w:cs="Calibri"/>
                <w:color w:val="000000"/>
                <w:sz w:val="20"/>
                <w:szCs w:val="20"/>
              </w:rPr>
              <w:t xml:space="preserve"> </w:t>
            </w:r>
          </w:p>
          <w:p w14:paraId="05EE3735"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1EC895EB"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02C0B8D"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4C3D606" w14:textId="77777777" w:rsidR="00133C0C" w:rsidRDefault="00133C0C" w:rsidP="000E2FBF">
            <w:pPr>
              <w:rPr>
                <w:rFonts w:ascii="Calibri" w:eastAsia="Calibri" w:hAnsi="Calibri" w:cs="Calibri"/>
                <w:sz w:val="20"/>
                <w:szCs w:val="20"/>
              </w:rPr>
            </w:pPr>
          </w:p>
          <w:p w14:paraId="67F667B0"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133C0C" w14:paraId="5B38E058" w14:textId="77777777" w:rsidTr="00133C0C">
        <w:tc>
          <w:tcPr>
            <w:tcW w:w="675" w:type="dxa"/>
          </w:tcPr>
          <w:p w14:paraId="322AEC62" w14:textId="77777777" w:rsidR="00133C0C" w:rsidRDefault="00133C0C" w:rsidP="000E2FBF">
            <w:pPr>
              <w:rPr>
                <w:rFonts w:ascii="Calibri" w:eastAsia="Calibri" w:hAnsi="Calibri" w:cs="Calibri"/>
                <w:b/>
                <w:sz w:val="20"/>
                <w:szCs w:val="20"/>
              </w:rPr>
            </w:pPr>
            <w:r>
              <w:rPr>
                <w:rFonts w:ascii="Calibri" w:eastAsia="Calibri" w:hAnsi="Calibri" w:cs="Calibri"/>
                <w:b/>
                <w:sz w:val="20"/>
                <w:szCs w:val="20"/>
              </w:rPr>
              <w:lastRenderedPageBreak/>
              <w:t xml:space="preserve">4. </w:t>
            </w:r>
          </w:p>
        </w:tc>
        <w:tc>
          <w:tcPr>
            <w:tcW w:w="5507" w:type="dxa"/>
          </w:tcPr>
          <w:p w14:paraId="33BB3D59"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 . . We encourage using best practices and standardized reporting formats utilized by other highly regarded organizations and foundations. These reports should be made public and stored in a public web archive managed by ICANN org or a delegated independent agent, depending upon the structure of the Mechanism chosen to disperse the auction proceeds. This would increase the likelihood of learning from the successes and failures of grants, as well as provide an end in itself for researchers wishing to study the impact of at least $233.5 million in charitable spending related to ICANN’s mission.</w:t>
            </w:r>
          </w:p>
          <w:p w14:paraId="312D5FB1" w14:textId="77777777" w:rsidR="00133C0C" w:rsidRDefault="00133C0C" w:rsidP="000E2FBF">
            <w:pPr>
              <w:rPr>
                <w:rFonts w:ascii="Calibri" w:eastAsia="Calibri" w:hAnsi="Calibri" w:cs="Calibri"/>
                <w:sz w:val="20"/>
                <w:szCs w:val="20"/>
              </w:rPr>
            </w:pPr>
            <w:r>
              <w:rPr>
                <w:rFonts w:ascii="Calibri" w:eastAsia="Calibri" w:hAnsi="Calibri" w:cs="Calibri"/>
                <w:sz w:val="20"/>
                <w:szCs w:val="20"/>
              </w:rPr>
              <w:t xml:space="preserve">[staff </w:t>
            </w:r>
            <w:proofErr w:type="gramStart"/>
            <w:r>
              <w:rPr>
                <w:rFonts w:ascii="Calibri" w:eastAsia="Calibri" w:hAnsi="Calibri" w:cs="Calibri"/>
                <w:sz w:val="20"/>
                <w:szCs w:val="20"/>
              </w:rPr>
              <w:t>note:</w:t>
            </w:r>
            <w:proofErr w:type="gramEnd"/>
            <w:r>
              <w:rPr>
                <w:rFonts w:ascii="Calibri" w:eastAsia="Calibri" w:hAnsi="Calibri" w:cs="Calibri"/>
                <w:sz w:val="20"/>
                <w:szCs w:val="20"/>
              </w:rPr>
              <w:t xml:space="preserve"> text from the original comment before the ellipses is included elsewhere in this summary document]</w:t>
            </w:r>
          </w:p>
          <w:p w14:paraId="34BCD368" w14:textId="77777777" w:rsidR="00133C0C" w:rsidRDefault="00133C0C" w:rsidP="000E2FBF">
            <w:pPr>
              <w:rPr>
                <w:rFonts w:ascii="Calibri" w:eastAsia="Calibri" w:hAnsi="Calibri" w:cs="Calibri"/>
                <w:sz w:val="20"/>
                <w:szCs w:val="20"/>
              </w:rPr>
            </w:pPr>
          </w:p>
          <w:p w14:paraId="4B0708E8" w14:textId="77777777" w:rsidR="00133C0C" w:rsidRDefault="00133C0C" w:rsidP="000E2FBF">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67ED9B19"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NCSG</w:t>
            </w:r>
          </w:p>
        </w:tc>
        <w:tc>
          <w:tcPr>
            <w:tcW w:w="2970" w:type="dxa"/>
          </w:tcPr>
          <w:p w14:paraId="216400B9"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encourage using best practices and standardized reporting formats utilized by other highly regarded organizations and foundations. These reports should be made publicly available.</w:t>
            </w:r>
            <w:r>
              <w:rPr>
                <w:rFonts w:ascii="Calibri" w:eastAsia="Calibri" w:hAnsi="Calibri" w:cs="Calibri"/>
                <w:color w:val="000000"/>
                <w:sz w:val="20"/>
                <w:szCs w:val="20"/>
                <w:shd w:val="clear" w:color="auto" w:fill="FF9900"/>
              </w:rPr>
              <w:t xml:space="preserve"> </w:t>
            </w:r>
          </w:p>
          <w:p w14:paraId="147C8F9A"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099DCAFC"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580D654"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3AAB1182" w14:textId="77777777" w:rsidR="00133C0C" w:rsidRPr="00B34736"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best practice models for reporting formats to be taken from already established models</w:t>
            </w:r>
          </w:p>
        </w:tc>
        <w:tc>
          <w:tcPr>
            <w:tcW w:w="3330" w:type="dxa"/>
          </w:tcPr>
          <w:p w14:paraId="4FCB7C85"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t>New Idea</w:t>
            </w:r>
            <w:r>
              <w:rPr>
                <w:rFonts w:ascii="Calibri" w:eastAsia="Calibri" w:hAnsi="Calibri" w:cs="Calibri"/>
                <w:color w:val="000000"/>
                <w:sz w:val="20"/>
                <w:szCs w:val="20"/>
              </w:rPr>
              <w:t> </w:t>
            </w:r>
          </w:p>
          <w:p w14:paraId="4C74E16B"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3AF89D50"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EB7DEED" w14:textId="77777777" w:rsidR="00133C0C" w:rsidRDefault="00133C0C"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EF01446" w14:textId="77777777" w:rsidR="00133C0C" w:rsidRDefault="00133C0C" w:rsidP="000E2FBF">
            <w:pPr>
              <w:rPr>
                <w:rFonts w:ascii="Calibri" w:eastAsia="Calibri" w:hAnsi="Calibri" w:cs="Calibri"/>
                <w:sz w:val="20"/>
                <w:szCs w:val="20"/>
              </w:rPr>
            </w:pPr>
          </w:p>
          <w:p w14:paraId="7B4683BD" w14:textId="77777777" w:rsidR="00133C0C" w:rsidRPr="00B34736" w:rsidRDefault="00133C0C"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30038562" w14:textId="77777777" w:rsidR="00133C0C" w:rsidRDefault="00133C0C" w:rsidP="00133C0C">
      <w:pPr>
        <w:rPr>
          <w:rFonts w:ascii="Calibri" w:eastAsia="Calibri" w:hAnsi="Calibri" w:cs="Calibri"/>
          <w:b/>
          <w:color w:val="FFFFFF"/>
          <w:sz w:val="32"/>
          <w:szCs w:val="32"/>
        </w:rPr>
      </w:pPr>
      <w:r>
        <w:br w:type="page"/>
      </w:r>
    </w:p>
    <w:p w14:paraId="7D9C1E57" w14:textId="4B4CC529" w:rsidR="002F19F7" w:rsidRPr="001772F7" w:rsidRDefault="002F19F7" w:rsidP="00133C0C">
      <w:pPr>
        <w:pStyle w:val="Heading1"/>
        <w:shd w:val="clear" w:color="auto" w:fill="0A3251"/>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1"/>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33C0C"/>
    <w:rsid w:val="001772F7"/>
    <w:rsid w:val="001C3011"/>
    <w:rsid w:val="001F03B2"/>
    <w:rsid w:val="00246C3B"/>
    <w:rsid w:val="002F19F7"/>
    <w:rsid w:val="00335D0F"/>
    <w:rsid w:val="00376CC7"/>
    <w:rsid w:val="00385D74"/>
    <w:rsid w:val="00487DCE"/>
    <w:rsid w:val="004C4CF6"/>
    <w:rsid w:val="00561035"/>
    <w:rsid w:val="00570E0A"/>
    <w:rsid w:val="005F102F"/>
    <w:rsid w:val="006769BC"/>
    <w:rsid w:val="007E3BD1"/>
    <w:rsid w:val="007F1FED"/>
    <w:rsid w:val="00AC0EB0"/>
    <w:rsid w:val="00B34569"/>
    <w:rsid w:val="00B55BBB"/>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9.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cp:lastPrinted>2019-02-26T15:29:00Z</cp:lastPrinted>
  <dcterms:created xsi:type="dcterms:W3CDTF">2019-04-04T16:37:00Z</dcterms:created>
  <dcterms:modified xsi:type="dcterms:W3CDTF">2019-04-04T16:45:00Z</dcterms:modified>
</cp:coreProperties>
</file>