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695"/>
        <w:gridCol w:w="10170"/>
      </w:tblGrid>
      <w:tr w:rsidR="00C831D7" w14:paraId="470598AF" w14:textId="77777777" w:rsidTr="00C831D7">
        <w:tc>
          <w:tcPr>
            <w:tcW w:w="2695" w:type="dxa"/>
            <w:shd w:val="clear" w:color="auto" w:fill="E7E6E6" w:themeFill="background2"/>
          </w:tcPr>
          <w:p w14:paraId="5F5E7CEB" w14:textId="5050A012" w:rsidR="00DD45EE" w:rsidRPr="00E34892" w:rsidRDefault="00DD45EE">
            <w:pPr>
              <w:rPr>
                <w:b/>
                <w:sz w:val="22"/>
                <w:szCs w:val="22"/>
              </w:rPr>
            </w:pPr>
            <w:r w:rsidRPr="00E34892">
              <w:rPr>
                <w:b/>
                <w:sz w:val="22"/>
                <w:szCs w:val="22"/>
              </w:rPr>
              <w:t>Charter Question #</w:t>
            </w:r>
            <w:r w:rsidR="000769BD">
              <w:rPr>
                <w:b/>
                <w:sz w:val="22"/>
                <w:szCs w:val="22"/>
              </w:rPr>
              <w:t>3</w:t>
            </w:r>
          </w:p>
        </w:tc>
        <w:tc>
          <w:tcPr>
            <w:tcW w:w="10170" w:type="dxa"/>
          </w:tcPr>
          <w:p w14:paraId="46EB2C0C" w14:textId="78058459" w:rsidR="00DD45EE" w:rsidRPr="000769BD" w:rsidRDefault="000769BD" w:rsidP="00DD45EE">
            <w:pPr>
              <w:pStyle w:val="p1"/>
              <w:rPr>
                <w:rFonts w:asciiTheme="minorHAnsi" w:hAnsiTheme="minorHAnsi"/>
                <w:sz w:val="22"/>
                <w:szCs w:val="22"/>
              </w:rPr>
            </w:pPr>
            <w:r w:rsidRPr="000769BD">
              <w:rPr>
                <w:rFonts w:asciiTheme="minorHAnsi" w:hAnsiTheme="minorHAnsi"/>
                <w:sz w:val="22"/>
                <w:szCs w:val="22"/>
              </w:rPr>
              <w:t>What safeguards are to be put in place to ensure that the creation of the framework, as well as its execution and</w:t>
            </w:r>
            <w:r>
              <w:rPr>
                <w:rFonts w:asciiTheme="minorHAnsi" w:hAnsiTheme="minorHAnsi"/>
                <w:sz w:val="22"/>
                <w:szCs w:val="22"/>
              </w:rPr>
              <w:t xml:space="preserve"> </w:t>
            </w:r>
            <w:r w:rsidRPr="000769BD">
              <w:rPr>
                <w:rFonts w:asciiTheme="minorHAnsi" w:hAnsiTheme="minorHAnsi"/>
                <w:sz w:val="22"/>
                <w:szCs w:val="22"/>
              </w:rPr>
              <w:t>operation, respect the legal and fiduciary constraints that have been outlined in this memo?</w:t>
            </w:r>
          </w:p>
        </w:tc>
      </w:tr>
      <w:tr w:rsidR="00C831D7" w14:paraId="112E74D9" w14:textId="77777777" w:rsidTr="00C831D7">
        <w:tc>
          <w:tcPr>
            <w:tcW w:w="2695" w:type="dxa"/>
            <w:shd w:val="clear" w:color="auto" w:fill="E7E6E6" w:themeFill="background2"/>
          </w:tcPr>
          <w:p w14:paraId="3CBF40A0" w14:textId="77777777" w:rsidR="00DD45EE" w:rsidRPr="00E34892" w:rsidRDefault="00DD45EE" w:rsidP="00C831D7">
            <w:pPr>
              <w:rPr>
                <w:b/>
                <w:sz w:val="22"/>
                <w:szCs w:val="22"/>
              </w:rPr>
            </w:pPr>
            <w:r w:rsidRPr="00E34892">
              <w:rPr>
                <w:b/>
                <w:sz w:val="22"/>
                <w:szCs w:val="22"/>
              </w:rPr>
              <w:t xml:space="preserve">Initial Responses (summary – for full responses, see </w:t>
            </w:r>
            <w:hyperlink r:id="rId5" w:history="1">
              <w:r w:rsidR="00C831D7" w:rsidRPr="00E34892">
                <w:rPr>
                  <w:rStyle w:val="Hyperlink"/>
                  <w:b/>
                  <w:sz w:val="22"/>
                  <w:szCs w:val="22"/>
                </w:rPr>
                <w:t>here</w:t>
              </w:r>
            </w:hyperlink>
            <w:r w:rsidRPr="00E34892">
              <w:rPr>
                <w:b/>
                <w:sz w:val="22"/>
                <w:szCs w:val="22"/>
              </w:rPr>
              <w:t xml:space="preserve">)  </w:t>
            </w:r>
          </w:p>
        </w:tc>
        <w:tc>
          <w:tcPr>
            <w:tcW w:w="10170" w:type="dxa"/>
          </w:tcPr>
          <w:p w14:paraId="6FCE5B79" w14:textId="58B3A81C" w:rsidR="005F63F1" w:rsidRPr="005F63F1" w:rsidRDefault="005F63F1" w:rsidP="005F63F1">
            <w:pPr>
              <w:pStyle w:val="ListParagraph"/>
              <w:numPr>
                <w:ilvl w:val="0"/>
                <w:numId w:val="1"/>
              </w:numPr>
              <w:rPr>
                <w:rFonts w:ascii="Times New Roman" w:eastAsia="Times New Roman" w:hAnsi="Times New Roman" w:cs="Times New Roman"/>
              </w:rPr>
            </w:pPr>
            <w:r w:rsidRPr="005F63F1">
              <w:rPr>
                <w:rFonts w:ascii="Calibri" w:eastAsia="Times New Roman" w:hAnsi="Calibri" w:cs="Times New Roman"/>
                <w:color w:val="000000"/>
                <w:sz w:val="22"/>
                <w:szCs w:val="22"/>
              </w:rPr>
              <w:t>Start by studying those safeguards in the context of the granting agency being implemented within ICANN.</w:t>
            </w:r>
          </w:p>
          <w:p w14:paraId="3C843D0E" w14:textId="77777777" w:rsidR="005F63F1" w:rsidRDefault="005F63F1" w:rsidP="005F63F1">
            <w:pPr>
              <w:pStyle w:val="ListParagraph"/>
              <w:numPr>
                <w:ilvl w:val="0"/>
                <w:numId w:val="1"/>
              </w:numPr>
              <w:rPr>
                <w:sz w:val="22"/>
                <w:szCs w:val="22"/>
              </w:rPr>
            </w:pPr>
            <w:r>
              <w:rPr>
                <w:sz w:val="22"/>
                <w:szCs w:val="22"/>
              </w:rPr>
              <w:t>At a minimum independent audit(s)</w:t>
            </w:r>
          </w:p>
          <w:p w14:paraId="70BA4136" w14:textId="77777777" w:rsidR="003677C5" w:rsidRPr="003677C5" w:rsidRDefault="005F63F1" w:rsidP="003677C5">
            <w:pPr>
              <w:pStyle w:val="ListParagraph"/>
              <w:numPr>
                <w:ilvl w:val="0"/>
                <w:numId w:val="1"/>
              </w:numPr>
              <w:rPr>
                <w:sz w:val="22"/>
                <w:szCs w:val="22"/>
              </w:rPr>
            </w:pPr>
            <w:r w:rsidRPr="005F63F1">
              <w:rPr>
                <w:rFonts w:ascii="Calibri" w:eastAsia="Times New Roman" w:hAnsi="Calibri" w:cs="Times New Roman"/>
                <w:color w:val="000000"/>
                <w:sz w:val="22"/>
                <w:szCs w:val="22"/>
              </w:rPr>
              <w:t>Safeguards depend of the legal mechanism(s) chosen for the establishment of the partnerships propose</w:t>
            </w:r>
            <w:r>
              <w:rPr>
                <w:rFonts w:ascii="Calibri" w:eastAsia="Times New Roman" w:hAnsi="Calibri" w:cs="Times New Roman"/>
                <w:color w:val="000000"/>
                <w:sz w:val="22"/>
                <w:szCs w:val="22"/>
              </w:rPr>
              <w:t>d</w:t>
            </w:r>
            <w:r w:rsidRPr="005F63F1">
              <w:rPr>
                <w:rFonts w:ascii="Calibri" w:eastAsia="Times New Roman" w:hAnsi="Calibri" w:cs="Times New Roman"/>
                <w:color w:val="000000"/>
                <w:sz w:val="22"/>
                <w:szCs w:val="22"/>
              </w:rPr>
              <w:t xml:space="preserve"> to </w:t>
            </w:r>
            <w:r>
              <w:rPr>
                <w:rFonts w:ascii="Calibri" w:eastAsia="Times New Roman" w:hAnsi="Calibri" w:cs="Times New Roman"/>
                <w:color w:val="000000"/>
                <w:sz w:val="22"/>
                <w:szCs w:val="22"/>
              </w:rPr>
              <w:t xml:space="preserve">be </w:t>
            </w:r>
            <w:r w:rsidRPr="005F63F1">
              <w:rPr>
                <w:rFonts w:ascii="Calibri" w:eastAsia="Times New Roman" w:hAnsi="Calibri" w:cs="Times New Roman"/>
                <w:color w:val="000000"/>
                <w:sz w:val="22"/>
                <w:szCs w:val="22"/>
              </w:rPr>
              <w:t>explore</w:t>
            </w:r>
            <w:r>
              <w:rPr>
                <w:rFonts w:ascii="Calibri" w:eastAsia="Times New Roman" w:hAnsi="Calibri" w:cs="Times New Roman"/>
                <w:color w:val="000000"/>
                <w:sz w:val="22"/>
                <w:szCs w:val="22"/>
              </w:rPr>
              <w:t>d under question 1</w:t>
            </w:r>
          </w:p>
          <w:p w14:paraId="22BED9AA" w14:textId="77777777" w:rsidR="003677C5" w:rsidRPr="003677C5" w:rsidRDefault="003677C5" w:rsidP="003677C5">
            <w:pPr>
              <w:pStyle w:val="ListParagraph"/>
              <w:numPr>
                <w:ilvl w:val="0"/>
                <w:numId w:val="1"/>
              </w:numPr>
              <w:rPr>
                <w:sz w:val="22"/>
                <w:szCs w:val="22"/>
              </w:rPr>
            </w:pPr>
            <w:r>
              <w:rPr>
                <w:rFonts w:ascii="Calibri" w:eastAsia="Times New Roman" w:hAnsi="Calibri" w:cs="Times New Roman"/>
                <w:color w:val="000000"/>
                <w:sz w:val="22"/>
                <w:szCs w:val="22"/>
              </w:rPr>
              <w:t>M</w:t>
            </w:r>
            <w:r w:rsidRPr="003677C5">
              <w:rPr>
                <w:rFonts w:ascii="Calibri" w:eastAsia="Times New Roman" w:hAnsi="Calibri" w:cs="Times New Roman"/>
                <w:color w:val="000000"/>
                <w:sz w:val="22"/>
                <w:szCs w:val="22"/>
              </w:rPr>
              <w:t>etrics to follow the results proposed by each project</w:t>
            </w:r>
            <w:r>
              <w:rPr>
                <w:rFonts w:ascii="Calibri" w:eastAsia="Times New Roman" w:hAnsi="Calibri" w:cs="Times New Roman"/>
                <w:color w:val="000000"/>
                <w:sz w:val="22"/>
                <w:szCs w:val="22"/>
              </w:rPr>
              <w:t xml:space="preserve"> should be included </w:t>
            </w:r>
          </w:p>
          <w:p w14:paraId="101F05CE" w14:textId="3B11ECF2" w:rsidR="005F63F1" w:rsidRPr="003677C5" w:rsidRDefault="003677C5" w:rsidP="003677C5">
            <w:pPr>
              <w:pStyle w:val="ListParagraph"/>
              <w:numPr>
                <w:ilvl w:val="0"/>
                <w:numId w:val="1"/>
              </w:numPr>
              <w:rPr>
                <w:sz w:val="22"/>
                <w:szCs w:val="22"/>
              </w:rPr>
            </w:pPr>
            <w:r>
              <w:rPr>
                <w:rFonts w:ascii="Calibri" w:hAnsi="Calibri" w:cs="Times New Roman"/>
                <w:color w:val="000000"/>
                <w:sz w:val="22"/>
                <w:szCs w:val="22"/>
              </w:rPr>
              <w:t>E</w:t>
            </w:r>
            <w:r w:rsidRPr="003677C5">
              <w:rPr>
                <w:rFonts w:ascii="Calibri" w:hAnsi="Calibri" w:cs="Times New Roman"/>
                <w:color w:val="000000"/>
                <w:sz w:val="22"/>
                <w:szCs w:val="22"/>
              </w:rPr>
              <w:t xml:space="preserve">asiest safeguards would be to make use of existing non-profit/charity </w:t>
            </w:r>
            <w:r w:rsidR="00F22A2D" w:rsidRPr="003677C5">
              <w:rPr>
                <w:rFonts w:ascii="Calibri" w:hAnsi="Calibri" w:cs="Times New Roman"/>
                <w:color w:val="000000"/>
                <w:sz w:val="22"/>
                <w:szCs w:val="22"/>
              </w:rPr>
              <w:t>organizations</w:t>
            </w:r>
            <w:r w:rsidRPr="003677C5">
              <w:rPr>
                <w:rFonts w:ascii="Calibri" w:hAnsi="Calibri" w:cs="Times New Roman"/>
                <w:color w:val="000000"/>
                <w:sz w:val="22"/>
                <w:szCs w:val="22"/>
              </w:rPr>
              <w:t xml:space="preserve">, preferably tax-exempt, that have a proven track-record already with respect to their legal and fiduciary </w:t>
            </w:r>
            <w:r w:rsidR="00F22A2D" w:rsidRPr="003677C5">
              <w:rPr>
                <w:rFonts w:ascii="Calibri" w:hAnsi="Calibri" w:cs="Times New Roman"/>
                <w:color w:val="000000"/>
                <w:sz w:val="22"/>
                <w:szCs w:val="22"/>
              </w:rPr>
              <w:t>behavior</w:t>
            </w:r>
            <w:r w:rsidRPr="003677C5">
              <w:rPr>
                <w:rFonts w:ascii="Calibri" w:hAnsi="Calibri" w:cs="Times New Roman"/>
                <w:color w:val="000000"/>
                <w:sz w:val="22"/>
                <w:szCs w:val="22"/>
              </w:rPr>
              <w:t>.</w:t>
            </w:r>
            <w:r>
              <w:rPr>
                <w:rFonts w:ascii="Calibri" w:hAnsi="Calibri" w:cs="Times New Roman"/>
                <w:color w:val="000000"/>
                <w:sz w:val="22"/>
                <w:szCs w:val="22"/>
              </w:rPr>
              <w:t xml:space="preserve"> </w:t>
            </w:r>
            <w:r w:rsidRPr="003677C5">
              <w:rPr>
                <w:rFonts w:ascii="Calibri" w:eastAsia="Times New Roman" w:hAnsi="Calibri" w:cs="Times New Roman"/>
                <w:color w:val="000000"/>
                <w:sz w:val="22"/>
                <w:szCs w:val="22"/>
              </w:rPr>
              <w:t xml:space="preserve">Moreover, if the number of selected </w:t>
            </w:r>
            <w:r w:rsidR="00F22A2D" w:rsidRPr="003677C5">
              <w:rPr>
                <w:rFonts w:ascii="Calibri" w:eastAsia="Times New Roman" w:hAnsi="Calibri" w:cs="Times New Roman"/>
                <w:color w:val="000000"/>
                <w:sz w:val="22"/>
                <w:szCs w:val="22"/>
              </w:rPr>
              <w:t>organizations</w:t>
            </w:r>
            <w:r w:rsidRPr="003677C5">
              <w:rPr>
                <w:rFonts w:ascii="Calibri" w:eastAsia="Times New Roman" w:hAnsi="Calibri" w:cs="Times New Roman"/>
                <w:color w:val="000000"/>
                <w:sz w:val="22"/>
                <w:szCs w:val="22"/>
              </w:rPr>
              <w:t xml:space="preserve"> is significant and well spread around the world, the risk of illegal or non-fiduciary </w:t>
            </w:r>
            <w:r w:rsidR="00F22A2D" w:rsidRPr="003677C5">
              <w:rPr>
                <w:rFonts w:ascii="Calibri" w:eastAsia="Times New Roman" w:hAnsi="Calibri" w:cs="Times New Roman"/>
                <w:color w:val="000000"/>
                <w:sz w:val="22"/>
                <w:szCs w:val="22"/>
              </w:rPr>
              <w:t>behavior</w:t>
            </w:r>
            <w:bookmarkStart w:id="0" w:name="_GoBack"/>
            <w:bookmarkEnd w:id="0"/>
            <w:r w:rsidRPr="003677C5">
              <w:rPr>
                <w:rFonts w:ascii="Calibri" w:eastAsia="Times New Roman" w:hAnsi="Calibri" w:cs="Times New Roman"/>
                <w:color w:val="000000"/>
                <w:sz w:val="22"/>
                <w:szCs w:val="22"/>
              </w:rPr>
              <w:t xml:space="preserve"> would probably balance out.</w:t>
            </w:r>
          </w:p>
        </w:tc>
      </w:tr>
      <w:tr w:rsidR="00C831D7" w:rsidRPr="00032A62" w14:paraId="085CFB9D" w14:textId="77777777" w:rsidTr="00C831D7">
        <w:tc>
          <w:tcPr>
            <w:tcW w:w="2695" w:type="dxa"/>
            <w:shd w:val="clear" w:color="auto" w:fill="E7E6E6" w:themeFill="background2"/>
          </w:tcPr>
          <w:p w14:paraId="3E456779" w14:textId="34981BC0" w:rsidR="00DD45EE" w:rsidRPr="00E34892" w:rsidRDefault="00C831D7">
            <w:pPr>
              <w:rPr>
                <w:b/>
                <w:sz w:val="22"/>
                <w:szCs w:val="22"/>
              </w:rPr>
            </w:pPr>
            <w:r w:rsidRPr="00E34892">
              <w:rPr>
                <w:b/>
                <w:sz w:val="22"/>
                <w:szCs w:val="22"/>
              </w:rPr>
              <w:t>Order in which this question should be dealt with</w:t>
            </w:r>
          </w:p>
        </w:tc>
        <w:tc>
          <w:tcPr>
            <w:tcW w:w="10170" w:type="dxa"/>
          </w:tcPr>
          <w:p w14:paraId="079F611B" w14:textId="7981EC56" w:rsidR="00DD45EE" w:rsidRPr="00032A62" w:rsidRDefault="00F22A2D" w:rsidP="00032A62">
            <w:pPr>
              <w:pStyle w:val="p1"/>
              <w:rPr>
                <w:rFonts w:asciiTheme="minorHAnsi" w:hAnsiTheme="minorHAnsi"/>
                <w:sz w:val="22"/>
                <w:szCs w:val="22"/>
              </w:rPr>
            </w:pPr>
            <w:r w:rsidRPr="00032A62">
              <w:rPr>
                <w:rFonts w:asciiTheme="minorHAnsi" w:hAnsiTheme="minorHAnsi"/>
                <w:sz w:val="22"/>
                <w:szCs w:val="22"/>
              </w:rPr>
              <w:t>As suggested in the proposed approach for dealing with the charter question, following an initial review of all charter questions, the CCWG would compile a list of possible mechanisms that could be considered by the CCWG (assuming there is a finite list). For each of the identified mechanisms, a detailed description, including strength and weaknesses</w:t>
            </w:r>
            <w:r>
              <w:rPr>
                <w:rFonts w:asciiTheme="minorHAnsi" w:hAnsiTheme="minorHAnsi"/>
                <w:sz w:val="22"/>
                <w:szCs w:val="22"/>
              </w:rPr>
              <w:t xml:space="preserve"> would be developed as well as a r</w:t>
            </w:r>
            <w:r w:rsidRPr="00032A62">
              <w:rPr>
                <w:rFonts w:asciiTheme="minorHAnsi" w:hAnsiTheme="minorHAnsi"/>
                <w:sz w:val="22"/>
                <w:szCs w:val="22"/>
              </w:rPr>
              <w:t>eview from the perspective of legal, fiduciary and audit constraints. Based on the overall assessment, the CCWG would identify which mechanism(s) demonstrates most potential to meet CCWG expectations as well as conform with legal &amp; fiduciary constraints and answer each charter question from the perspective of the identified mechanism(s). This will likely be an iterative process.</w:t>
            </w:r>
          </w:p>
        </w:tc>
      </w:tr>
      <w:tr w:rsidR="00C831D7" w14:paraId="63935F33" w14:textId="77777777" w:rsidTr="00C831D7">
        <w:tc>
          <w:tcPr>
            <w:tcW w:w="2695" w:type="dxa"/>
            <w:shd w:val="clear" w:color="auto" w:fill="E7E6E6" w:themeFill="background2"/>
          </w:tcPr>
          <w:p w14:paraId="722D6F5A" w14:textId="77777777" w:rsidR="00DD45EE" w:rsidRPr="00E34892" w:rsidRDefault="00C831D7">
            <w:pPr>
              <w:rPr>
                <w:b/>
                <w:sz w:val="22"/>
                <w:szCs w:val="22"/>
              </w:rPr>
            </w:pPr>
            <w:r w:rsidRPr="00E34892">
              <w:rPr>
                <w:b/>
                <w:sz w:val="22"/>
                <w:szCs w:val="22"/>
              </w:rPr>
              <w:t>Sub-questions or clarifications needed</w:t>
            </w:r>
          </w:p>
        </w:tc>
        <w:tc>
          <w:tcPr>
            <w:tcW w:w="10170" w:type="dxa"/>
          </w:tcPr>
          <w:p w14:paraId="5415CE2C" w14:textId="77777777" w:rsidR="00DD45EE" w:rsidRPr="00E34892" w:rsidRDefault="00DD45EE">
            <w:pPr>
              <w:rPr>
                <w:sz w:val="22"/>
                <w:szCs w:val="22"/>
              </w:rPr>
            </w:pPr>
          </w:p>
        </w:tc>
      </w:tr>
      <w:tr w:rsidR="00C831D7" w14:paraId="741539FB" w14:textId="77777777" w:rsidTr="00C831D7">
        <w:tc>
          <w:tcPr>
            <w:tcW w:w="2695" w:type="dxa"/>
            <w:shd w:val="clear" w:color="auto" w:fill="E7E6E6" w:themeFill="background2"/>
          </w:tcPr>
          <w:p w14:paraId="27B812FA" w14:textId="77777777" w:rsidR="00C831D7" w:rsidRPr="00E34892" w:rsidRDefault="00C831D7">
            <w:pPr>
              <w:rPr>
                <w:b/>
                <w:sz w:val="22"/>
                <w:szCs w:val="22"/>
              </w:rPr>
            </w:pPr>
            <w:r w:rsidRPr="00E34892">
              <w:rPr>
                <w:b/>
                <w:sz w:val="22"/>
                <w:szCs w:val="22"/>
              </w:rPr>
              <w:t>(External) Expertise required?</w:t>
            </w:r>
          </w:p>
        </w:tc>
        <w:tc>
          <w:tcPr>
            <w:tcW w:w="10170" w:type="dxa"/>
          </w:tcPr>
          <w:p w14:paraId="5BBCC66D" w14:textId="77777777" w:rsidR="00C831D7" w:rsidRPr="00E34892" w:rsidRDefault="00C831D7" w:rsidP="00E34892">
            <w:pPr>
              <w:rPr>
                <w:sz w:val="22"/>
                <w:szCs w:val="22"/>
              </w:rPr>
            </w:pPr>
            <w:r w:rsidRPr="00E34892">
              <w:rPr>
                <w:sz w:val="22"/>
                <w:szCs w:val="22"/>
              </w:rPr>
              <w:t xml:space="preserve">Legal and fiduciary (see </w:t>
            </w:r>
            <w:hyperlink r:id="rId6" w:history="1">
              <w:r w:rsidR="00E34892" w:rsidRPr="00E34892">
                <w:rPr>
                  <w:rStyle w:val="Hyperlink"/>
                  <w:sz w:val="22"/>
                  <w:szCs w:val="22"/>
                </w:rPr>
                <w:t>https://community.icann.org/x/CbDRAw</w:t>
              </w:r>
            </w:hyperlink>
            <w:r w:rsidR="00E34892" w:rsidRPr="00E34892">
              <w:rPr>
                <w:sz w:val="22"/>
                <w:szCs w:val="22"/>
              </w:rPr>
              <w:t>)</w:t>
            </w:r>
          </w:p>
        </w:tc>
      </w:tr>
    </w:tbl>
    <w:p w14:paraId="6D5E5215" w14:textId="77777777" w:rsidR="000E7792" w:rsidRDefault="00F22A2D"/>
    <w:sectPr w:rsidR="000E7792" w:rsidSect="00C831D7">
      <w:pgSz w:w="15840" w:h="12240" w:orient="landscape"/>
      <w:pgMar w:top="1440" w:right="1440" w:bottom="1440" w:left="1440" w:header="720" w:footer="720" w:gutter="0"/>
      <w:cols w:space="720"/>
      <w:docGrid w:linePitch="360"/>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6D6950"/>
    <w:multiLevelType w:val="hybridMultilevel"/>
    <w:tmpl w:val="FE883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EE"/>
    <w:rsid w:val="00032A62"/>
    <w:rsid w:val="000769BD"/>
    <w:rsid w:val="00280346"/>
    <w:rsid w:val="003677C5"/>
    <w:rsid w:val="0051066F"/>
    <w:rsid w:val="005F63F1"/>
    <w:rsid w:val="008E3A71"/>
    <w:rsid w:val="00B06800"/>
    <w:rsid w:val="00C7576E"/>
    <w:rsid w:val="00C831D7"/>
    <w:rsid w:val="00D14E20"/>
    <w:rsid w:val="00D9672E"/>
    <w:rsid w:val="00DD45EE"/>
    <w:rsid w:val="00E34892"/>
    <w:rsid w:val="00EF38F3"/>
    <w:rsid w:val="00F22A2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6545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DD45EE"/>
    <w:rPr>
      <w:rFonts w:ascii="Helvetica" w:hAnsi="Helvetica" w:cs="Times New Roman"/>
      <w:sz w:val="17"/>
      <w:szCs w:val="17"/>
    </w:rPr>
  </w:style>
  <w:style w:type="character" w:styleId="Hyperlink">
    <w:name w:val="Hyperlink"/>
    <w:basedOn w:val="DefaultParagraphFont"/>
    <w:uiPriority w:val="99"/>
    <w:unhideWhenUsed/>
    <w:rsid w:val="00DD45EE"/>
    <w:rPr>
      <w:color w:val="0563C1" w:themeColor="hyperlink"/>
      <w:u w:val="single"/>
    </w:rPr>
  </w:style>
  <w:style w:type="paragraph" w:styleId="ListParagraph">
    <w:name w:val="List Paragraph"/>
    <w:basedOn w:val="Normal"/>
    <w:uiPriority w:val="34"/>
    <w:qFormat/>
    <w:rsid w:val="00D1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1923">
      <w:bodyDiv w:val="1"/>
      <w:marLeft w:val="0"/>
      <w:marRight w:val="0"/>
      <w:marTop w:val="0"/>
      <w:marBottom w:val="0"/>
      <w:divBdr>
        <w:top w:val="none" w:sz="0" w:space="0" w:color="auto"/>
        <w:left w:val="none" w:sz="0" w:space="0" w:color="auto"/>
        <w:bottom w:val="none" w:sz="0" w:space="0" w:color="auto"/>
        <w:right w:val="none" w:sz="0" w:space="0" w:color="auto"/>
      </w:divBdr>
    </w:div>
    <w:div w:id="509565118">
      <w:bodyDiv w:val="1"/>
      <w:marLeft w:val="0"/>
      <w:marRight w:val="0"/>
      <w:marTop w:val="0"/>
      <w:marBottom w:val="0"/>
      <w:divBdr>
        <w:top w:val="none" w:sz="0" w:space="0" w:color="auto"/>
        <w:left w:val="none" w:sz="0" w:space="0" w:color="auto"/>
        <w:bottom w:val="none" w:sz="0" w:space="0" w:color="auto"/>
        <w:right w:val="none" w:sz="0" w:space="0" w:color="auto"/>
      </w:divBdr>
    </w:div>
    <w:div w:id="740519179">
      <w:bodyDiv w:val="1"/>
      <w:marLeft w:val="0"/>
      <w:marRight w:val="0"/>
      <w:marTop w:val="0"/>
      <w:marBottom w:val="0"/>
      <w:divBdr>
        <w:top w:val="none" w:sz="0" w:space="0" w:color="auto"/>
        <w:left w:val="none" w:sz="0" w:space="0" w:color="auto"/>
        <w:bottom w:val="none" w:sz="0" w:space="0" w:color="auto"/>
        <w:right w:val="none" w:sz="0" w:space="0" w:color="auto"/>
      </w:divBdr>
    </w:div>
    <w:div w:id="887759676">
      <w:bodyDiv w:val="1"/>
      <w:marLeft w:val="0"/>
      <w:marRight w:val="0"/>
      <w:marTop w:val="0"/>
      <w:marBottom w:val="0"/>
      <w:divBdr>
        <w:top w:val="none" w:sz="0" w:space="0" w:color="auto"/>
        <w:left w:val="none" w:sz="0" w:space="0" w:color="auto"/>
        <w:bottom w:val="none" w:sz="0" w:space="0" w:color="auto"/>
        <w:right w:val="none" w:sz="0" w:space="0" w:color="auto"/>
      </w:divBdr>
    </w:div>
    <w:div w:id="977149506">
      <w:bodyDiv w:val="1"/>
      <w:marLeft w:val="0"/>
      <w:marRight w:val="0"/>
      <w:marTop w:val="0"/>
      <w:marBottom w:val="0"/>
      <w:divBdr>
        <w:top w:val="none" w:sz="0" w:space="0" w:color="auto"/>
        <w:left w:val="none" w:sz="0" w:space="0" w:color="auto"/>
        <w:bottom w:val="none" w:sz="0" w:space="0" w:color="auto"/>
        <w:right w:val="none" w:sz="0" w:space="0" w:color="auto"/>
      </w:divBdr>
    </w:div>
    <w:div w:id="1138841229">
      <w:bodyDiv w:val="1"/>
      <w:marLeft w:val="0"/>
      <w:marRight w:val="0"/>
      <w:marTop w:val="0"/>
      <w:marBottom w:val="0"/>
      <w:divBdr>
        <w:top w:val="none" w:sz="0" w:space="0" w:color="auto"/>
        <w:left w:val="none" w:sz="0" w:space="0" w:color="auto"/>
        <w:bottom w:val="none" w:sz="0" w:space="0" w:color="auto"/>
        <w:right w:val="none" w:sz="0" w:space="0" w:color="auto"/>
      </w:divBdr>
    </w:div>
    <w:div w:id="1423523900">
      <w:bodyDiv w:val="1"/>
      <w:marLeft w:val="0"/>
      <w:marRight w:val="0"/>
      <w:marTop w:val="0"/>
      <w:marBottom w:val="0"/>
      <w:divBdr>
        <w:top w:val="none" w:sz="0" w:space="0" w:color="auto"/>
        <w:left w:val="none" w:sz="0" w:space="0" w:color="auto"/>
        <w:bottom w:val="none" w:sz="0" w:space="0" w:color="auto"/>
        <w:right w:val="none" w:sz="0" w:space="0" w:color="auto"/>
      </w:divBdr>
    </w:div>
    <w:div w:id="1610045026">
      <w:bodyDiv w:val="1"/>
      <w:marLeft w:val="0"/>
      <w:marRight w:val="0"/>
      <w:marTop w:val="0"/>
      <w:marBottom w:val="0"/>
      <w:divBdr>
        <w:top w:val="none" w:sz="0" w:space="0" w:color="auto"/>
        <w:left w:val="none" w:sz="0" w:space="0" w:color="auto"/>
        <w:bottom w:val="none" w:sz="0" w:space="0" w:color="auto"/>
        <w:right w:val="none" w:sz="0" w:space="0" w:color="auto"/>
      </w:divBdr>
    </w:div>
    <w:div w:id="1779332266">
      <w:bodyDiv w:val="1"/>
      <w:marLeft w:val="0"/>
      <w:marRight w:val="0"/>
      <w:marTop w:val="0"/>
      <w:marBottom w:val="0"/>
      <w:divBdr>
        <w:top w:val="none" w:sz="0" w:space="0" w:color="auto"/>
        <w:left w:val="none" w:sz="0" w:space="0" w:color="auto"/>
        <w:bottom w:val="none" w:sz="0" w:space="0" w:color="auto"/>
        <w:right w:val="none" w:sz="0" w:space="0" w:color="auto"/>
      </w:divBdr>
    </w:div>
    <w:div w:id="1986549407">
      <w:bodyDiv w:val="1"/>
      <w:marLeft w:val="0"/>
      <w:marRight w:val="0"/>
      <w:marTop w:val="0"/>
      <w:marBottom w:val="0"/>
      <w:divBdr>
        <w:top w:val="none" w:sz="0" w:space="0" w:color="auto"/>
        <w:left w:val="none" w:sz="0" w:space="0" w:color="auto"/>
        <w:bottom w:val="none" w:sz="0" w:space="0" w:color="auto"/>
        <w:right w:val="none" w:sz="0" w:space="0" w:color="auto"/>
      </w:divBdr>
    </w:div>
    <w:div w:id="1989279774">
      <w:bodyDiv w:val="1"/>
      <w:marLeft w:val="0"/>
      <w:marRight w:val="0"/>
      <w:marTop w:val="0"/>
      <w:marBottom w:val="0"/>
      <w:divBdr>
        <w:top w:val="none" w:sz="0" w:space="0" w:color="auto"/>
        <w:left w:val="none" w:sz="0" w:space="0" w:color="auto"/>
        <w:bottom w:val="none" w:sz="0" w:space="0" w:color="auto"/>
        <w:right w:val="none" w:sz="0" w:space="0" w:color="auto"/>
      </w:divBdr>
    </w:div>
    <w:div w:id="2044478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document/d/1QN7zarCr2c-2BVv3pfa6Z5O10pDcgHSIQ5Q3CBdX2WE/edit" TargetMode="External"/><Relationship Id="rId6" Type="http://schemas.openxmlformats.org/officeDocument/2006/relationships/hyperlink" Target="https://community.icann.org/x/CbDRAw" TargetMode="Externa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1807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2017-04-11T12:47:00Z</dcterms:created>
  <dcterms:modified xsi:type="dcterms:W3CDTF">2017-04-11T12:48:00Z</dcterms:modified>
</cp:coreProperties>
</file>